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2454"/>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211080022454</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5AA8D56F" w:rsidR="008D3EF2" w:rsidRPr="00C75D3B" w:rsidRDefault="007A6C42"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437682F" w:rsidR="008D3EF2" w:rsidRPr="00C75D3B" w:rsidRDefault="007A6C42"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První novoměstská teplárenská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První novoměstská teplárenská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náměstí Republiky 6, Nové Město nad Metují, 549 01"/>
                  </w:textInput>
                </w:ffData>
              </w:fldChar>
            </w:r>
            <w:r>
              <w:rPr>
                <w:rFonts w:cs="Arial"/>
              </w:rPr>
              <w:instrText xml:space="preserve"> FORMTEXT </w:instrText>
            </w:r>
            <w:r>
              <w:rPr>
                <w:rFonts w:cs="Arial"/>
              </w:rPr>
            </w:r>
            <w:r>
              <w:rPr>
                <w:rFonts w:cs="Arial"/>
              </w:rPr>
              <w:fldChar w:fldCharType="separate"/>
            </w:r>
            <w:r>
              <w:rPr>
                <w:rFonts w:cs="Arial"/>
                <w:noProof/>
              </w:rPr>
              <w:t>náměstí Republiky 6, Nové Město nad Metují, 549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7471454"/>
                  </w:textInput>
                </w:ffData>
              </w:fldChar>
            </w:r>
            <w:r>
              <w:rPr>
                <w:rFonts w:cs="Arial"/>
              </w:rPr>
              <w:instrText xml:space="preserve"> FORMTEXT </w:instrText>
            </w:r>
            <w:r>
              <w:rPr>
                <w:rFonts w:cs="Arial"/>
              </w:rPr>
            </w:r>
            <w:r>
              <w:rPr>
                <w:rFonts w:cs="Arial"/>
              </w:rPr>
              <w:fldChar w:fldCharType="separate"/>
            </w:r>
            <w:r>
              <w:rPr>
                <w:rFonts w:cs="Arial"/>
                <w:noProof/>
              </w:rPr>
              <w:t>27471454</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7471454"/>
                  </w:textInput>
                </w:ffData>
              </w:fldChar>
            </w:r>
            <w:r>
              <w:rPr>
                <w:rFonts w:cs="Arial"/>
              </w:rPr>
              <w:instrText xml:space="preserve"> FORMTEXT </w:instrText>
            </w:r>
            <w:r>
              <w:rPr>
                <w:rFonts w:cs="Arial"/>
              </w:rPr>
            </w:r>
            <w:r>
              <w:rPr>
                <w:rFonts w:cs="Arial"/>
              </w:rPr>
              <w:fldChar w:fldCharType="separate"/>
            </w:r>
            <w:r>
              <w:rPr>
                <w:rFonts w:cs="Arial"/>
                <w:noProof/>
              </w:rPr>
              <w:t>CZ27471454</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Hradci Králové, oddíl C, vložka 20 9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Hradci Králové, oddíl C, vložka 20 969</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oslovenská obchodní banka, a.s."/>
                  </w:textInput>
                </w:ffData>
              </w:fldChar>
            </w:r>
            <w:r>
              <w:rPr>
                <w:rFonts w:cs="Arial"/>
              </w:rPr>
              <w:instrText xml:space="preserve"> FORMTEXT </w:instrText>
            </w:r>
            <w:r>
              <w:rPr>
                <w:rFonts w:cs="Arial"/>
              </w:rPr>
            </w:r>
            <w:r>
              <w:rPr>
                <w:rFonts w:cs="Arial"/>
              </w:rPr>
              <w:fldChar w:fldCharType="separate"/>
            </w:r>
            <w:r>
              <w:rPr>
                <w:rFonts w:cs="Arial"/>
                <w:noProof/>
              </w:rPr>
              <w:t>Československá obchodní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265624361/0300"/>
                  </w:textInput>
                </w:ffData>
              </w:fldChar>
            </w:r>
            <w:r>
              <w:rPr>
                <w:rFonts w:cs="Arial"/>
              </w:rPr>
              <w:instrText xml:space="preserve"> FORMTEXT </w:instrText>
            </w:r>
            <w:r>
              <w:rPr>
                <w:rFonts w:cs="Arial"/>
              </w:rPr>
            </w:r>
            <w:r>
              <w:rPr>
                <w:rFonts w:cs="Arial"/>
              </w:rPr>
              <w:fldChar w:fldCharType="separate"/>
            </w:r>
            <w:r>
              <w:rPr>
                <w:rFonts w:cs="Arial"/>
                <w:noProof/>
              </w:rPr>
              <w:t>000000-0265624361/0300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 Miroslav Kosek, Jednatel"/>
                  </w:textInput>
                </w:ffData>
              </w:fldChar>
            </w:r>
            <w:r>
              <w:rPr>
                <w:rFonts w:cs="Arial"/>
              </w:rPr>
              <w:instrText xml:space="preserve"> FORMTEXT </w:instrText>
            </w:r>
            <w:r>
              <w:rPr>
                <w:rFonts w:cs="Arial"/>
              </w:rPr>
            </w:r>
            <w:r>
              <w:rPr>
                <w:rFonts w:cs="Arial"/>
              </w:rPr>
              <w:fldChar w:fldCharType="separate"/>
            </w:r>
            <w:r>
              <w:rPr>
                <w:rFonts w:cs="Arial"/>
                <w:noProof/>
              </w:rPr>
              <w:t>Miroslav Kosek, Jednatel</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6E266C82"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p w14:paraId="531DAF1D" w14:textId="7F894BD1" w:rsidR="001502F8" w:rsidRDefault="001502F8" w:rsidP="008C30C7">
      <w:pPr>
        <w:pStyle w:val="3"/>
        <w:tabs>
          <w:tab w:val="clear" w:pos="425"/>
        </w:tabs>
        <w:spacing w:after="120"/>
        <w:ind w:left="283" w:hanging="198"/>
        <w:jc w:val="left"/>
        <w:rPr>
          <w:rFonts w:asciiTheme="minorHAnsi" w:hAnsiTheme="minorHAnsi"/>
          <w:sz w:val="17"/>
          <w:szCs w:val="22"/>
        </w:rPr>
      </w:pPr>
    </w:p>
    <w:p w14:paraId="512E9F4A" w14:textId="1B78BDE5" w:rsidR="001502F8" w:rsidRDefault="001502F8" w:rsidP="008C30C7">
      <w:pPr>
        <w:pStyle w:val="3"/>
        <w:tabs>
          <w:tab w:val="clear" w:pos="425"/>
        </w:tabs>
        <w:spacing w:after="120"/>
        <w:ind w:left="283" w:hanging="198"/>
        <w:jc w:val="left"/>
        <w:rPr>
          <w:rFonts w:asciiTheme="minorHAnsi" w:hAnsiTheme="minorHAnsi"/>
          <w:sz w:val="17"/>
          <w:szCs w:val="22"/>
        </w:rPr>
      </w:pPr>
    </w:p>
    <w:p w14:paraId="0219C3B3" w14:textId="77777777" w:rsidR="001502F8" w:rsidRDefault="001502F8" w:rsidP="008C30C7">
      <w:pPr>
        <w:pStyle w:val="3"/>
        <w:tabs>
          <w:tab w:val="clear" w:pos="425"/>
        </w:tabs>
        <w:spacing w:after="120"/>
        <w:ind w:left="283" w:hanging="198"/>
        <w:jc w:val="left"/>
        <w:rPr>
          <w:rFonts w:asciiTheme="minorHAnsi" w:hAnsiTheme="minorHAnsi"/>
          <w:sz w:val="17"/>
          <w:szCs w:val="22"/>
        </w:rPr>
      </w:pPr>
    </w:p>
    <w:p w14:paraId="14DC428D" w14:textId="77777777" w:rsidR="001502F8" w:rsidRDefault="001502F8" w:rsidP="008C30C7">
      <w:pPr>
        <w:pStyle w:val="3"/>
        <w:tabs>
          <w:tab w:val="clear" w:pos="425"/>
        </w:tabs>
        <w:spacing w:after="120"/>
        <w:ind w:left="283" w:hanging="198"/>
        <w:jc w:val="left"/>
        <w:rPr>
          <w:rFonts w:asciiTheme="minorHAnsi" w:hAnsiTheme="minorHAnsi"/>
          <w:sz w:val="17"/>
          <w:szCs w:val="2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lastRenderedPageBreak/>
              <w:t xml:space="preserve">Článek </w:t>
            </w:r>
            <w:r w:rsidR="008C30C7">
              <w:rPr>
                <w:rFonts w:cs="Arial"/>
              </w:rPr>
              <w:t>II</w:t>
            </w:r>
            <w:r w:rsidRPr="00B46590">
              <w:rPr>
                <w:rFonts w:cs="Arial"/>
              </w:rPr>
              <w:t>. Pravidla fakturace a platební podmínky</w:t>
            </w:r>
          </w:p>
        </w:tc>
      </w:tr>
    </w:tbl>
    <w:p w14:paraId="653188F5" w14:textId="42D11AFD" w:rsidR="007A6C42" w:rsidRDefault="007A6C42"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3BC46DA3" w14:textId="48FB2119"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baseload množství s vypořádáním odchylek za tržní ceny</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baseload znamená taková dodávka plynu (tranše), kdy je denní smluvní množství shodné pro každý den období dodávky.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6A18C7FE" w14:textId="0FC07B44" w:rsidR="00E2571C" w:rsidRDefault="007A6C42" w:rsidP="007A6C42">
      <w:pPr>
        <w:pStyle w:val="4"/>
        <w:jc w:val="left"/>
        <w:rPr>
          <w:rFonts w:asciiTheme="minorHAnsi" w:hAnsiTheme="minorHAnsi"/>
          <w:sz w:val="17"/>
          <w:szCs w:val="17"/>
        </w:rPr>
      </w:pPr>
      <w:r>
        <w:rPr>
          <w:rFonts w:asciiTheme="minorHAnsi" w:hAnsiTheme="minorHAnsi"/>
          <w:sz w:val="17"/>
          <w:szCs w:val="17"/>
        </w:rPr>
        <w:t>xxx</w:t>
      </w:r>
    </w:p>
    <w:p w14:paraId="45B02789" w14:textId="77777777" w:rsidR="005E118C" w:rsidRPr="00DA7A0E" w:rsidRDefault="005E118C" w:rsidP="005E118C">
      <w:pPr>
        <w:pStyle w:val="3"/>
        <w:numPr>
          <w:ilvl w:val="0"/>
          <w:numId w:val="16"/>
        </w:numPr>
        <w:tabs>
          <w:tab w:val="clear" w:pos="425"/>
        </w:tabs>
        <w:ind w:left="283" w:hanging="198"/>
        <w:jc w:val="left"/>
        <w:rPr>
          <w:rFonts w:asciiTheme="minorHAnsi" w:hAnsiTheme="minorHAnsi"/>
          <w:sz w:val="17"/>
          <w:szCs w:val="17"/>
        </w:rPr>
      </w:pPr>
      <w:r w:rsidRPr="00DA7A0E">
        <w:rPr>
          <w:rFonts w:asciiTheme="minorHAnsi" w:hAnsiTheme="minorHAnsi"/>
          <w:sz w:val="17"/>
          <w:szCs w:val="17"/>
        </w:rPr>
        <w:t>Forwardový směnný kurz je stanoven dle následujícího vzorce:</w:t>
      </w:r>
    </w:p>
    <w:p w14:paraId="11E97FB9" w14:textId="77777777" w:rsidR="005E118C" w:rsidRPr="00B55C9B" w:rsidRDefault="005E118C" w:rsidP="005E118C">
      <w:pPr>
        <w:pStyle w:val="3"/>
        <w:tabs>
          <w:tab w:val="clear" w:pos="425"/>
        </w:tabs>
        <w:jc w:val="left"/>
        <w:rPr>
          <w:rFonts w:asciiTheme="minorHAnsi" w:hAnsiTheme="minorHAnsi"/>
          <w:b/>
          <w:sz w:val="17"/>
          <w:szCs w:val="22"/>
        </w:rPr>
      </w:pPr>
      <w:r>
        <w:rPr>
          <w:rFonts w:asciiTheme="minorHAnsi" w:hAnsiTheme="minorHAnsi"/>
          <w:b/>
          <w:sz w:val="17"/>
          <w:szCs w:val="22"/>
        </w:rPr>
        <w:t>FX</w:t>
      </w:r>
      <w:r w:rsidRPr="007B46B0">
        <w:rPr>
          <w:rFonts w:asciiTheme="minorHAnsi" w:hAnsiTheme="minorHAnsi"/>
          <w:b/>
          <w:sz w:val="17"/>
          <w:szCs w:val="22"/>
          <w:vertAlign w:val="subscript"/>
        </w:rPr>
        <w:t>FWD</w:t>
      </w:r>
      <w:r w:rsidRPr="00B55C9B">
        <w:rPr>
          <w:rFonts w:asciiTheme="minorHAnsi" w:hAnsiTheme="minorHAnsi"/>
          <w:b/>
          <w:sz w:val="17"/>
          <w:szCs w:val="22"/>
        </w:rPr>
        <w:t xml:space="preserve"> = </w:t>
      </w:r>
      <w:r>
        <w:rPr>
          <w:rFonts w:asciiTheme="minorHAnsi" w:hAnsiTheme="minorHAnsi"/>
          <w:b/>
          <w:sz w:val="17"/>
          <w:szCs w:val="22"/>
        </w:rPr>
        <w:t>FX</w:t>
      </w:r>
      <w:r w:rsidRPr="007B46B0">
        <w:rPr>
          <w:rFonts w:asciiTheme="minorHAnsi" w:hAnsiTheme="minorHAnsi"/>
          <w:b/>
          <w:sz w:val="17"/>
          <w:szCs w:val="22"/>
          <w:vertAlign w:val="subscript"/>
        </w:rPr>
        <w:t>ČNB</w:t>
      </w:r>
      <w:r w:rsidRPr="00B55C9B">
        <w:rPr>
          <w:rFonts w:asciiTheme="minorHAnsi" w:hAnsiTheme="minorHAnsi"/>
          <w:b/>
          <w:sz w:val="17"/>
          <w:szCs w:val="22"/>
        </w:rPr>
        <w:t xml:space="preserve"> + REUTERS</w:t>
      </w:r>
      <w:r w:rsidRPr="00B55C9B">
        <w:rPr>
          <w:rFonts w:asciiTheme="minorHAnsi" w:hAnsiTheme="minorHAnsi"/>
          <w:b/>
          <w:sz w:val="17"/>
          <w:szCs w:val="22"/>
          <w:vertAlign w:val="subscript"/>
        </w:rPr>
        <w:t>T</w:t>
      </w:r>
      <w:r w:rsidRPr="00B55C9B">
        <w:rPr>
          <w:rFonts w:asciiTheme="minorHAnsi" w:hAnsiTheme="minorHAnsi"/>
          <w:b/>
          <w:sz w:val="17"/>
          <w:szCs w:val="22"/>
        </w:rPr>
        <w:t xml:space="preserve"> /1000</w:t>
      </w:r>
    </w:p>
    <w:p w14:paraId="45D5A496"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kde </w:t>
      </w:r>
    </w:p>
    <w:p w14:paraId="3017FA2A" w14:textId="77777777" w:rsidR="005E118C" w:rsidRPr="00B55C9B" w:rsidRDefault="005E118C" w:rsidP="005E118C">
      <w:pPr>
        <w:pStyle w:val="3"/>
        <w:tabs>
          <w:tab w:val="clear" w:pos="425"/>
        </w:tabs>
        <w:spacing w:before="0"/>
        <w:ind w:left="1276" w:hanging="992"/>
        <w:jc w:val="left"/>
        <w:rPr>
          <w:rFonts w:asciiTheme="minorHAnsi" w:hAnsiTheme="minorHAnsi"/>
          <w:sz w:val="17"/>
          <w:szCs w:val="22"/>
        </w:rPr>
      </w:pPr>
      <w:r>
        <w:rPr>
          <w:rFonts w:asciiTheme="minorHAnsi" w:hAnsiTheme="minorHAnsi"/>
          <w:sz w:val="17"/>
          <w:szCs w:val="22"/>
        </w:rPr>
        <w:t>FX</w:t>
      </w:r>
      <w:r w:rsidRPr="007B46B0">
        <w:rPr>
          <w:rFonts w:asciiTheme="minorHAnsi" w:hAnsiTheme="minorHAnsi"/>
          <w:sz w:val="17"/>
          <w:szCs w:val="22"/>
          <w:vertAlign w:val="subscript"/>
        </w:rPr>
        <w:t>ČNB</w:t>
      </w:r>
      <w:r w:rsidRPr="00B55C9B">
        <w:rPr>
          <w:rFonts w:asciiTheme="minorHAnsi" w:hAnsiTheme="minorHAnsi"/>
          <w:sz w:val="17"/>
          <w:szCs w:val="22"/>
          <w:vertAlign w:val="subscript"/>
        </w:rPr>
        <w:t xml:space="preserve"> </w:t>
      </w:r>
      <w:r w:rsidRPr="00B55C9B">
        <w:rPr>
          <w:rFonts w:asciiTheme="minorHAnsi" w:hAnsiTheme="minorHAnsi"/>
          <w:sz w:val="17"/>
          <w:szCs w:val="22"/>
        </w:rPr>
        <w:t xml:space="preserve">… </w:t>
      </w:r>
      <w:r w:rsidRPr="00B55C9B">
        <w:rPr>
          <w:rFonts w:asciiTheme="minorHAnsi" w:hAnsiTheme="minorHAnsi"/>
          <w:sz w:val="17"/>
          <w:szCs w:val="22"/>
        </w:rPr>
        <w:tab/>
        <w:t>kurz devizového trhu vyhlášeného Českou národní bankou v pracovní den bezprostředně předcházející dni nákupu tranše;</w:t>
      </w:r>
    </w:p>
    <w:p w14:paraId="22E4F7C6" w14:textId="070498C3" w:rsidR="005E118C" w:rsidRPr="00B55C9B" w:rsidRDefault="005E118C" w:rsidP="005E118C">
      <w:pPr>
        <w:pStyle w:val="3"/>
        <w:tabs>
          <w:tab w:val="clear" w:pos="425"/>
        </w:tabs>
        <w:spacing w:before="0"/>
        <w:ind w:left="1276" w:hanging="992"/>
        <w:jc w:val="left"/>
        <w:rPr>
          <w:rFonts w:asciiTheme="minorHAnsi" w:hAnsiTheme="minorHAnsi"/>
          <w:sz w:val="17"/>
          <w:szCs w:val="22"/>
        </w:rPr>
      </w:pPr>
      <w:r w:rsidRPr="00B55C9B">
        <w:rPr>
          <w:rFonts w:asciiTheme="minorHAnsi" w:hAnsiTheme="minorHAnsi"/>
          <w:sz w:val="17"/>
          <w:szCs w:val="22"/>
        </w:rPr>
        <w:t>REUTERS</w:t>
      </w:r>
      <w:r w:rsidRPr="00B55C9B">
        <w:rPr>
          <w:rFonts w:asciiTheme="minorHAnsi" w:hAnsiTheme="minorHAnsi"/>
          <w:sz w:val="17"/>
          <w:szCs w:val="22"/>
          <w:vertAlign w:val="subscript"/>
        </w:rPr>
        <w:t>T</w:t>
      </w:r>
      <w:r w:rsidRPr="00B55C9B">
        <w:rPr>
          <w:rFonts w:asciiTheme="minorHAnsi" w:hAnsiTheme="minorHAnsi"/>
          <w:sz w:val="17"/>
          <w:szCs w:val="22"/>
        </w:rPr>
        <w:t xml:space="preserve"> …</w:t>
      </w:r>
      <w:r w:rsidRPr="00B55C9B">
        <w:rPr>
          <w:rFonts w:asciiTheme="minorHAnsi" w:hAnsiTheme="minorHAnsi"/>
          <w:sz w:val="17"/>
          <w:szCs w:val="22"/>
        </w:rPr>
        <w:tab/>
        <w:t>forwardové body</w:t>
      </w:r>
      <w:r>
        <w:rPr>
          <w:rFonts w:asciiTheme="minorHAnsi" w:hAnsiTheme="minorHAnsi"/>
          <w:sz w:val="17"/>
          <w:szCs w:val="22"/>
        </w:rPr>
        <w:t xml:space="preserve"> </w:t>
      </w:r>
      <w:r w:rsidRPr="00C47DF2">
        <w:rPr>
          <w:rFonts w:asciiTheme="minorHAnsi" w:hAnsiTheme="minorHAnsi"/>
          <w:sz w:val="17"/>
          <w:szCs w:val="22"/>
        </w:rPr>
        <w:t xml:space="preserve">zveřejněné na </w:t>
      </w:r>
      <w:r>
        <w:rPr>
          <w:rFonts w:asciiTheme="minorHAnsi" w:hAnsiTheme="minorHAnsi"/>
          <w:sz w:val="17"/>
          <w:szCs w:val="22"/>
        </w:rPr>
        <w:t xml:space="preserve">internetovém </w:t>
      </w:r>
      <w:r w:rsidRPr="00C47DF2">
        <w:rPr>
          <w:rFonts w:asciiTheme="minorHAnsi" w:hAnsiTheme="minorHAnsi"/>
          <w:sz w:val="17"/>
          <w:szCs w:val="22"/>
        </w:rPr>
        <w:t>rozhraní Thomson Reuters Knowledge Direct, vyhlášené agenturou Refinitiv,</w:t>
      </w:r>
      <w:r w:rsidRPr="00B55C9B">
        <w:rPr>
          <w:rFonts w:asciiTheme="minorHAnsi" w:hAnsiTheme="minorHAnsi"/>
          <w:sz w:val="17"/>
          <w:szCs w:val="22"/>
        </w:rPr>
        <w:t> </w:t>
      </w:r>
      <w:r>
        <w:rPr>
          <w:rFonts w:asciiTheme="minorHAnsi" w:hAnsiTheme="minorHAnsi"/>
          <w:sz w:val="17"/>
          <w:szCs w:val="22"/>
        </w:rPr>
        <w:t xml:space="preserve">v </w:t>
      </w:r>
      <w:r w:rsidRPr="00B55C9B">
        <w:rPr>
          <w:rFonts w:asciiTheme="minorHAnsi" w:hAnsiTheme="minorHAnsi"/>
          <w:sz w:val="17"/>
          <w:szCs w:val="22"/>
        </w:rPr>
        <w:t>položce „Best Ask“ ve 14:30 hod v pracovní den bezprostředně předcházející dni nákupu tranše, přičemž hodnota forwardových bodů bude stanovena na základě průměrné splatnosti fixované tranše v měsících následovně:</w:t>
      </w:r>
    </w:p>
    <w:p w14:paraId="45022A97" w14:textId="435289D5" w:rsidR="005E118C" w:rsidRPr="00DA7A0E" w:rsidRDefault="005E118C" w:rsidP="005E118C">
      <w:pPr>
        <w:pStyle w:val="3"/>
        <w:tabs>
          <w:tab w:val="clear" w:pos="425"/>
        </w:tabs>
        <w:ind w:left="1276"/>
        <w:jc w:val="left"/>
        <w:rPr>
          <w:rFonts w:asciiTheme="minorHAnsi" w:hAnsiTheme="minorHAnsi"/>
          <w:b/>
          <w:sz w:val="17"/>
          <w:szCs w:val="22"/>
        </w:rPr>
      </w:pPr>
      <w:r w:rsidRPr="00DA7A0E">
        <w:rPr>
          <w:rFonts w:asciiTheme="minorHAnsi" w:hAnsiTheme="minorHAnsi"/>
          <w:b/>
          <w:sz w:val="17"/>
          <w:szCs w:val="22"/>
        </w:rPr>
        <w:t>T = (T</w:t>
      </w:r>
      <w:r w:rsidRPr="00DA7A0E">
        <w:rPr>
          <w:rFonts w:asciiTheme="minorHAnsi" w:hAnsiTheme="minorHAnsi"/>
          <w:b/>
          <w:sz w:val="17"/>
          <w:szCs w:val="22"/>
          <w:vertAlign w:val="subscript"/>
        </w:rPr>
        <w:t>A</w:t>
      </w:r>
      <w:r w:rsidRPr="00DA7A0E">
        <w:rPr>
          <w:rFonts w:asciiTheme="minorHAnsi" w:hAnsiTheme="minorHAnsi"/>
          <w:b/>
          <w:sz w:val="17"/>
          <w:szCs w:val="22"/>
        </w:rPr>
        <w:t>+T</w:t>
      </w:r>
      <w:r w:rsidRPr="00DA7A0E">
        <w:rPr>
          <w:rFonts w:asciiTheme="minorHAnsi" w:hAnsiTheme="minorHAnsi"/>
          <w:b/>
          <w:sz w:val="17"/>
          <w:szCs w:val="22"/>
          <w:vertAlign w:val="subscript"/>
        </w:rPr>
        <w:t>B</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 xml:space="preserve">2 </w:t>
      </w:r>
    </w:p>
    <w:p w14:paraId="7F28BD84" w14:textId="77777777" w:rsidR="005E118C" w:rsidRPr="00B55C9B" w:rsidRDefault="005E118C" w:rsidP="005E118C">
      <w:pPr>
        <w:pStyle w:val="3"/>
        <w:tabs>
          <w:tab w:val="clear" w:pos="425"/>
        </w:tabs>
        <w:ind w:left="1701" w:hanging="425"/>
        <w:jc w:val="left"/>
        <w:rPr>
          <w:rFonts w:asciiTheme="minorHAnsi" w:hAnsiTheme="minorHAnsi"/>
          <w:sz w:val="17"/>
          <w:szCs w:val="22"/>
        </w:rPr>
      </w:pPr>
      <w:r w:rsidRPr="00B55C9B">
        <w:rPr>
          <w:rFonts w:asciiTheme="minorHAnsi" w:hAnsiTheme="minorHAnsi"/>
          <w:sz w:val="17"/>
          <w:szCs w:val="22"/>
        </w:rPr>
        <w:t>kde</w:t>
      </w:r>
    </w:p>
    <w:p w14:paraId="58FB68EA"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B55C9B">
        <w:rPr>
          <w:rFonts w:asciiTheme="minorHAnsi" w:hAnsiTheme="minorHAnsi"/>
          <w:sz w:val="17"/>
          <w:szCs w:val="22"/>
        </w:rPr>
        <w:tab/>
        <w:t>průměrná lhůta splatnosti tranše;</w:t>
      </w:r>
    </w:p>
    <w:p w14:paraId="3FF4AB81"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A</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prvním měsíci dodávky ve fixované tranši;</w:t>
      </w:r>
    </w:p>
    <w:p w14:paraId="28644D2E"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B</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posledním mě</w:t>
      </w:r>
      <w:r>
        <w:rPr>
          <w:rFonts w:asciiTheme="minorHAnsi" w:hAnsiTheme="minorHAnsi"/>
          <w:sz w:val="17"/>
          <w:szCs w:val="22"/>
        </w:rPr>
        <w:t>síci dodávky ve fixované tranši;</w:t>
      </w:r>
    </w:p>
    <w:p w14:paraId="2AF1A4F8" w14:textId="77777777" w:rsidR="005E118C" w:rsidRPr="00B55C9B" w:rsidRDefault="005E118C" w:rsidP="005E118C">
      <w:pPr>
        <w:pStyle w:val="3"/>
        <w:tabs>
          <w:tab w:val="clear" w:pos="425"/>
        </w:tabs>
        <w:ind w:left="1701" w:hanging="425"/>
        <w:jc w:val="left"/>
        <w:rPr>
          <w:rFonts w:asciiTheme="minorHAnsi" w:hAnsiTheme="minorHAnsi"/>
          <w:sz w:val="17"/>
          <w:szCs w:val="22"/>
        </w:rPr>
      </w:pPr>
      <w:r>
        <w:rPr>
          <w:rFonts w:asciiTheme="minorHAnsi" w:hAnsiTheme="minorHAnsi"/>
          <w:sz w:val="17"/>
          <w:szCs w:val="22"/>
        </w:rPr>
        <w:t>l</w:t>
      </w:r>
      <w:r w:rsidRPr="00B55C9B">
        <w:rPr>
          <w:rFonts w:asciiTheme="minorHAnsi" w:hAnsiTheme="minorHAnsi"/>
          <w:sz w:val="17"/>
          <w:szCs w:val="22"/>
        </w:rPr>
        <w:t>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jsou stanoveny v měsících, přičemž platí, že:</w:t>
      </w:r>
    </w:p>
    <w:p w14:paraId="13528DF8"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měsíc, ve kterém je tranše fixována, je vždy započítán s hodnotou 1/2;</w:t>
      </w:r>
    </w:p>
    <w:p w14:paraId="611D2EB2"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poslední měsíc lhůty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je vždy započítán s hodnotou 2/3.</w:t>
      </w:r>
    </w:p>
    <w:p w14:paraId="37954712" w14:textId="549CECAD"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Není-li výsledná hodnota T celé číslo, bude zaokrouhlena na nejbližší vyšší celé číslo. Takto stanovená hodnota určuje průměrnou splatnost fixované tranše v měsících, které bude odpovídat hodnota forwardových bodů REUTERS</w:t>
      </w:r>
      <w:r w:rsidRPr="006F6AAA">
        <w:rPr>
          <w:rFonts w:asciiTheme="minorHAnsi" w:hAnsiTheme="minorHAnsi"/>
          <w:sz w:val="17"/>
          <w:szCs w:val="22"/>
          <w:vertAlign w:val="subscript"/>
        </w:rPr>
        <w:t>T</w:t>
      </w:r>
      <w:r w:rsidRPr="00B55C9B">
        <w:rPr>
          <w:rFonts w:asciiTheme="minorHAnsi" w:hAnsiTheme="minorHAnsi"/>
          <w:sz w:val="17"/>
          <w:szCs w:val="22"/>
        </w:rPr>
        <w:t xml:space="preserve">. </w:t>
      </w:r>
    </w:p>
    <w:p w14:paraId="74D4404C" w14:textId="77777777" w:rsidR="005E118C" w:rsidRPr="00B55C9B" w:rsidRDefault="005E118C" w:rsidP="005E118C">
      <w:pPr>
        <w:pStyle w:val="3"/>
        <w:tabs>
          <w:tab w:val="clear" w:pos="425"/>
        </w:tabs>
        <w:jc w:val="left"/>
        <w:rPr>
          <w:rFonts w:asciiTheme="minorHAnsi" w:hAnsiTheme="minorHAnsi"/>
          <w:sz w:val="17"/>
          <w:szCs w:val="22"/>
        </w:rPr>
      </w:pPr>
      <w:r w:rsidRPr="00F42A6E">
        <w:rPr>
          <w:rFonts w:asciiTheme="minorHAnsi" w:hAnsiTheme="minorHAnsi"/>
          <w:sz w:val="17"/>
          <w:szCs w:val="22"/>
        </w:rPr>
        <w:t>Obchodník Zákazníkovi zaručuje, že forwardové body kotované agenturou Refinitiv převezme pro výpočet forwardového směnného kurzu bez jakékoli změny, vyjma situace, kdy forwardové body kotované agenturou Refinitiv budou zveřejněny jako záporné. V takovém případě se REUTERS</w:t>
      </w:r>
      <w:r w:rsidRPr="00F42A6E">
        <w:rPr>
          <w:rFonts w:asciiTheme="minorHAnsi" w:hAnsiTheme="minorHAnsi"/>
          <w:sz w:val="17"/>
          <w:szCs w:val="22"/>
          <w:vertAlign w:val="subscript"/>
        </w:rPr>
        <w:t>T</w:t>
      </w:r>
      <w:r w:rsidRPr="00F42A6E">
        <w:rPr>
          <w:rFonts w:asciiTheme="minorHAnsi" w:hAnsiTheme="minorHAnsi"/>
          <w:sz w:val="17"/>
          <w:szCs w:val="22"/>
        </w:rPr>
        <w:t xml:space="preserve"> rovná nule</w:t>
      </w:r>
      <w:r w:rsidRPr="00B55C9B">
        <w:rPr>
          <w:rFonts w:asciiTheme="minorHAnsi" w:hAnsiTheme="minorHAnsi"/>
          <w:sz w:val="17"/>
          <w:szCs w:val="22"/>
        </w:rPr>
        <w:t xml:space="preserve">. </w:t>
      </w:r>
    </w:p>
    <w:p w14:paraId="0DB39DBF"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V případě, že hodnota forwardových bodů pro průměrnou splatnost fixované tranše vypočtené dle postupu definovaného výše není agenturou Reuters stanovována, bude tato hodnota Obchodníkem dopočtena na základě lineární interpolace mezi dostupnými kotacemi pro nejblíže předcházející a nejblíže následující splatnost.</w:t>
      </w:r>
    </w:p>
    <w:p w14:paraId="3EB75EDC" w14:textId="4B1BC0DE" w:rsidR="005E118C"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Forwardové směnné kurzy pro dostupné průměrné lhůty splatnosti T jsou Zákazníkovi zveřejňovány v zabezpečeném internetovém rozhraní iPM.</w:t>
      </w:r>
    </w:p>
    <w:p w14:paraId="02C2F246" w14:textId="0A3DA397" w:rsidR="001502F8" w:rsidRDefault="001502F8" w:rsidP="005E118C">
      <w:pPr>
        <w:pStyle w:val="3"/>
        <w:tabs>
          <w:tab w:val="clear" w:pos="425"/>
        </w:tabs>
        <w:jc w:val="left"/>
        <w:rPr>
          <w:rFonts w:asciiTheme="minorHAnsi" w:hAnsiTheme="minorHAnsi"/>
          <w:sz w:val="17"/>
          <w:szCs w:val="22"/>
        </w:rPr>
      </w:pPr>
    </w:p>
    <w:p w14:paraId="79B99571" w14:textId="1B567874" w:rsidR="001502F8" w:rsidRDefault="001502F8" w:rsidP="005E118C">
      <w:pPr>
        <w:pStyle w:val="3"/>
        <w:tabs>
          <w:tab w:val="clear" w:pos="425"/>
        </w:tabs>
        <w:jc w:val="left"/>
        <w:rPr>
          <w:rFonts w:asciiTheme="minorHAnsi" w:hAnsiTheme="minorHAnsi"/>
          <w:sz w:val="17"/>
          <w:szCs w:val="22"/>
        </w:rPr>
      </w:pPr>
    </w:p>
    <w:p w14:paraId="5F57AFB6" w14:textId="77777777" w:rsidR="001502F8" w:rsidRPr="00B55C9B" w:rsidRDefault="001502F8" w:rsidP="005E118C">
      <w:pPr>
        <w:pStyle w:val="3"/>
        <w:tabs>
          <w:tab w:val="clear" w:pos="425"/>
        </w:tabs>
        <w:jc w:val="left"/>
        <w:rPr>
          <w:rFonts w:asciiTheme="minorHAnsi" w:hAnsiTheme="minorHAnsi"/>
          <w:sz w:val="17"/>
          <w:szCs w:val="22"/>
        </w:rPr>
      </w:pP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067C8054" w:rsidR="005E118C" w:rsidRDefault="001502F8" w:rsidP="00120938">
            <w:pPr>
              <w:pStyle w:val="TexttabulkaCalibriLight"/>
              <w:rPr>
                <w:rFonts w:cs="Arial"/>
              </w:rPr>
            </w:pPr>
            <w:r w:rsidRPr="001502F8">
              <w:rPr>
                <w:rFonts w:cs="Arial"/>
              </w:rPr>
              <w:t>Miroslav Kosek</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22356D9F" w:rsidR="005E118C" w:rsidRDefault="001502F8" w:rsidP="001502F8">
            <w:pPr>
              <w:pStyle w:val="TexttabulkaCalibriLight"/>
              <w:rPr>
                <w:rFonts w:cs="Arial"/>
              </w:rPr>
            </w:pPr>
            <w:r>
              <w:rPr>
                <w:rFonts w:cs="Arial"/>
              </w:rPr>
              <w:t>Jednatel</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757DC031" w14:textId="77777777" w:rsidR="007A6C1A" w:rsidRPr="003E6A9C" w:rsidRDefault="00B518C5" w:rsidP="007A6C1A">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EEX nebo </w:t>
      </w:r>
      <w:r w:rsidR="001F1BE9">
        <w:rPr>
          <w:rFonts w:asciiTheme="minorHAnsi" w:hAnsiTheme="minorHAnsi"/>
          <w:sz w:val="17"/>
          <w:szCs w:val="17"/>
        </w:rPr>
        <w:t>THE</w:t>
      </w:r>
      <w:r w:rsidR="005E118C" w:rsidRPr="003E6A9C">
        <w:rPr>
          <w:rFonts w:asciiTheme="minorHAnsi" w:hAnsiTheme="minorHAnsi"/>
          <w:sz w:val="17"/>
          <w:szCs w:val="17"/>
        </w:rPr>
        <w:t xml:space="preserve"> publikovaných </w:t>
      </w:r>
      <w:r w:rsidR="007A6C1A">
        <w:rPr>
          <w:rFonts w:asciiTheme="minorHAnsi" w:hAnsiTheme="minorHAnsi"/>
          <w:sz w:val="17"/>
          <w:szCs w:val="17"/>
        </w:rPr>
        <w:t>na internetových stránkách zobrazených v portále iPM</w:t>
      </w:r>
      <w:r w:rsidR="007A6C1A" w:rsidRPr="003E6A9C">
        <w:rPr>
          <w:rFonts w:asciiTheme="minorHAnsi" w:hAnsiTheme="minorHAnsi"/>
          <w:sz w:val="17"/>
          <w:szCs w:val="17"/>
        </w:rPr>
        <w:t>:</w:t>
      </w:r>
    </w:p>
    <w:p w14:paraId="7443147B"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není poskytovatelem cenových indexů publikována a současně trvají pochybnosti o její budoucí dostupnosti,</w:t>
      </w:r>
    </w:p>
    <w:p w14:paraId="4C75A3E6"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 a nikoliv dočasně změnila jakost nebo typ komodity, k níž se cena vztahuje,</w:t>
      </w:r>
    </w:p>
    <w:p w14:paraId="4F7124E1" w14:textId="581D9A13" w:rsidR="005E118C"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lastRenderedPageBreak/>
        <w:t>c)</w:t>
      </w:r>
      <w:r>
        <w:rPr>
          <w:rFonts w:asciiTheme="minorHAnsi" w:hAnsiTheme="minorHAnsi"/>
          <w:sz w:val="17"/>
          <w:szCs w:val="22"/>
        </w:rPr>
        <w:tab/>
        <w:t>byla stanovena nebo zveřejněna chybně</w:t>
      </w:r>
      <w:r w:rsidR="005E118C">
        <w:rPr>
          <w:rFonts w:asciiTheme="minorHAnsi" w:hAnsiTheme="minorHAnsi"/>
          <w:sz w:val="17"/>
          <w:szCs w:val="22"/>
        </w:rPr>
        <w:t>,</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Bez ohledu na předem uvedené, smluvní strany se dohodly, že při nahrazení nebo úpravě cen z důvodů uvedených pod písmeny b) a c) tohoto článku nedojde k úpravě jednotkových cen za dodávku plynu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pro příslušný měsíc, jestliže měsíc, ve kterém by se projevilo zohlednění nahrazení nebo úprav cen na ceny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74714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27471454</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830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27ZG500Z02918308</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Sokolská 150, Nové Město nad Metují"/>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Sokolská 150, Nové Město nad Metují</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A6C42">
              <w:rPr>
                <w:rFonts w:cs="Arial"/>
                <w:szCs w:val="17"/>
              </w:rPr>
            </w:r>
            <w:r w:rsidR="007A6C42">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6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636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2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2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4 027"/>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4 027</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A6C42">
              <w:rPr>
                <w:rFonts w:cs="Arial"/>
              </w:rPr>
            </w:r>
            <w:r w:rsidR="007A6C42">
              <w:rPr>
                <w:rFonts w:cs="Arial"/>
              </w:rPr>
              <w:fldChar w:fldCharType="separate"/>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5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238</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43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5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507</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7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172</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6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46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468</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08C68015" w14:textId="77777777" w:rsidTr="00F661D1">
        <w:trPr>
          <w:trHeight w:val="28"/>
        </w:trPr>
        <w:tc>
          <w:tcPr>
            <w:tcW w:w="1154" w:type="dxa"/>
            <w:tcBorders>
              <w:top w:val="single" w:sz="6" w:space="0" w:color="auto"/>
              <w:right w:val="single" w:sz="18" w:space="0" w:color="FFFFFF" w:themeColor="background1"/>
            </w:tcBorders>
            <w:shd w:val="clear" w:color="auto" w:fill="auto"/>
          </w:tcPr>
          <w:p w14:paraId="5FD69C0B"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472D3DBE"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2DA68382"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680FD1C3"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1EF273E"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0EC1439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74B28C3"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9679510"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5CE4095"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4906FB1"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2419B1CB" w14:textId="77777777" w:rsidR="00FB5A57" w:rsidRPr="00E14FD7" w:rsidRDefault="00FB5A57" w:rsidP="00F661D1">
            <w:pPr>
              <w:pStyle w:val="TexttabulkaCalibriLight"/>
              <w:jc w:val="right"/>
              <w:rPr>
                <w:rFonts w:cs="Arial"/>
                <w:sz w:val="4"/>
                <w:szCs w:val="4"/>
              </w:rPr>
            </w:pPr>
          </w:p>
        </w:tc>
      </w:tr>
      <w:tr w:rsidR="00FB5A57" w:rsidRPr="00E14FD7" w14:paraId="4D39D2D1"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422C561C"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74714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27471454</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39F037A7"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864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27ZG500Z0291864S</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F93E672"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7FC8904"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2E2143FB"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Družstevní 586, Nové Město nad Metují"/>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Družstevní 586, Nové Město nad Metují</w:t>
            </w:r>
            <w:r w:rsidRPr="00E14FD7">
              <w:rPr>
                <w:rFonts w:cs="Arial"/>
              </w:rPr>
              <w:fldChar w:fldCharType="end"/>
            </w:r>
          </w:p>
        </w:tc>
      </w:tr>
      <w:tr w:rsidR="00FB5A57" w:rsidRPr="00E14FD7" w14:paraId="6F8D1D5B" w14:textId="77777777" w:rsidTr="00F661D1">
        <w:trPr>
          <w:trHeight w:val="227"/>
        </w:trPr>
        <w:tc>
          <w:tcPr>
            <w:tcW w:w="1154" w:type="dxa"/>
            <w:tcBorders>
              <w:right w:val="single" w:sz="18" w:space="0" w:color="FFFFFF" w:themeColor="background1"/>
            </w:tcBorders>
            <w:shd w:val="clear" w:color="auto" w:fill="auto"/>
          </w:tcPr>
          <w:p w14:paraId="3E59859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0B663697"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B48FEB1"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A5FC336"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6D0D2A5"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A6C42">
              <w:rPr>
                <w:rFonts w:cs="Arial"/>
                <w:szCs w:val="17"/>
              </w:rPr>
            </w:r>
            <w:r w:rsidR="007A6C42">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442DF096"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 2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1 229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1739305"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58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586</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9DBE934"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3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48E472F"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68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683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14DA101"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8 198"/>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8 198</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3A266F6B"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A6C42">
              <w:rPr>
                <w:rFonts w:cs="Arial"/>
              </w:rPr>
            </w:r>
            <w:r w:rsidR="007A6C42">
              <w:rPr>
                <w:rFonts w:cs="Arial"/>
              </w:rPr>
              <w:fldChar w:fldCharType="separate"/>
            </w:r>
            <w:r w:rsidRPr="00E14FD7">
              <w:rPr>
                <w:rFonts w:cs="Arial"/>
              </w:rPr>
              <w:fldChar w:fldCharType="end"/>
            </w:r>
          </w:p>
        </w:tc>
      </w:tr>
      <w:tr w:rsidR="00FB5A57" w:rsidRPr="00E14FD7" w14:paraId="1B470DEF" w14:textId="77777777" w:rsidTr="00F661D1">
        <w:trPr>
          <w:trHeight w:val="227"/>
        </w:trPr>
        <w:tc>
          <w:tcPr>
            <w:tcW w:w="1154" w:type="dxa"/>
            <w:tcBorders>
              <w:right w:val="single" w:sz="18" w:space="0" w:color="FFFFFF" w:themeColor="background1"/>
            </w:tcBorders>
            <w:shd w:val="clear" w:color="auto" w:fill="auto"/>
          </w:tcPr>
          <w:p w14:paraId="13AC22D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DC0A862"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3088620"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90E6141"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7B5B62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011AEC10"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0DEE421"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4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488</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1E26FF4"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33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332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6ED97D3"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9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916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3E66359"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787E2B10" w14:textId="77777777" w:rsidR="00FB5A57" w:rsidRPr="00E14FD7" w:rsidRDefault="00FB5A57" w:rsidP="00F661D1">
            <w:pPr>
              <w:pStyle w:val="TexttabulkaCalibriLight"/>
              <w:jc w:val="right"/>
              <w:rPr>
                <w:rFonts w:cs="Arial"/>
              </w:rPr>
            </w:pPr>
          </w:p>
        </w:tc>
      </w:tr>
      <w:tr w:rsidR="00FB5A57" w:rsidRPr="00E14FD7" w14:paraId="17A2A4E8"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0FEE4CE3"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40869B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11CD9098"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1630C048"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674D524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1C5B9DD5"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89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892</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1C2B4E5"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3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349</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25A277BB"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37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373</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4D7FFCD"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 0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1 049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D7D3529"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76D4FFE"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09008A42"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1502F8"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1502F8" w:rsidRPr="00B55E28" w:rsidRDefault="001502F8" w:rsidP="001502F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2390AB42" w:rsidR="001502F8" w:rsidRPr="00B55E28" w:rsidRDefault="001502F8" w:rsidP="001502F8">
            <w:pPr>
              <w:pStyle w:val="TexttabulkaCalibriLight"/>
              <w:rPr>
                <w:szCs w:val="17"/>
              </w:rPr>
            </w:pPr>
            <w:r>
              <w:rPr>
                <w:rFonts w:cs="Arial"/>
                <w:szCs w:val="17"/>
              </w:rPr>
              <w:fldChar w:fldCharType="begin">
                <w:ffData>
                  <w:name w:val="Text625"/>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2091A3C6" w:rsidR="001502F8" w:rsidRPr="00B55E28" w:rsidRDefault="001502F8" w:rsidP="001502F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C9501AF" w:rsidR="001502F8" w:rsidRPr="00B55E28" w:rsidRDefault="001502F8" w:rsidP="001502F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1502F8"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1502F8" w:rsidRPr="00B55E28" w:rsidRDefault="001502F8" w:rsidP="001502F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5CAC6143" w:rsidR="001502F8" w:rsidRPr="00B55E28" w:rsidRDefault="001502F8" w:rsidP="001502F8">
            <w:pPr>
              <w:pStyle w:val="TexttabulkaCalibriLight"/>
              <w:rPr>
                <w:szCs w:val="17"/>
              </w:rPr>
            </w:pPr>
            <w:r>
              <w:rPr>
                <w:rFonts w:cs="Arial"/>
                <w:szCs w:val="17"/>
              </w:rPr>
              <w:fldChar w:fldCharType="begin">
                <w:ffData>
                  <w:name w:val="Text626"/>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1502F8"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1502F8" w:rsidRPr="00B55E28" w:rsidRDefault="001502F8" w:rsidP="001502F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4139D077" w:rsidR="001502F8" w:rsidRDefault="001502F8" w:rsidP="001502F8">
            <w:pPr>
              <w:pStyle w:val="TexttabulkaCalibriLight"/>
              <w:rPr>
                <w:rFonts w:cs="Arial"/>
                <w:szCs w:val="17"/>
              </w:rPr>
            </w:pPr>
            <w:r>
              <w:rPr>
                <w:rFonts w:cs="Arial"/>
                <w:szCs w:val="17"/>
              </w:rPr>
              <w:fldChar w:fldCharType="begin">
                <w:ffData>
                  <w:name w:val="Text630"/>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180C6840" w:rsidR="001502F8" w:rsidRPr="00B55E28" w:rsidRDefault="001502F8" w:rsidP="001502F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62E30554" w:rsidR="001502F8" w:rsidRDefault="001502F8" w:rsidP="001502F8">
            <w:pPr>
              <w:pStyle w:val="TexttabulkaCalibriLight"/>
              <w:rPr>
                <w:rFonts w:cs="Arial"/>
                <w:szCs w:val="17"/>
              </w:rPr>
            </w:pPr>
            <w:r>
              <w:rPr>
                <w:rFonts w:cs="Arial"/>
                <w:szCs w:val="17"/>
              </w:rPr>
              <w:fldChar w:fldCharType="begin">
                <w:ffData>
                  <w:name w:val="Text628"/>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1502F8"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1502F8" w:rsidRPr="00B55E28" w:rsidRDefault="001502F8" w:rsidP="001502F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1502F8" w:rsidRPr="00B55E28" w:rsidRDefault="001502F8" w:rsidP="001502F8">
            <w:pPr>
              <w:pStyle w:val="TexttabulkaCalibriLight"/>
              <w:rPr>
                <w:szCs w:val="17"/>
              </w:rPr>
            </w:pPr>
            <w:r>
              <w:rPr>
                <w:rFonts w:cs="Arial"/>
                <w:szCs w:val="17"/>
              </w:rPr>
              <w:fldChar w:fldCharType="begin">
                <w:ffData>
                  <w:name w:val="Text64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1502F8" w:rsidRPr="00B55E28" w:rsidRDefault="001502F8" w:rsidP="001502F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1502F8" w:rsidRPr="00B55E28" w:rsidRDefault="001502F8" w:rsidP="001502F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1502F8"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1502F8" w:rsidRPr="00CD13A2" w:rsidRDefault="001502F8" w:rsidP="001502F8">
            <w:pPr>
              <w:pStyle w:val="TextlegendaCalibriBold"/>
            </w:pPr>
            <w:r w:rsidRPr="00B55E28">
              <w:t>Osoba pověřená pro jednání v platebním styku</w:t>
            </w:r>
          </w:p>
        </w:tc>
      </w:tr>
      <w:tr w:rsidR="001502F8"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1502F8" w:rsidRPr="00B55E28" w:rsidRDefault="001502F8" w:rsidP="001502F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06FA8768" w:rsidR="001502F8" w:rsidRPr="00B55E28" w:rsidRDefault="001502F8" w:rsidP="001502F8">
            <w:pPr>
              <w:pStyle w:val="TexttabulkaCalibriLight"/>
              <w:rPr>
                <w:szCs w:val="17"/>
              </w:rPr>
            </w:pPr>
            <w:r>
              <w:rPr>
                <w:rFonts w:cs="Arial"/>
                <w:szCs w:val="17"/>
              </w:rPr>
              <w:fldChar w:fldCharType="begin">
                <w:ffData>
                  <w:name w:val="Text625"/>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4EF16C66" w:rsidR="001502F8" w:rsidRPr="00B55E28" w:rsidRDefault="001502F8" w:rsidP="001502F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0FC037C" w:rsidR="001502F8" w:rsidRPr="00B55E28" w:rsidRDefault="001502F8" w:rsidP="001502F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1502F8"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1502F8" w:rsidRPr="00B55E28" w:rsidRDefault="001502F8" w:rsidP="001502F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266F88D3" w:rsidR="001502F8" w:rsidRPr="00B55E28" w:rsidRDefault="001502F8" w:rsidP="001502F8">
            <w:pPr>
              <w:pStyle w:val="TexttabulkaCalibriLight"/>
              <w:rPr>
                <w:szCs w:val="17"/>
              </w:rPr>
            </w:pPr>
            <w:r>
              <w:rPr>
                <w:rFonts w:cs="Arial"/>
                <w:szCs w:val="17"/>
              </w:rPr>
              <w:fldChar w:fldCharType="begin">
                <w:ffData>
                  <w:name w:val="Text626"/>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1502F8"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1502F8" w:rsidRPr="00B55E28" w:rsidRDefault="001502F8" w:rsidP="001502F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0E0056C1" w:rsidR="001502F8" w:rsidRDefault="001502F8" w:rsidP="001502F8">
            <w:pPr>
              <w:pStyle w:val="TexttabulkaCalibriLight"/>
              <w:rPr>
                <w:rFonts w:cs="Arial"/>
                <w:szCs w:val="17"/>
              </w:rPr>
            </w:pPr>
            <w:r>
              <w:rPr>
                <w:rFonts w:cs="Arial"/>
                <w:szCs w:val="17"/>
              </w:rPr>
              <w:fldChar w:fldCharType="begin">
                <w:ffData>
                  <w:name w:val="Text630"/>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106C86B6" w:rsidR="001502F8" w:rsidRPr="00B55E28" w:rsidRDefault="001502F8" w:rsidP="001502F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63FEF831" w:rsidR="001502F8" w:rsidRDefault="001502F8" w:rsidP="001502F8">
            <w:pPr>
              <w:pStyle w:val="TexttabulkaCalibriLight"/>
              <w:rPr>
                <w:rFonts w:cs="Arial"/>
                <w:szCs w:val="17"/>
              </w:rPr>
            </w:pPr>
            <w:r>
              <w:rPr>
                <w:rFonts w:cs="Arial"/>
                <w:szCs w:val="17"/>
              </w:rPr>
              <w:fldChar w:fldCharType="begin">
                <w:ffData>
                  <w:name w:val="Text628"/>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1502F8"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1502F8" w:rsidRPr="00B55E28" w:rsidRDefault="001502F8" w:rsidP="001502F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1502F8" w:rsidRPr="00B55E28" w:rsidRDefault="001502F8" w:rsidP="001502F8">
            <w:pPr>
              <w:pStyle w:val="TexttabulkaCalibriLight"/>
              <w:rPr>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1502F8" w:rsidRPr="00B55E28" w:rsidRDefault="001502F8" w:rsidP="001502F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1502F8" w:rsidRPr="00B55E28" w:rsidRDefault="001502F8" w:rsidP="001502F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1502F8"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1502F8" w:rsidRPr="00CD13A2" w:rsidRDefault="001502F8" w:rsidP="001502F8">
            <w:pPr>
              <w:pStyle w:val="TextlegendaCalibriBold"/>
            </w:pPr>
            <w:r w:rsidRPr="0061199A">
              <w:t>Osoba oprávněná k jednání v internetové aplikaci innogy24</w:t>
            </w:r>
          </w:p>
        </w:tc>
      </w:tr>
      <w:tr w:rsidR="001502F8"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1502F8" w:rsidRPr="00B55E28" w:rsidRDefault="001502F8" w:rsidP="001502F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1411465D" w:rsidR="001502F8" w:rsidRDefault="001502F8" w:rsidP="001502F8">
            <w:pPr>
              <w:pStyle w:val="TexttabulkaCalibriLight"/>
              <w:rPr>
                <w:rFonts w:cs="Arial"/>
                <w:szCs w:val="17"/>
              </w:rPr>
            </w:pPr>
            <w:r>
              <w:rPr>
                <w:rFonts w:cs="Arial"/>
                <w:szCs w:val="17"/>
              </w:rPr>
              <w:fldChar w:fldCharType="begin">
                <w:ffData>
                  <w:name w:val="Text625"/>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230ED634" w:rsidR="001502F8" w:rsidRPr="00B55E28" w:rsidRDefault="001502F8" w:rsidP="001502F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2653F53A" w:rsidR="001502F8" w:rsidRDefault="001502F8" w:rsidP="001502F8">
            <w:pPr>
              <w:pStyle w:val="TexttabulkaCalibriLight"/>
              <w:rPr>
                <w:rFonts w:cs="Arial"/>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1502F8"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1502F8" w:rsidRPr="00B55E28" w:rsidRDefault="001502F8" w:rsidP="001502F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03457B94" w:rsidR="001502F8" w:rsidRDefault="001502F8" w:rsidP="001502F8">
            <w:pPr>
              <w:pStyle w:val="TexttabulkaCalibriLight"/>
              <w:rPr>
                <w:rFonts w:cs="Arial"/>
                <w:szCs w:val="17"/>
              </w:rPr>
            </w:pPr>
            <w:r>
              <w:rPr>
                <w:rFonts w:cs="Arial"/>
                <w:szCs w:val="17"/>
              </w:rPr>
              <w:fldChar w:fldCharType="begin">
                <w:ffData>
                  <w:name w:val="Text626"/>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1502F8"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1502F8" w:rsidRPr="00B55E28" w:rsidRDefault="001502F8" w:rsidP="001502F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47AF5EBF" w:rsidR="001502F8" w:rsidRDefault="001502F8" w:rsidP="001502F8">
            <w:pPr>
              <w:pStyle w:val="TexttabulkaCalibriLight"/>
              <w:rPr>
                <w:rFonts w:cs="Arial"/>
                <w:szCs w:val="17"/>
              </w:rPr>
            </w:pPr>
            <w:r>
              <w:rPr>
                <w:rFonts w:cs="Arial"/>
                <w:szCs w:val="17"/>
              </w:rPr>
              <w:fldChar w:fldCharType="begin">
                <w:ffData>
                  <w:name w:val="Text630"/>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06978A33" w:rsidR="001502F8" w:rsidRPr="00B55E28" w:rsidRDefault="001502F8" w:rsidP="001502F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AFC62EB" w:rsidR="001502F8" w:rsidRDefault="001502F8" w:rsidP="001502F8">
            <w:pPr>
              <w:pStyle w:val="TexttabulkaCalibriLight"/>
              <w:rPr>
                <w:rFonts w:cs="Arial"/>
                <w:szCs w:val="17"/>
              </w:rPr>
            </w:pPr>
            <w:r>
              <w:rPr>
                <w:rFonts w:cs="Arial"/>
                <w:szCs w:val="17"/>
              </w:rPr>
              <w:fldChar w:fldCharType="begin">
                <w:ffData>
                  <w:name w:val="Text628"/>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1502F8"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1502F8" w:rsidRPr="00B55E28" w:rsidRDefault="001502F8" w:rsidP="001502F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1502F8" w:rsidRDefault="001502F8" w:rsidP="001502F8">
            <w:pPr>
              <w:pStyle w:val="TexttabulkaCalibriLight"/>
              <w:rPr>
                <w:rFonts w:cs="Arial"/>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1502F8" w:rsidRPr="00B55E28" w:rsidRDefault="001502F8" w:rsidP="001502F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1502F8" w:rsidRDefault="001502F8" w:rsidP="001502F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1502F8"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1502F8" w:rsidRPr="00F77ABC" w:rsidRDefault="001502F8" w:rsidP="001502F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28640800" w:rsidR="003C115F" w:rsidRPr="00B55E28" w:rsidRDefault="007A6C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55328DEA" w:rsidR="003C115F" w:rsidRPr="00B55E28" w:rsidRDefault="007A6C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72633991" w:rsidR="003C115F" w:rsidRPr="00B55E28" w:rsidRDefault="007A6C42"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2A862535" w:rsidR="003C115F" w:rsidRPr="00B55E28" w:rsidRDefault="007A6C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ražská třída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třída 702, Hradec Králové, 500 04</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37B10B92" w:rsidR="003C115F" w:rsidRPr="00B55E28" w:rsidRDefault="007A6C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5A5D707E" w:rsidR="003C115F" w:rsidRPr="00B55E28" w:rsidRDefault="007A6C42"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25964999" w:rsidR="003C115F" w:rsidRPr="00B55E28" w:rsidRDefault="007A6C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Officer,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Officer,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ražská třída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třída 702, Hradec Králové, 500 04</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487F7A88" w:rsidR="003C115F" w:rsidRPr="00B55E28" w:rsidRDefault="007A6C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12D56DC6" w:rsidR="003C115F" w:rsidRPr="00B55E28" w:rsidRDefault="007A6C42"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03CDF3A1"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r w:rsidR="007A6C42">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Gaspool a vzniku nové obchodní zóny THE (Trading Hub Europe),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6F50C6B" w14:textId="06C4CAC0"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MWh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4D13CDBB"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7A6C42">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Hradec Králové"/>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Hradec Králové</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Nové Město nad Metují"/>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Nové Město nad Metují</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31B1D35D" w:rsidR="00920D7C" w:rsidRPr="00CD13A2" w:rsidRDefault="007A6C42"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 Miroslav Kosek"/>
                  </w:textInput>
                </w:ffData>
              </w:fldChar>
            </w:r>
            <w:r>
              <w:instrText xml:space="preserve"> FORMTEXT </w:instrText>
            </w:r>
            <w:r>
              <w:fldChar w:fldCharType="separate"/>
            </w:r>
            <w:r>
              <w:rPr>
                <w:noProof/>
              </w:rPr>
              <w:t>Miroslav Kosek</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1B4B716A" w:rsidR="00920D7C" w:rsidRPr="00CD13A2" w:rsidRDefault="007A6C42"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60B8D994" w14:textId="4B80487F"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7A6C42">
      <w:pPr>
        <w:pStyle w:val="Nazev2CalibriBold"/>
        <w:spacing w:after="0"/>
        <w:rPr>
          <w:rFonts w:asciiTheme="minorHAnsi" w:hAnsiTheme="minorHAnsi"/>
          <w:sz w:val="2"/>
          <w:szCs w:val="2"/>
        </w:rPr>
      </w:pPr>
    </w:p>
    <w:sectPr w:rsidR="000C115E" w:rsidRPr="008216C9" w:rsidSect="0076267D">
      <w:headerReference w:type="default" r:id="rId18"/>
      <w:footerReference w:type="default" r:id="rId19"/>
      <w:headerReference w:type="first" r:id="rId20"/>
      <w:footerReference w:type="first" r:id="rId21"/>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97CB" w14:textId="77777777" w:rsidR="006D5FBA" w:rsidRDefault="006D5FBA" w:rsidP="00055080">
      <w:r>
        <w:separator/>
      </w:r>
    </w:p>
    <w:p w14:paraId="32C702D7" w14:textId="77777777" w:rsidR="006D5FBA" w:rsidRDefault="006D5FBA"/>
  </w:endnote>
  <w:endnote w:type="continuationSeparator" w:id="0">
    <w:p w14:paraId="71F3AA0D" w14:textId="77777777" w:rsidR="006D5FBA" w:rsidRDefault="006D5FBA" w:rsidP="00055080">
      <w:r>
        <w:continuationSeparator/>
      </w:r>
    </w:p>
    <w:p w14:paraId="2BCFAE08" w14:textId="77777777" w:rsidR="006D5FBA" w:rsidRDefault="006D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514D" w14:textId="77777777" w:rsidR="007A6C42" w:rsidRDefault="007A6C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44F1" w14:textId="6D100F92" w:rsidR="002616CB" w:rsidRPr="008C0A1D" w:rsidRDefault="002616CB"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2616CB" w:rsidRPr="00F77ABC" w:rsidRDefault="002616CB"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8"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o:allowincell="f" filled="f" stroked="f" strokeweight=".5pt">
              <v:textbox inset="20pt,0,,0">
                <w:txbxContent>
                  <w:p w14:paraId="2A5D7AC0" w14:textId="7FA183D5" w:rsidR="002616CB" w:rsidRPr="00F77ABC" w:rsidRDefault="002616CB"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A6C42">
              <w:rPr>
                <w:noProof/>
              </w:rPr>
              <w:t>8</w:t>
            </w:r>
            <w:r>
              <w:rPr>
                <w:noProof/>
              </w:rPr>
              <w:fldChar w:fldCharType="end"/>
            </w:r>
          </w:sdtContent>
        </w:sdt>
      </w:sdtContent>
    </w:sdt>
  </w:p>
  <w:p w14:paraId="7DA8DBF0" w14:textId="77777777" w:rsidR="002616CB" w:rsidRDefault="002616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969A" w14:textId="62C45452" w:rsidR="002616CB" w:rsidRPr="001A128F" w:rsidRDefault="002616CB"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2616CB" w:rsidRPr="00F77ABC" w:rsidRDefault="002616CB"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9"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o:allowincell="f" filled="f" stroked="f" strokeweight=".5pt">
              <v:textbox inset="20pt,0,,0">
                <w:txbxContent>
                  <w:p w14:paraId="61F4948A" w14:textId="4D195B7B" w:rsidR="002616CB" w:rsidRPr="00F77ABC" w:rsidRDefault="002616CB"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A6C42">
                  <w:rPr>
                    <w:noProof/>
                  </w:rPr>
                  <w:t>8</w:t>
                </w:r>
                <w:r>
                  <w:rPr>
                    <w:noProof/>
                  </w:rPr>
                  <w:fldChar w:fldCharType="end"/>
                </w:r>
              </w:sdtContent>
            </w:sdt>
          </w:sdtContent>
        </w:sdt>
      </w:sdtContent>
    </w:sdt>
  </w:p>
  <w:p w14:paraId="0C5F13AD" w14:textId="77777777" w:rsidR="002616CB" w:rsidRDefault="002616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2616CB" w:rsidRPr="008C0A1D" w:rsidRDefault="002616CB"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2616CB" w:rsidRPr="001A128F" w:rsidRDefault="002616CB"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2616CB" w:rsidRPr="008C0A1D" w:rsidRDefault="007A6C42"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2616CB">
                          <w:t>Smlouva - zemní plyn: Distribuční přehled</w:t>
                        </w:r>
                        <w:r w:rsidR="002616CB" w:rsidRPr="008C0A1D">
                          <w:tab/>
                        </w:r>
                        <w:r w:rsidR="002616CB">
                          <w:t>1/1</w:t>
                        </w:r>
                      </w:sdtContent>
                    </w:sdt>
                    <w:r w:rsidR="002616CB">
                      <w:t xml:space="preserve"> </w:t>
                    </w:r>
                  </w:sdtContent>
                </w:sdt>
              </w:sdtContent>
            </w:sdt>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2616CB" w:rsidRPr="001A128F" w:rsidRDefault="002616CB"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E882E" w14:textId="77777777" w:rsidR="006D5FBA" w:rsidRDefault="006D5FBA" w:rsidP="00055080">
      <w:r>
        <w:separator/>
      </w:r>
    </w:p>
    <w:p w14:paraId="2D8B1A57" w14:textId="77777777" w:rsidR="006D5FBA" w:rsidRDefault="006D5FBA"/>
  </w:footnote>
  <w:footnote w:type="continuationSeparator" w:id="0">
    <w:p w14:paraId="20E97E68" w14:textId="77777777" w:rsidR="006D5FBA" w:rsidRDefault="006D5FBA" w:rsidP="00055080">
      <w:r>
        <w:continuationSeparator/>
      </w:r>
    </w:p>
    <w:p w14:paraId="38A3134E" w14:textId="77777777" w:rsidR="006D5FBA" w:rsidRDefault="006D5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0F16" w14:textId="77777777" w:rsidR="007A6C42" w:rsidRDefault="007A6C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8FCB" w14:textId="77777777" w:rsidR="002616CB" w:rsidRDefault="002616CB"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C17E" w14:textId="6DF8E12C" w:rsidR="002616CB" w:rsidRDefault="002616CB">
    <w:pPr>
      <w:pStyle w:val="Zhlav"/>
    </w:pPr>
  </w:p>
  <w:p w14:paraId="25BDC981" w14:textId="7FE3558F" w:rsidR="002616CB" w:rsidRDefault="002616CB">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2DD" w14:textId="28B1E9CF" w:rsidR="002616CB" w:rsidRDefault="002616CB" w:rsidP="00096773">
    <w:pPr>
      <w:pStyle w:val="Zhlav"/>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E7E8" w14:textId="77777777" w:rsidR="002616CB" w:rsidRDefault="002616CB">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30F6" w14:textId="77777777" w:rsidR="002616CB" w:rsidRDefault="002616CB"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FB" w14:textId="77777777" w:rsidR="002616CB" w:rsidRDefault="002616CB">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02F8"/>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2BC"/>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3A44"/>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5FB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6C1A"/>
    <w:rsid w:val="007A6C42"/>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9AA"/>
    <w:rsid w:val="009C3304"/>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52B"/>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1E5C"/>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3DE5"/>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0FF6"/>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3137</Words>
  <Characters>18513</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2022-01-25T11:09:00Z</dcterms:created>
  <dcterms:modified xsi:type="dcterms:W3CDTF">2022-01-25T11:09:00Z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