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209D" w14:textId="77777777" w:rsidR="00972A7F" w:rsidRDefault="00972A7F" w:rsidP="00972A7F">
      <w:pPr>
        <w:pStyle w:val="Nadpis6"/>
        <w:spacing w:after="0"/>
        <w:rPr>
          <w:rFonts w:ascii="Times New Roman" w:eastAsia="Arial Unicode MS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S M L O U V A   O   D Í L O</w:t>
      </w:r>
    </w:p>
    <w:p w14:paraId="35260A8A" w14:textId="77777777" w:rsidR="00972A7F" w:rsidRDefault="00972A7F" w:rsidP="00972A7F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na veřejnou zakázku malého rozsahu s názvem</w:t>
      </w:r>
    </w:p>
    <w:p w14:paraId="0F6F325E" w14:textId="77777777" w:rsidR="00972A7F" w:rsidRPr="00417C01" w:rsidRDefault="00972A7F" w:rsidP="00972A7F">
      <w:pPr>
        <w:jc w:val="center"/>
        <w:rPr>
          <w:rFonts w:cs="Times New Roman"/>
          <w:b/>
          <w:bCs/>
        </w:rPr>
      </w:pPr>
      <w:r w:rsidRPr="00417C01">
        <w:rPr>
          <w:rFonts w:cs="Times New Roman"/>
          <w:b/>
        </w:rPr>
        <w:t>„Revize a opravy elektro zařízení</w:t>
      </w:r>
      <w:r w:rsidRPr="00417C01">
        <w:rPr>
          <w:rFonts w:cs="Times New Roman"/>
          <w:b/>
          <w:bCs/>
        </w:rPr>
        <w:t xml:space="preserve"> v Domově seniorů Jenštejn</w:t>
      </w:r>
      <w:r w:rsidRPr="00417C01">
        <w:rPr>
          <w:rFonts w:cs="Times New Roman"/>
          <w:b/>
        </w:rPr>
        <w:t>“</w:t>
      </w:r>
    </w:p>
    <w:p w14:paraId="37EBF8A5" w14:textId="77777777" w:rsidR="0078552C" w:rsidRPr="00972A7F" w:rsidRDefault="00972A7F" w:rsidP="00972A7F">
      <w:pPr>
        <w:pStyle w:val="Nadpis6"/>
        <w:spacing w:after="0"/>
        <w:rPr>
          <w:rFonts w:cs="Times New Roman"/>
          <w:b/>
          <w:bCs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 xml:space="preserve">                                                                             </w:t>
      </w:r>
      <w:r w:rsidR="0078552C" w:rsidRPr="00972A7F">
        <w:rPr>
          <w:rFonts w:cs="Times New Roman"/>
          <w:b/>
          <w:bCs/>
          <w:snapToGrid w:val="0"/>
          <w:sz w:val="24"/>
          <w:szCs w:val="24"/>
        </w:rPr>
        <w:t>Článek 1</w:t>
      </w:r>
    </w:p>
    <w:p w14:paraId="72AEAA21" w14:textId="77777777" w:rsidR="0078552C" w:rsidRDefault="0078552C">
      <w:pPr>
        <w:pStyle w:val="Nadpis2"/>
        <w:spacing w:before="0" w:after="120"/>
        <w:rPr>
          <w:rFonts w:cs="Times New Roman"/>
          <w:snapToGrid w:val="0"/>
          <w:color w:val="000000"/>
          <w:sz w:val="24"/>
          <w:szCs w:val="24"/>
        </w:rPr>
      </w:pPr>
      <w:r>
        <w:rPr>
          <w:rFonts w:cs="Times New Roman"/>
          <w:snapToGrid w:val="0"/>
          <w:color w:val="000000"/>
          <w:sz w:val="24"/>
          <w:szCs w:val="24"/>
        </w:rPr>
        <w:t>Smluvní strany</w:t>
      </w:r>
    </w:p>
    <w:p w14:paraId="31C1AC2D" w14:textId="77777777" w:rsidR="0078552C" w:rsidRDefault="0078552C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Objednatel:</w:t>
      </w:r>
    </w:p>
    <w:p w14:paraId="6DF6FB4F" w14:textId="77777777" w:rsidR="0078552C" w:rsidRDefault="0078552C">
      <w:pPr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Domov seniorů </w:t>
      </w:r>
      <w:r w:rsidR="00417C01">
        <w:rPr>
          <w:rFonts w:cs="Times New Roman"/>
          <w:b/>
          <w:bCs/>
          <w:sz w:val="22"/>
          <w:szCs w:val="22"/>
        </w:rPr>
        <w:t>Jenštejn</w:t>
      </w:r>
      <w:r>
        <w:rPr>
          <w:rFonts w:cs="Times New Roman"/>
          <w:b/>
          <w:bCs/>
          <w:sz w:val="22"/>
          <w:szCs w:val="22"/>
        </w:rPr>
        <w:t xml:space="preserve">, </w:t>
      </w:r>
      <w:r w:rsidR="00417C01">
        <w:rPr>
          <w:rFonts w:cs="Times New Roman"/>
          <w:b/>
          <w:bCs/>
          <w:sz w:val="22"/>
          <w:szCs w:val="22"/>
        </w:rPr>
        <w:t>poskytovatel sociálních služeb</w:t>
      </w:r>
    </w:p>
    <w:p w14:paraId="3713F20C" w14:textId="77777777" w:rsidR="0078552C" w:rsidRPr="008C440C" w:rsidRDefault="0078552C">
      <w:pPr>
        <w:jc w:val="both"/>
        <w:rPr>
          <w:rFonts w:cs="Times New Roman"/>
        </w:rPr>
      </w:pPr>
      <w:r w:rsidRPr="008C440C">
        <w:rPr>
          <w:rFonts w:cs="Times New Roman"/>
        </w:rPr>
        <w:t xml:space="preserve">se sídlem </w:t>
      </w:r>
      <w:r w:rsidR="00417C01">
        <w:rPr>
          <w:rFonts w:cs="Times New Roman"/>
        </w:rPr>
        <w:t xml:space="preserve">Vinořská 78, 250 </w:t>
      </w:r>
      <w:proofErr w:type="gramStart"/>
      <w:r w:rsidR="00417C01">
        <w:rPr>
          <w:rFonts w:cs="Times New Roman"/>
        </w:rPr>
        <w:t>73  Jenštejn</w:t>
      </w:r>
      <w:proofErr w:type="gramEnd"/>
    </w:p>
    <w:p w14:paraId="13398304" w14:textId="77777777" w:rsidR="0078552C" w:rsidRPr="008C440C" w:rsidRDefault="0078552C">
      <w:pPr>
        <w:jc w:val="both"/>
        <w:rPr>
          <w:rFonts w:cs="Times New Roman"/>
        </w:rPr>
      </w:pPr>
      <w:r w:rsidRPr="008C440C">
        <w:rPr>
          <w:rFonts w:cs="Times New Roman"/>
        </w:rPr>
        <w:t>IČO: 7</w:t>
      </w:r>
      <w:r w:rsidR="00417C01">
        <w:rPr>
          <w:rFonts w:cs="Times New Roman"/>
        </w:rPr>
        <w:t>12 29 108</w:t>
      </w:r>
    </w:p>
    <w:p w14:paraId="2063DCF6" w14:textId="77777777" w:rsidR="0078552C" w:rsidRPr="008C440C" w:rsidRDefault="0078552C">
      <w:pPr>
        <w:jc w:val="both"/>
        <w:rPr>
          <w:rFonts w:cs="Times New Roman"/>
        </w:rPr>
      </w:pPr>
      <w:r w:rsidRPr="008C440C">
        <w:rPr>
          <w:rFonts w:cs="Times New Roman"/>
        </w:rPr>
        <w:t>zapsána v obchodním rejstříku vedeném u Krajského soudu v </w:t>
      </w:r>
      <w:r w:rsidR="00417C01">
        <w:rPr>
          <w:rFonts w:cs="Times New Roman"/>
        </w:rPr>
        <w:t>Praze</w:t>
      </w:r>
      <w:r w:rsidRPr="008C440C">
        <w:rPr>
          <w:rFonts w:cs="Times New Roman"/>
          <w:b/>
          <w:bCs/>
        </w:rPr>
        <w:t xml:space="preserve">, </w:t>
      </w:r>
      <w:r w:rsidRPr="008C440C">
        <w:rPr>
          <w:rFonts w:cs="Times New Roman"/>
        </w:rPr>
        <w:t xml:space="preserve">oddíl </w:t>
      </w:r>
      <w:proofErr w:type="spellStart"/>
      <w:r w:rsidRPr="008C440C">
        <w:rPr>
          <w:rFonts w:cs="Times New Roman"/>
        </w:rPr>
        <w:t>Pr</w:t>
      </w:r>
      <w:proofErr w:type="spellEnd"/>
      <w:r w:rsidRPr="008C440C">
        <w:rPr>
          <w:rFonts w:cs="Times New Roman"/>
        </w:rPr>
        <w:t xml:space="preserve">, vložka </w:t>
      </w:r>
      <w:r w:rsidR="00417C01">
        <w:rPr>
          <w:rFonts w:cs="Times New Roman"/>
        </w:rPr>
        <w:t>967</w:t>
      </w:r>
    </w:p>
    <w:p w14:paraId="32209F29" w14:textId="77777777" w:rsidR="0078552C" w:rsidRPr="008C440C" w:rsidRDefault="0078552C">
      <w:pPr>
        <w:jc w:val="both"/>
        <w:rPr>
          <w:rFonts w:cs="Times New Roman"/>
        </w:rPr>
      </w:pPr>
      <w:r w:rsidRPr="008C440C">
        <w:rPr>
          <w:rFonts w:cs="Times New Roman"/>
        </w:rPr>
        <w:t xml:space="preserve">zastoupená: </w:t>
      </w:r>
      <w:r w:rsidR="00417C01">
        <w:rPr>
          <w:rFonts w:cs="Times New Roman"/>
        </w:rPr>
        <w:t xml:space="preserve">Mgr. Jiřím </w:t>
      </w:r>
      <w:proofErr w:type="spellStart"/>
      <w:r w:rsidR="00417C01">
        <w:rPr>
          <w:rFonts w:cs="Times New Roman"/>
        </w:rPr>
        <w:t>Plonerem</w:t>
      </w:r>
      <w:proofErr w:type="spellEnd"/>
      <w:r w:rsidRPr="008C440C">
        <w:rPr>
          <w:rFonts w:cs="Times New Roman"/>
        </w:rPr>
        <w:t>, ředitelem</w:t>
      </w:r>
    </w:p>
    <w:p w14:paraId="2886C0E9" w14:textId="77777777" w:rsidR="0078552C" w:rsidRPr="008C440C" w:rsidRDefault="0078552C">
      <w:pPr>
        <w:jc w:val="both"/>
        <w:rPr>
          <w:rFonts w:cs="Times New Roman"/>
        </w:rPr>
      </w:pPr>
      <w:r w:rsidRPr="008C440C">
        <w:rPr>
          <w:rFonts w:cs="Times New Roman"/>
        </w:rPr>
        <w:t>osob</w:t>
      </w:r>
      <w:r w:rsidR="00417C01">
        <w:rPr>
          <w:rFonts w:cs="Times New Roman"/>
        </w:rPr>
        <w:t>y</w:t>
      </w:r>
      <w:r w:rsidRPr="008C440C">
        <w:rPr>
          <w:rFonts w:cs="Times New Roman"/>
        </w:rPr>
        <w:t xml:space="preserve"> pověřené jednat jménem objednatele ve věcech technických: </w:t>
      </w:r>
    </w:p>
    <w:p w14:paraId="54A37C64" w14:textId="03E3C982" w:rsidR="0078552C" w:rsidRPr="008C440C" w:rsidRDefault="00E1386C">
      <w:pPr>
        <w:jc w:val="both"/>
        <w:rPr>
          <w:rFonts w:cs="Times New Roman"/>
        </w:rPr>
      </w:pPr>
      <w:r>
        <w:rPr>
          <w:rFonts w:cs="Times New Roman"/>
        </w:rPr>
        <w:t>……………………</w:t>
      </w:r>
      <w:r w:rsidR="0078552C" w:rsidRPr="008C440C">
        <w:rPr>
          <w:rFonts w:cs="Times New Roman"/>
        </w:rPr>
        <w:t xml:space="preserve">, vedoucí provozu, </w:t>
      </w:r>
      <w:r>
        <w:rPr>
          <w:rFonts w:cs="Times New Roman"/>
        </w:rPr>
        <w:t>…………………………</w:t>
      </w:r>
    </w:p>
    <w:p w14:paraId="1EE7E8B0" w14:textId="744C68C0" w:rsidR="0078552C" w:rsidRDefault="0078552C">
      <w:pPr>
        <w:jc w:val="both"/>
        <w:rPr>
          <w:rFonts w:cs="Times New Roman"/>
        </w:rPr>
      </w:pPr>
      <w:r w:rsidRPr="008C440C">
        <w:rPr>
          <w:rFonts w:cs="Times New Roman"/>
        </w:rPr>
        <w:t xml:space="preserve">číslo </w:t>
      </w:r>
      <w:proofErr w:type="gramStart"/>
      <w:r w:rsidRPr="008C440C">
        <w:rPr>
          <w:rFonts w:cs="Times New Roman"/>
        </w:rPr>
        <w:t xml:space="preserve">účtu:  </w:t>
      </w:r>
      <w:r w:rsidR="00E1386C">
        <w:rPr>
          <w:rFonts w:cs="Times New Roman"/>
        </w:rPr>
        <w:t>…</w:t>
      </w:r>
      <w:proofErr w:type="gramEnd"/>
      <w:r w:rsidR="00E1386C">
        <w:rPr>
          <w:rFonts w:cs="Times New Roman"/>
        </w:rPr>
        <w:t>…………………………………………………..</w:t>
      </w:r>
    </w:p>
    <w:p w14:paraId="42414DAC" w14:textId="15CCAD49" w:rsidR="008E5668" w:rsidRPr="008C440C" w:rsidRDefault="008D48BE">
      <w:pPr>
        <w:jc w:val="both"/>
        <w:rPr>
          <w:rFonts w:cs="Times New Roman"/>
        </w:rPr>
      </w:pPr>
      <w:r>
        <w:rPr>
          <w:rFonts w:cs="Times New Roman"/>
        </w:rPr>
        <w:t>číslo smlouvy na straně objednatele: 229/71229108/2021</w:t>
      </w:r>
    </w:p>
    <w:p w14:paraId="41D6720B" w14:textId="77777777" w:rsidR="0078552C" w:rsidRDefault="0078552C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(dále jen „objednatel“)</w:t>
      </w:r>
    </w:p>
    <w:p w14:paraId="5AE1DC1F" w14:textId="77777777" w:rsidR="0078552C" w:rsidRDefault="0078552C">
      <w:pPr>
        <w:jc w:val="both"/>
        <w:rPr>
          <w:rFonts w:cs="Times New Roman"/>
          <w:b/>
          <w:bCs/>
        </w:rPr>
      </w:pPr>
    </w:p>
    <w:p w14:paraId="25C68015" w14:textId="77777777" w:rsidR="0078552C" w:rsidRDefault="0078552C">
      <w:pPr>
        <w:jc w:val="both"/>
        <w:rPr>
          <w:rFonts w:cs="Times New Roman"/>
          <w:b/>
          <w:bCs/>
        </w:rPr>
      </w:pPr>
    </w:p>
    <w:p w14:paraId="4B2C71E8" w14:textId="77777777" w:rsidR="0078552C" w:rsidRDefault="0078552C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</w:t>
      </w:r>
    </w:p>
    <w:p w14:paraId="031AA7AD" w14:textId="77777777" w:rsidR="0078552C" w:rsidRDefault="0078552C">
      <w:pPr>
        <w:jc w:val="both"/>
        <w:rPr>
          <w:rFonts w:cs="Times New Roman"/>
        </w:rPr>
      </w:pPr>
    </w:p>
    <w:p w14:paraId="309F5BE2" w14:textId="77777777" w:rsidR="0078552C" w:rsidRDefault="0078552C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Zhotovitel:</w:t>
      </w:r>
    </w:p>
    <w:p w14:paraId="6C94C43E" w14:textId="77777777" w:rsidR="0078552C" w:rsidRPr="00FE7FE3" w:rsidRDefault="0078552C">
      <w:pPr>
        <w:jc w:val="both"/>
        <w:rPr>
          <w:rFonts w:cs="Times New Roman"/>
          <w:b/>
          <w:bCs/>
        </w:rPr>
      </w:pPr>
      <w:r w:rsidRPr="00FE7FE3">
        <w:rPr>
          <w:rFonts w:cs="Times New Roman"/>
          <w:b/>
          <w:bCs/>
        </w:rPr>
        <w:t>Obchodní firma:</w:t>
      </w:r>
      <w:r w:rsidR="00F27C22" w:rsidRPr="00FE7FE3">
        <w:rPr>
          <w:rFonts w:cs="Times New Roman"/>
          <w:b/>
          <w:bCs/>
        </w:rPr>
        <w:t xml:space="preserve"> </w:t>
      </w:r>
      <w:proofErr w:type="spellStart"/>
      <w:r w:rsidR="00F27C22" w:rsidRPr="00FE7FE3">
        <w:rPr>
          <w:rFonts w:cs="Times New Roman"/>
          <w:b/>
          <w:bCs/>
        </w:rPr>
        <w:t>Pikrevize</w:t>
      </w:r>
      <w:proofErr w:type="spellEnd"/>
    </w:p>
    <w:p w14:paraId="223978E2" w14:textId="77777777" w:rsidR="0078552C" w:rsidRPr="00FE7FE3" w:rsidRDefault="0078552C">
      <w:pPr>
        <w:jc w:val="both"/>
        <w:rPr>
          <w:rFonts w:cs="Times New Roman"/>
        </w:rPr>
      </w:pPr>
      <w:r w:rsidRPr="00FE7FE3">
        <w:rPr>
          <w:rFonts w:cs="Times New Roman"/>
        </w:rPr>
        <w:t>se sídlem:</w:t>
      </w:r>
      <w:r w:rsidR="006C6717" w:rsidRPr="00FE7FE3">
        <w:rPr>
          <w:rFonts w:cs="Times New Roman"/>
        </w:rPr>
        <w:t xml:space="preserve"> U Strouhy 82 Svémyslice 25091</w:t>
      </w:r>
    </w:p>
    <w:p w14:paraId="11DF4168" w14:textId="77777777" w:rsidR="0078552C" w:rsidRPr="00FE7FE3" w:rsidRDefault="0078552C">
      <w:pPr>
        <w:jc w:val="both"/>
        <w:rPr>
          <w:rFonts w:cs="Times New Roman"/>
          <w:b/>
          <w:bCs/>
        </w:rPr>
      </w:pPr>
      <w:r w:rsidRPr="00FE7FE3">
        <w:rPr>
          <w:rFonts w:cs="Times New Roman"/>
          <w:b/>
          <w:bCs/>
        </w:rPr>
        <w:t xml:space="preserve">zastoupený: </w:t>
      </w:r>
      <w:r w:rsidR="006C6717" w:rsidRPr="00FE7FE3">
        <w:rPr>
          <w:rFonts w:cs="Times New Roman"/>
          <w:b/>
          <w:bCs/>
        </w:rPr>
        <w:t>Jiří Pik</w:t>
      </w:r>
    </w:p>
    <w:p w14:paraId="3F7275C2" w14:textId="77777777" w:rsidR="00954E11" w:rsidRDefault="0078552C">
      <w:pPr>
        <w:jc w:val="both"/>
        <w:rPr>
          <w:rFonts w:cs="Times New Roman"/>
        </w:rPr>
      </w:pPr>
      <w:r w:rsidRPr="00FE7FE3">
        <w:rPr>
          <w:rFonts w:cs="Times New Roman"/>
        </w:rPr>
        <w:t>zapsán v obchodním rejstříku</w:t>
      </w:r>
    </w:p>
    <w:p w14:paraId="55CC4BF8" w14:textId="795DE541" w:rsidR="0078552C" w:rsidRPr="00FE7FE3" w:rsidRDefault="0078552C">
      <w:pPr>
        <w:jc w:val="both"/>
        <w:rPr>
          <w:rFonts w:cs="Times New Roman"/>
        </w:rPr>
      </w:pPr>
      <w:r w:rsidRPr="00FE7FE3">
        <w:rPr>
          <w:rFonts w:cs="Times New Roman"/>
        </w:rPr>
        <w:t xml:space="preserve">osoba pověřená jednat jménem zhotovitele ve věcech </w:t>
      </w:r>
      <w:proofErr w:type="gramStart"/>
      <w:r w:rsidRPr="00FE7FE3">
        <w:rPr>
          <w:rFonts w:cs="Times New Roman"/>
        </w:rPr>
        <w:t>smluvních :</w:t>
      </w:r>
      <w:proofErr w:type="gramEnd"/>
      <w:r w:rsidR="006C6717" w:rsidRPr="00FE7FE3">
        <w:rPr>
          <w:rFonts w:cs="Times New Roman"/>
        </w:rPr>
        <w:t xml:space="preserve"> Jiří Pik</w:t>
      </w:r>
    </w:p>
    <w:p w14:paraId="198B53DF" w14:textId="77777777" w:rsidR="0078552C" w:rsidRPr="00FE7FE3" w:rsidRDefault="0078552C">
      <w:pPr>
        <w:jc w:val="both"/>
        <w:rPr>
          <w:rFonts w:cs="Times New Roman"/>
        </w:rPr>
      </w:pPr>
      <w:proofErr w:type="gramStart"/>
      <w:r w:rsidRPr="00FE7FE3">
        <w:rPr>
          <w:rFonts w:cs="Times New Roman"/>
        </w:rPr>
        <w:t>technických :</w:t>
      </w:r>
      <w:proofErr w:type="gramEnd"/>
      <w:r w:rsidRPr="00FE7FE3">
        <w:rPr>
          <w:rFonts w:cs="Times New Roman"/>
        </w:rPr>
        <w:t xml:space="preserve"> </w:t>
      </w:r>
      <w:r w:rsidR="006C6717" w:rsidRPr="00FE7FE3">
        <w:rPr>
          <w:rFonts w:cs="Times New Roman"/>
        </w:rPr>
        <w:t>Jiří Pik</w:t>
      </w:r>
    </w:p>
    <w:p w14:paraId="111D3F46" w14:textId="77777777" w:rsidR="0078552C" w:rsidRPr="00FE7FE3" w:rsidRDefault="0078552C">
      <w:pPr>
        <w:jc w:val="both"/>
        <w:rPr>
          <w:rFonts w:cs="Times New Roman"/>
        </w:rPr>
      </w:pPr>
      <w:r w:rsidRPr="00FE7FE3">
        <w:rPr>
          <w:rFonts w:cs="Times New Roman"/>
        </w:rPr>
        <w:t>………………….………………</w:t>
      </w:r>
    </w:p>
    <w:p w14:paraId="2A1108D1" w14:textId="77777777" w:rsidR="0078552C" w:rsidRPr="00FE7FE3" w:rsidRDefault="0078552C">
      <w:pPr>
        <w:jc w:val="both"/>
        <w:rPr>
          <w:rFonts w:cs="Times New Roman"/>
        </w:rPr>
      </w:pPr>
      <w:r w:rsidRPr="00FE7FE3">
        <w:rPr>
          <w:rFonts w:cs="Times New Roman"/>
        </w:rPr>
        <w:t>Bankovní spojení:</w:t>
      </w:r>
      <w:r w:rsidR="00886883" w:rsidRPr="00FE7FE3">
        <w:rPr>
          <w:rFonts w:cs="Times New Roman"/>
        </w:rPr>
        <w:t xml:space="preserve"> Česká Spořitelna</w:t>
      </w:r>
    </w:p>
    <w:p w14:paraId="6A8C1017" w14:textId="64E3FEBD" w:rsidR="0078552C" w:rsidRPr="00FE7FE3" w:rsidRDefault="006C6717">
      <w:pPr>
        <w:jc w:val="both"/>
        <w:rPr>
          <w:rFonts w:cs="Times New Roman"/>
        </w:rPr>
      </w:pPr>
      <w:r w:rsidRPr="00FE7FE3">
        <w:rPr>
          <w:rFonts w:cs="Times New Roman"/>
        </w:rPr>
        <w:t xml:space="preserve">Č. </w:t>
      </w:r>
      <w:proofErr w:type="gramStart"/>
      <w:r w:rsidRPr="00FE7FE3">
        <w:rPr>
          <w:rFonts w:cs="Times New Roman"/>
        </w:rPr>
        <w:t xml:space="preserve">účtu </w:t>
      </w:r>
      <w:r w:rsidR="0078552C" w:rsidRPr="00FE7FE3">
        <w:rPr>
          <w:rFonts w:cs="Times New Roman"/>
        </w:rPr>
        <w:t>:</w:t>
      </w:r>
      <w:proofErr w:type="gramEnd"/>
      <w:r w:rsidRPr="00FE7FE3">
        <w:rPr>
          <w:rFonts w:cs="Times New Roman"/>
        </w:rPr>
        <w:t xml:space="preserve"> </w:t>
      </w:r>
      <w:r w:rsidR="00E1386C">
        <w:rPr>
          <w:rFonts w:cs="Times New Roman"/>
        </w:rPr>
        <w:t>………………………..</w:t>
      </w:r>
    </w:p>
    <w:p w14:paraId="1A523E37" w14:textId="77777777" w:rsidR="0078552C" w:rsidRPr="00FE7FE3" w:rsidRDefault="0078552C">
      <w:pPr>
        <w:jc w:val="both"/>
        <w:rPr>
          <w:rFonts w:cs="Times New Roman"/>
        </w:rPr>
      </w:pPr>
      <w:r w:rsidRPr="00FE7FE3">
        <w:rPr>
          <w:rFonts w:cs="Times New Roman"/>
        </w:rPr>
        <w:t>IČ:</w:t>
      </w:r>
      <w:r w:rsidR="006C6717" w:rsidRPr="00FE7FE3">
        <w:rPr>
          <w:rFonts w:cs="Times New Roman"/>
        </w:rPr>
        <w:t xml:space="preserve"> 60179601</w:t>
      </w:r>
    </w:p>
    <w:p w14:paraId="6029811F" w14:textId="77777777" w:rsidR="0078552C" w:rsidRPr="00FE7FE3" w:rsidRDefault="0078552C">
      <w:pPr>
        <w:jc w:val="both"/>
        <w:rPr>
          <w:rFonts w:cs="Times New Roman"/>
        </w:rPr>
      </w:pPr>
      <w:r w:rsidRPr="00FE7FE3">
        <w:rPr>
          <w:rFonts w:cs="Times New Roman"/>
        </w:rPr>
        <w:t>DIČ:</w:t>
      </w:r>
    </w:p>
    <w:p w14:paraId="334B647E" w14:textId="0EA776C4" w:rsidR="0078552C" w:rsidRPr="00FE7FE3" w:rsidRDefault="006C6717">
      <w:pPr>
        <w:keepNext/>
        <w:jc w:val="both"/>
        <w:outlineLvl w:val="1"/>
        <w:rPr>
          <w:rFonts w:eastAsia="Arial Unicode MS" w:cs="Times New Roman"/>
        </w:rPr>
      </w:pPr>
      <w:r w:rsidRPr="00FE7FE3">
        <w:rPr>
          <w:rFonts w:cs="Times New Roman"/>
        </w:rPr>
        <w:t>Telefon</w:t>
      </w:r>
      <w:r w:rsidR="0078552C" w:rsidRPr="00FE7FE3">
        <w:rPr>
          <w:rFonts w:cs="Times New Roman"/>
        </w:rPr>
        <w:t xml:space="preserve">: </w:t>
      </w:r>
      <w:r w:rsidR="00E1386C">
        <w:rPr>
          <w:rFonts w:cs="Times New Roman"/>
        </w:rPr>
        <w:t>…………………………….</w:t>
      </w:r>
    </w:p>
    <w:p w14:paraId="6E5B14A1" w14:textId="77777777" w:rsidR="0078552C" w:rsidRPr="00FE7FE3" w:rsidRDefault="0078552C">
      <w:pPr>
        <w:keepNext/>
        <w:jc w:val="both"/>
        <w:outlineLvl w:val="0"/>
        <w:rPr>
          <w:rFonts w:cs="Times New Roman"/>
        </w:rPr>
      </w:pPr>
      <w:r w:rsidRPr="00FE7FE3">
        <w:rPr>
          <w:rFonts w:cs="Times New Roman"/>
        </w:rPr>
        <w:t xml:space="preserve">Fax: </w:t>
      </w:r>
    </w:p>
    <w:p w14:paraId="3733630B" w14:textId="3EDF6D02" w:rsidR="0078552C" w:rsidRPr="00FE7FE3" w:rsidRDefault="0078552C">
      <w:pPr>
        <w:jc w:val="both"/>
        <w:rPr>
          <w:rFonts w:eastAsia="Arial Unicode MS" w:cs="Times New Roman"/>
        </w:rPr>
      </w:pPr>
      <w:r w:rsidRPr="00FE7FE3">
        <w:rPr>
          <w:rFonts w:eastAsia="Arial Unicode MS" w:cs="Times New Roman"/>
        </w:rPr>
        <w:t>E-mail:</w:t>
      </w:r>
      <w:r w:rsidR="006C6717" w:rsidRPr="00FE7FE3">
        <w:rPr>
          <w:rFonts w:eastAsia="Arial Unicode MS" w:cs="Times New Roman"/>
        </w:rPr>
        <w:t xml:space="preserve"> </w:t>
      </w:r>
      <w:r w:rsidR="00E1386C">
        <w:rPr>
          <w:rFonts w:eastAsia="Arial Unicode MS" w:cs="Times New Roman"/>
        </w:rPr>
        <w:t>……………………………..</w:t>
      </w:r>
    </w:p>
    <w:p w14:paraId="496B6EE4" w14:textId="77777777" w:rsidR="0078552C" w:rsidRPr="00FE7FE3" w:rsidRDefault="0078552C">
      <w:pPr>
        <w:jc w:val="both"/>
        <w:rPr>
          <w:rFonts w:cs="Times New Roman"/>
        </w:rPr>
      </w:pPr>
      <w:r w:rsidRPr="00FE7FE3">
        <w:rPr>
          <w:rFonts w:cs="Times New Roman"/>
        </w:rPr>
        <w:t xml:space="preserve">(dále jen </w:t>
      </w:r>
      <w:r w:rsidRPr="00FE7FE3">
        <w:rPr>
          <w:rFonts w:cs="Times New Roman"/>
          <w:b/>
          <w:bCs/>
        </w:rPr>
        <w:t>zhotovitel</w:t>
      </w:r>
      <w:r w:rsidRPr="00FE7FE3">
        <w:rPr>
          <w:rFonts w:cs="Times New Roman"/>
        </w:rPr>
        <w:t>)</w:t>
      </w:r>
    </w:p>
    <w:p w14:paraId="398A0F20" w14:textId="77777777" w:rsidR="0078552C" w:rsidRDefault="0078552C">
      <w:pPr>
        <w:jc w:val="both"/>
        <w:rPr>
          <w:rFonts w:cs="Times New Roman"/>
        </w:rPr>
      </w:pPr>
    </w:p>
    <w:p w14:paraId="0073007E" w14:textId="77777777" w:rsidR="0078552C" w:rsidRDefault="0078552C">
      <w:pPr>
        <w:spacing w:after="120"/>
        <w:jc w:val="both"/>
        <w:rPr>
          <w:rFonts w:cs="Times New Roman"/>
        </w:rPr>
      </w:pPr>
      <w:r>
        <w:rPr>
          <w:rFonts w:cs="Times New Roman"/>
        </w:rPr>
        <w:t>Smluvní strany uzavírají na veřejnou zakázku na služby tuto smlouvu o dílo (dále jen „</w:t>
      </w:r>
      <w:r>
        <w:rPr>
          <w:rFonts w:cs="Times New Roman"/>
          <w:b/>
          <w:bCs/>
        </w:rPr>
        <w:t>smlouva</w:t>
      </w:r>
      <w:r>
        <w:rPr>
          <w:rFonts w:cs="Times New Roman"/>
        </w:rPr>
        <w:t>“).</w:t>
      </w:r>
    </w:p>
    <w:p w14:paraId="56E68849" w14:textId="77777777" w:rsidR="0078552C" w:rsidRDefault="0078552C">
      <w:pPr>
        <w:pStyle w:val="Nadpis2"/>
        <w:spacing w:before="0" w:after="120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Článek 2</w:t>
      </w:r>
    </w:p>
    <w:p w14:paraId="6507404B" w14:textId="77777777" w:rsidR="0078552C" w:rsidRDefault="0078552C">
      <w:pPr>
        <w:pStyle w:val="Nadpis2"/>
        <w:spacing w:before="0"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Podklady pro uzavření smlouvy</w:t>
      </w:r>
    </w:p>
    <w:p w14:paraId="623A7880" w14:textId="77777777" w:rsidR="0078552C" w:rsidRPr="00650514" w:rsidRDefault="0078552C">
      <w:pPr>
        <w:spacing w:after="120"/>
        <w:ind w:left="601" w:hanging="601"/>
        <w:jc w:val="both"/>
        <w:rPr>
          <w:rFonts w:cs="Times New Roman"/>
        </w:rPr>
      </w:pPr>
      <w:r w:rsidRPr="00650514">
        <w:rPr>
          <w:rFonts w:cs="Times New Roman"/>
        </w:rPr>
        <w:t xml:space="preserve">2.1. </w:t>
      </w:r>
      <w:r w:rsidRPr="00650514">
        <w:rPr>
          <w:rFonts w:cs="Times New Roman"/>
        </w:rPr>
        <w:tab/>
      </w:r>
      <w:r w:rsidR="00650514" w:rsidRPr="00650514">
        <w:rPr>
          <w:rFonts w:cs="Times New Roman"/>
        </w:rPr>
        <w:t xml:space="preserve"> </w:t>
      </w:r>
      <w:r w:rsidRPr="00650514">
        <w:rPr>
          <w:rFonts w:cs="Times New Roman"/>
        </w:rPr>
        <w:t xml:space="preserve">Smlouva je uzavírána </w:t>
      </w:r>
      <w:r w:rsidR="00650514" w:rsidRPr="00650514">
        <w:rPr>
          <w:rFonts w:cs="Times New Roman"/>
        </w:rPr>
        <w:t xml:space="preserve">mimo režim zákona o zadávání veřejných zakázek. </w:t>
      </w:r>
      <w:r w:rsidRPr="00650514">
        <w:rPr>
          <w:rFonts w:cs="Times New Roman"/>
        </w:rPr>
        <w:t>Součástí smlouvy je cenová nabídka zhotovitele</w:t>
      </w:r>
      <w:r w:rsidR="00D5461C">
        <w:rPr>
          <w:rFonts w:cs="Times New Roman"/>
        </w:rPr>
        <w:t>.</w:t>
      </w:r>
    </w:p>
    <w:p w14:paraId="782DBEFB" w14:textId="4444C3E3" w:rsidR="0078552C" w:rsidRDefault="0078552C">
      <w:pPr>
        <w:spacing w:after="120"/>
        <w:ind w:left="601" w:hanging="601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2.2. </w:t>
      </w:r>
      <w:r>
        <w:rPr>
          <w:rFonts w:cs="Times New Roman"/>
        </w:rPr>
        <w:tab/>
        <w:t xml:space="preserve">Zhotovitel se zavazuje, že po celou dobu trvání </w:t>
      </w:r>
      <w:r w:rsidR="0053083B">
        <w:rPr>
          <w:rFonts w:cs="Times New Roman"/>
        </w:rPr>
        <w:t>této smlouvy</w:t>
      </w:r>
      <w:r>
        <w:rPr>
          <w:rFonts w:cs="Times New Roman"/>
        </w:rPr>
        <w:t xml:space="preserve"> bud</w:t>
      </w:r>
      <w:r w:rsidR="0053083B">
        <w:rPr>
          <w:rFonts w:cs="Times New Roman"/>
        </w:rPr>
        <w:t>e</w:t>
      </w:r>
      <w:r>
        <w:rPr>
          <w:rFonts w:cs="Times New Roman"/>
        </w:rPr>
        <w:t xml:space="preserve"> mít účinnou pojistnou smlouvu pro případ způsobení škody v souvislosti s výkonem předmětné smluvní činnosti </w:t>
      </w:r>
      <w:r w:rsidR="0053083B">
        <w:rPr>
          <w:rFonts w:cs="Times New Roman"/>
        </w:rPr>
        <w:t>s limitem pojistného plně</w:t>
      </w:r>
      <w:r w:rsidR="00653814">
        <w:rPr>
          <w:rFonts w:cs="Times New Roman"/>
        </w:rPr>
        <w:t xml:space="preserve">ní </w:t>
      </w:r>
      <w:r w:rsidR="00653814" w:rsidRPr="000F778B">
        <w:rPr>
          <w:rFonts w:cs="Times New Roman"/>
        </w:rPr>
        <w:t>minim</w:t>
      </w:r>
      <w:r w:rsidR="0053083B" w:rsidRPr="000F778B">
        <w:rPr>
          <w:rFonts w:cs="Times New Roman"/>
        </w:rPr>
        <w:t>álně</w:t>
      </w:r>
      <w:r w:rsidR="00833967" w:rsidRPr="000F778B">
        <w:rPr>
          <w:rFonts w:cs="Times New Roman"/>
        </w:rPr>
        <w:t xml:space="preserve"> </w:t>
      </w:r>
      <w:proofErr w:type="gramStart"/>
      <w:r w:rsidR="005E371B" w:rsidRPr="000F778B">
        <w:rPr>
          <w:rFonts w:cs="Times New Roman"/>
        </w:rPr>
        <w:t>5</w:t>
      </w:r>
      <w:r w:rsidR="00650514" w:rsidRPr="000F778B">
        <w:rPr>
          <w:rFonts w:cs="Times New Roman"/>
        </w:rPr>
        <w:t>.000.000,</w:t>
      </w:r>
      <w:r w:rsidR="0053083B" w:rsidRPr="000F778B">
        <w:rPr>
          <w:rFonts w:cs="Times New Roman"/>
        </w:rPr>
        <w:t>-</w:t>
      </w:r>
      <w:proofErr w:type="gramEnd"/>
      <w:r w:rsidRPr="000F778B">
        <w:rPr>
          <w:rFonts w:cs="Times New Roman"/>
        </w:rPr>
        <w:t xml:space="preserve"> Kč</w:t>
      </w:r>
      <w:r w:rsidR="00833967" w:rsidRPr="000F778B">
        <w:rPr>
          <w:rFonts w:cs="Times New Roman"/>
        </w:rPr>
        <w:t>.</w:t>
      </w:r>
    </w:p>
    <w:p w14:paraId="0E04A663" w14:textId="77777777" w:rsidR="0078552C" w:rsidRDefault="0078552C">
      <w:pPr>
        <w:spacing w:after="120"/>
        <w:jc w:val="both"/>
        <w:rPr>
          <w:rFonts w:cs="Times New Roman"/>
        </w:rPr>
      </w:pPr>
      <w:r>
        <w:rPr>
          <w:rFonts w:cs="Times New Roman"/>
        </w:rPr>
        <w:t>2.3.    Zhotovitel prohlašuje, že je odborně způsobilý k zajištění předmětu smlouvy.</w:t>
      </w:r>
    </w:p>
    <w:p w14:paraId="636FD989" w14:textId="77777777" w:rsidR="0078552C" w:rsidRDefault="0078552C">
      <w:pPr>
        <w:spacing w:after="120"/>
        <w:jc w:val="both"/>
        <w:rPr>
          <w:rFonts w:cs="Times New Roman"/>
        </w:rPr>
      </w:pPr>
    </w:p>
    <w:p w14:paraId="54F9581A" w14:textId="77777777" w:rsidR="0078552C" w:rsidRDefault="0078552C">
      <w:pPr>
        <w:pStyle w:val="Nadpis2"/>
        <w:spacing w:before="0" w:after="120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Článek 3</w:t>
      </w:r>
    </w:p>
    <w:p w14:paraId="7CB5B688" w14:textId="77777777" w:rsidR="0078552C" w:rsidRDefault="0078552C">
      <w:pPr>
        <w:pStyle w:val="Nadpis2"/>
        <w:spacing w:before="0" w:after="120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Předmět smlouvy</w:t>
      </w:r>
    </w:p>
    <w:p w14:paraId="62287E7C" w14:textId="77777777" w:rsidR="0078552C" w:rsidRPr="002A29D4" w:rsidRDefault="0078552C" w:rsidP="00CE40FF">
      <w:pPr>
        <w:spacing w:after="120"/>
        <w:ind w:left="601" w:hanging="601"/>
        <w:jc w:val="both"/>
        <w:rPr>
          <w:rFonts w:cs="Times New Roman"/>
        </w:rPr>
      </w:pPr>
      <w:r>
        <w:rPr>
          <w:rFonts w:cs="Times New Roman"/>
        </w:rPr>
        <w:t xml:space="preserve">3.1. </w:t>
      </w:r>
      <w:r>
        <w:rPr>
          <w:rFonts w:cs="Times New Roman"/>
        </w:rPr>
        <w:tab/>
        <w:t xml:space="preserve">Zhotovitel se touto smlouvou zavazuje k řádnému a včasnému provedení pravidelné revize </w:t>
      </w:r>
      <w:r w:rsidR="005E371B">
        <w:rPr>
          <w:rFonts w:cs="Times New Roman"/>
        </w:rPr>
        <w:t>spotřebičů Dle ČSN 33 1600 ed.2</w:t>
      </w:r>
      <w:r w:rsidR="00B16DB8">
        <w:rPr>
          <w:rFonts w:cs="Times New Roman"/>
        </w:rPr>
        <w:t>,</w:t>
      </w:r>
      <w:r w:rsidR="005E371B">
        <w:rPr>
          <w:rFonts w:cs="Times New Roman"/>
        </w:rPr>
        <w:t xml:space="preserve"> oprav</w:t>
      </w:r>
      <w:r w:rsidR="00B16DB8">
        <w:rPr>
          <w:rFonts w:cs="Times New Roman"/>
        </w:rPr>
        <w:t xml:space="preserve"> a </w:t>
      </w:r>
      <w:r w:rsidR="005E371B">
        <w:rPr>
          <w:rFonts w:cs="Times New Roman"/>
        </w:rPr>
        <w:t>servisu na elektroinstalaci dle seznamu závad</w:t>
      </w:r>
      <w:r w:rsidRPr="00D90F2B">
        <w:rPr>
          <w:rFonts w:cs="Times New Roman"/>
        </w:rPr>
        <w:t xml:space="preserve"> souvisejících</w:t>
      </w:r>
      <w:r w:rsidRPr="002A29D4">
        <w:rPr>
          <w:rFonts w:cs="Times New Roman"/>
        </w:rPr>
        <w:t xml:space="preserve"> předpisů a norem platných ke dni podpisu smlouvy.</w:t>
      </w:r>
    </w:p>
    <w:p w14:paraId="46893749" w14:textId="77777777" w:rsidR="0078552C" w:rsidRDefault="0078552C">
      <w:pPr>
        <w:spacing w:after="120"/>
        <w:jc w:val="both"/>
        <w:rPr>
          <w:rFonts w:cs="Times New Roman"/>
        </w:rPr>
      </w:pPr>
      <w:r>
        <w:rPr>
          <w:rFonts w:cs="Times New Roman"/>
        </w:rPr>
        <w:t>3.2.    Fakturovat bude zhotovitel pouze skutečně provedené práce.</w:t>
      </w:r>
    </w:p>
    <w:p w14:paraId="191AB600" w14:textId="77777777" w:rsidR="0078552C" w:rsidRDefault="0078552C">
      <w:pPr>
        <w:rPr>
          <w:rFonts w:cs="Times New Roman"/>
          <w:highlight w:val="yellow"/>
        </w:rPr>
      </w:pPr>
    </w:p>
    <w:p w14:paraId="30C4E69B" w14:textId="77777777" w:rsidR="0078552C" w:rsidRDefault="0078552C">
      <w:pPr>
        <w:pStyle w:val="Nadpis2"/>
        <w:spacing w:before="0" w:after="120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Článek 4</w:t>
      </w:r>
    </w:p>
    <w:p w14:paraId="0CCFA287" w14:textId="77777777" w:rsidR="0078552C" w:rsidRDefault="0078552C">
      <w:pPr>
        <w:pStyle w:val="Nadpis2"/>
        <w:spacing w:before="0" w:after="120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Termín a místo plnění smlouvy</w:t>
      </w:r>
    </w:p>
    <w:p w14:paraId="149ABCD5" w14:textId="77777777" w:rsidR="0078552C" w:rsidRDefault="0078552C">
      <w:pPr>
        <w:numPr>
          <w:ilvl w:val="0"/>
          <w:numId w:val="6"/>
        </w:numPr>
        <w:spacing w:after="120"/>
        <w:ind w:hanging="720"/>
        <w:jc w:val="both"/>
        <w:rPr>
          <w:rFonts w:cs="Times New Roman"/>
        </w:rPr>
      </w:pPr>
      <w:r>
        <w:rPr>
          <w:rFonts w:cs="Times New Roman"/>
          <w:snapToGrid w:val="0"/>
        </w:rPr>
        <w:t>Zhotovitel se zavazuje provést dílo následovně:</w:t>
      </w:r>
    </w:p>
    <w:p w14:paraId="0F4AFC2B" w14:textId="54466B65" w:rsidR="0078552C" w:rsidRPr="00833967" w:rsidRDefault="0078552C" w:rsidP="00833967">
      <w:pPr>
        <w:pStyle w:val="Odstavecseseznamem"/>
        <w:numPr>
          <w:ilvl w:val="0"/>
          <w:numId w:val="19"/>
        </w:numPr>
        <w:spacing w:after="120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 xml:space="preserve">Doba plnění smlouvy je stanovena na období </w:t>
      </w:r>
      <w:r>
        <w:rPr>
          <w:rFonts w:cs="Times New Roman"/>
          <w:sz w:val="24"/>
          <w:szCs w:val="24"/>
        </w:rPr>
        <w:t>od 1</w:t>
      </w:r>
      <w:r w:rsidR="000F778B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.</w:t>
      </w:r>
      <w:r w:rsidR="002A17DA">
        <w:rPr>
          <w:rFonts w:cs="Times New Roman"/>
          <w:sz w:val="24"/>
          <w:szCs w:val="24"/>
        </w:rPr>
        <w:t>1</w:t>
      </w:r>
      <w:r w:rsidR="000F778B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.20</w:t>
      </w:r>
      <w:r w:rsidR="00ED656A">
        <w:rPr>
          <w:rFonts w:cs="Times New Roman"/>
          <w:sz w:val="24"/>
          <w:szCs w:val="24"/>
        </w:rPr>
        <w:t>2</w:t>
      </w:r>
      <w:r w:rsidR="00FE7FE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do </w:t>
      </w:r>
      <w:r w:rsidR="003F5481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1.</w:t>
      </w:r>
      <w:r w:rsidR="002A17DA">
        <w:rPr>
          <w:rFonts w:cs="Times New Roman"/>
          <w:sz w:val="24"/>
          <w:szCs w:val="24"/>
        </w:rPr>
        <w:t>1</w:t>
      </w:r>
      <w:r w:rsidR="003F5481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.20</w:t>
      </w:r>
      <w:r w:rsidR="002A17DA">
        <w:rPr>
          <w:rFonts w:cs="Times New Roman"/>
          <w:sz w:val="24"/>
          <w:szCs w:val="24"/>
        </w:rPr>
        <w:t>2</w:t>
      </w:r>
      <w:r w:rsidR="00FE7FE3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b w:val="0"/>
          <w:bCs w:val="0"/>
          <w:sz w:val="24"/>
          <w:szCs w:val="24"/>
        </w:rPr>
        <w:t xml:space="preserve"> </w:t>
      </w:r>
    </w:p>
    <w:p w14:paraId="4AB8A75B" w14:textId="77777777" w:rsidR="0078552C" w:rsidRPr="00833967" w:rsidRDefault="00833967" w:rsidP="00833967">
      <w:pPr>
        <w:pStyle w:val="Odstavecseseznamem"/>
        <w:numPr>
          <w:ilvl w:val="0"/>
          <w:numId w:val="19"/>
        </w:numPr>
        <w:spacing w:after="120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Revize</w:t>
      </w:r>
      <w:r w:rsidR="008166E5">
        <w:rPr>
          <w:rFonts w:cs="Times New Roman"/>
          <w:b w:val="0"/>
          <w:bCs w:val="0"/>
          <w:sz w:val="24"/>
          <w:szCs w:val="24"/>
        </w:rPr>
        <w:t xml:space="preserve"> a opravy</w:t>
      </w:r>
      <w:r>
        <w:rPr>
          <w:rFonts w:cs="Times New Roman"/>
          <w:b w:val="0"/>
          <w:bCs w:val="0"/>
          <w:sz w:val="24"/>
          <w:szCs w:val="24"/>
        </w:rPr>
        <w:t xml:space="preserve"> elektroinstalac</w:t>
      </w:r>
      <w:r w:rsidR="00D5461C">
        <w:rPr>
          <w:rFonts w:cs="Times New Roman"/>
          <w:b w:val="0"/>
          <w:bCs w:val="0"/>
          <w:sz w:val="24"/>
          <w:szCs w:val="24"/>
        </w:rPr>
        <w:t>e</w:t>
      </w:r>
      <w:r w:rsidR="005F49B1">
        <w:rPr>
          <w:rFonts w:cs="Times New Roman"/>
          <w:b w:val="0"/>
          <w:bCs w:val="0"/>
          <w:sz w:val="24"/>
          <w:szCs w:val="24"/>
        </w:rPr>
        <w:t>,</w:t>
      </w:r>
      <w:r w:rsidR="00D5461C">
        <w:rPr>
          <w:rFonts w:cs="Times New Roman"/>
          <w:b w:val="0"/>
          <w:bCs w:val="0"/>
          <w:sz w:val="24"/>
          <w:szCs w:val="24"/>
        </w:rPr>
        <w:t xml:space="preserve"> </w:t>
      </w:r>
      <w:r w:rsidR="0078552C">
        <w:rPr>
          <w:rFonts w:cs="Times New Roman"/>
          <w:b w:val="0"/>
          <w:bCs w:val="0"/>
          <w:sz w:val="24"/>
          <w:szCs w:val="24"/>
        </w:rPr>
        <w:t>bud</w:t>
      </w:r>
      <w:r w:rsidR="00D5461C">
        <w:rPr>
          <w:rFonts w:cs="Times New Roman"/>
          <w:b w:val="0"/>
          <w:bCs w:val="0"/>
          <w:sz w:val="24"/>
          <w:szCs w:val="24"/>
        </w:rPr>
        <w:t>ou</w:t>
      </w:r>
      <w:r w:rsidR="0078552C">
        <w:rPr>
          <w:rFonts w:cs="Times New Roman"/>
          <w:b w:val="0"/>
          <w:bCs w:val="0"/>
          <w:sz w:val="24"/>
          <w:szCs w:val="24"/>
        </w:rPr>
        <w:t xml:space="preserve"> prováděny na základě předchozí výzvy objednatele. Zhotovitel je povinen provést revizi do 30 dnů ode dne přijetí výzvy dle věty předchozí</w:t>
      </w:r>
      <w:r w:rsidR="008166E5">
        <w:rPr>
          <w:rFonts w:cs="Times New Roman"/>
          <w:b w:val="0"/>
          <w:bCs w:val="0"/>
          <w:sz w:val="24"/>
          <w:szCs w:val="24"/>
        </w:rPr>
        <w:t>, opravy bez zbytečného odkladu, zpravidla první obvyklý pracovní den (pondělí až pátek) po obdržení výzvy (oznámení poruchy)</w:t>
      </w:r>
      <w:r w:rsidR="0078552C">
        <w:rPr>
          <w:rFonts w:cs="Times New Roman"/>
          <w:b w:val="0"/>
          <w:bCs w:val="0"/>
          <w:sz w:val="24"/>
          <w:szCs w:val="24"/>
        </w:rPr>
        <w:t xml:space="preserve">. </w:t>
      </w:r>
    </w:p>
    <w:p w14:paraId="28F92E91" w14:textId="77777777" w:rsidR="0078552C" w:rsidRDefault="0078552C">
      <w:pPr>
        <w:pStyle w:val="Odstavecseseznamem"/>
        <w:numPr>
          <w:ilvl w:val="0"/>
          <w:numId w:val="19"/>
        </w:numPr>
        <w:spacing w:after="120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Protokol o provedení revize pro jednotlivé budovy bude vypracován a předložen objednateli nejpozději do 30 dnů ode dne provedení revize</w:t>
      </w:r>
      <w:r w:rsidR="008166E5">
        <w:rPr>
          <w:rFonts w:cs="Times New Roman"/>
          <w:b w:val="0"/>
          <w:bCs w:val="0"/>
          <w:sz w:val="24"/>
          <w:szCs w:val="24"/>
        </w:rPr>
        <w:t>, záznam o opravě bude vypracován bezprostředně po jejím provedení</w:t>
      </w:r>
      <w:r>
        <w:rPr>
          <w:rFonts w:cs="Times New Roman"/>
          <w:b w:val="0"/>
          <w:bCs w:val="0"/>
          <w:sz w:val="24"/>
          <w:szCs w:val="24"/>
        </w:rPr>
        <w:t>.</w:t>
      </w:r>
      <w:r w:rsidR="008166E5">
        <w:rPr>
          <w:rFonts w:cs="Times New Roman"/>
          <w:b w:val="0"/>
          <w:bCs w:val="0"/>
          <w:sz w:val="24"/>
          <w:szCs w:val="24"/>
        </w:rPr>
        <w:t xml:space="preserve"> Záznam o provedení opravy bude vždy obsahovat informaci, zda je elektrický spotřebič (zařízení) ve stavu schopném provozu (používání), pokud není možné opravou docílit stavu schopného provozu, je zhotovitel povinen učinit ihned v době takového zjištění dostatečné kroky k zabránění dalšího používání provozu neschopného zařízení.   </w:t>
      </w:r>
    </w:p>
    <w:p w14:paraId="7A7C48B7" w14:textId="77777777" w:rsidR="00E43F3D" w:rsidRDefault="0078552C" w:rsidP="00ED656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hanging="720"/>
        <w:jc w:val="both"/>
        <w:textAlignment w:val="baseline"/>
        <w:rPr>
          <w:rFonts w:cs="Times New Roman"/>
        </w:rPr>
      </w:pPr>
      <w:r w:rsidRPr="00E43F3D">
        <w:rPr>
          <w:rFonts w:cs="Times New Roman"/>
        </w:rPr>
        <w:t>Míst</w:t>
      </w:r>
      <w:r w:rsidR="00FD12CF" w:rsidRPr="00E43F3D">
        <w:rPr>
          <w:rFonts w:cs="Times New Roman"/>
        </w:rPr>
        <w:t>em</w:t>
      </w:r>
      <w:r w:rsidRPr="00E43F3D">
        <w:rPr>
          <w:rFonts w:cs="Times New Roman"/>
        </w:rPr>
        <w:t xml:space="preserve"> plnění</w:t>
      </w:r>
      <w:r w:rsidR="00FD12CF" w:rsidRPr="00E43F3D">
        <w:rPr>
          <w:rFonts w:cs="Times New Roman"/>
        </w:rPr>
        <w:t xml:space="preserve"> je adresa sídla objednatele.</w:t>
      </w:r>
    </w:p>
    <w:p w14:paraId="0CFE7EBB" w14:textId="77777777" w:rsidR="00972A7F" w:rsidRDefault="00972A7F" w:rsidP="00ED656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hanging="720"/>
        <w:jc w:val="both"/>
        <w:textAlignment w:val="baseline"/>
        <w:rPr>
          <w:rFonts w:cs="Times New Roman"/>
        </w:rPr>
      </w:pPr>
    </w:p>
    <w:p w14:paraId="1A50954B" w14:textId="77777777" w:rsidR="0078552C" w:rsidRDefault="0078552C">
      <w:pPr>
        <w:pStyle w:val="Nadpis2"/>
        <w:spacing w:before="0" w:after="120"/>
        <w:rPr>
          <w:rFonts w:eastAsia="Arial Unicode MS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Článek 5</w:t>
      </w:r>
    </w:p>
    <w:p w14:paraId="207C0B0E" w14:textId="77777777" w:rsidR="0078552C" w:rsidRDefault="0078552C">
      <w:pPr>
        <w:pStyle w:val="Nadpis2"/>
        <w:spacing w:before="0" w:after="120"/>
        <w:rPr>
          <w:rFonts w:cs="Times New Roman"/>
          <w:snapToGrid w:val="0"/>
          <w:color w:val="000000"/>
          <w:sz w:val="24"/>
          <w:szCs w:val="24"/>
        </w:rPr>
      </w:pPr>
      <w:r>
        <w:rPr>
          <w:rFonts w:cs="Times New Roman"/>
          <w:snapToGrid w:val="0"/>
          <w:color w:val="000000"/>
          <w:sz w:val="24"/>
          <w:szCs w:val="24"/>
        </w:rPr>
        <w:t>Cena díla, platební podmínky</w:t>
      </w:r>
    </w:p>
    <w:p w14:paraId="51C0E363" w14:textId="3EED7970" w:rsidR="00E5265E" w:rsidRDefault="00E5265E" w:rsidP="00E5265E">
      <w:pPr>
        <w:numPr>
          <w:ilvl w:val="0"/>
          <w:numId w:val="11"/>
        </w:numPr>
        <w:spacing w:after="120"/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Cena díla se odvíjí od smluvně sjednaných jednotkových cen a množství skutečně odvedené práce. </w:t>
      </w:r>
      <w:r w:rsidR="00DD396A">
        <w:rPr>
          <w:rFonts w:cs="Times New Roman"/>
        </w:rPr>
        <w:t xml:space="preserve">Cena nepřekročí roční </w:t>
      </w:r>
      <w:r w:rsidR="00972A7F">
        <w:rPr>
          <w:rFonts w:cs="Times New Roman"/>
        </w:rPr>
        <w:t>částku (</w:t>
      </w:r>
      <w:r w:rsidR="004B35C3">
        <w:rPr>
          <w:rFonts w:cs="Times New Roman"/>
        </w:rPr>
        <w:t>včetně DPH</w:t>
      </w:r>
      <w:proofErr w:type="gramStart"/>
      <w:r w:rsidR="00972A7F">
        <w:rPr>
          <w:rFonts w:cs="Times New Roman"/>
        </w:rPr>
        <w:t xml:space="preserve">) </w:t>
      </w:r>
      <w:r>
        <w:rPr>
          <w:rFonts w:cs="Times New Roman"/>
        </w:rPr>
        <w:t>:</w:t>
      </w:r>
      <w:proofErr w:type="gramEnd"/>
      <w:r w:rsidR="009E7B65">
        <w:rPr>
          <w:rFonts w:cs="Times New Roman"/>
        </w:rPr>
        <w:t xml:space="preserve"> 3</w:t>
      </w:r>
      <w:r w:rsidR="005E371B">
        <w:rPr>
          <w:rFonts w:cs="Times New Roman"/>
        </w:rPr>
        <w:t>00 000</w:t>
      </w:r>
      <w:r w:rsidR="00FE7FE3">
        <w:rPr>
          <w:rFonts w:cs="Times New Roman"/>
        </w:rPr>
        <w:t xml:space="preserve"> Kč</w:t>
      </w:r>
    </w:p>
    <w:p w14:paraId="6FE03BDB" w14:textId="77777777" w:rsidR="00972A7F" w:rsidRDefault="00972A7F" w:rsidP="00972A7F">
      <w:pPr>
        <w:spacing w:after="120"/>
        <w:jc w:val="both"/>
        <w:rPr>
          <w:rFonts w:cs="Times New Roman"/>
        </w:rPr>
      </w:pPr>
    </w:p>
    <w:p w14:paraId="08653A2C" w14:textId="77777777" w:rsidR="00972A7F" w:rsidRDefault="00972A7F" w:rsidP="00972A7F">
      <w:pPr>
        <w:spacing w:after="120"/>
        <w:jc w:val="both"/>
        <w:rPr>
          <w:rFonts w:cs="Times New Roman"/>
        </w:rPr>
      </w:pPr>
    </w:p>
    <w:p w14:paraId="2E7555F8" w14:textId="77777777" w:rsidR="00DD396A" w:rsidRDefault="00DD396A" w:rsidP="00DD396A">
      <w:pPr>
        <w:pStyle w:val="Nadpis2"/>
        <w:spacing w:before="0" w:after="120"/>
        <w:rPr>
          <w:rFonts w:cs="Times New Roman"/>
          <w:snapToGrid w:val="0"/>
          <w:color w:val="000000"/>
          <w:sz w:val="24"/>
          <w:szCs w:val="24"/>
        </w:rPr>
      </w:pPr>
      <w:r>
        <w:rPr>
          <w:rFonts w:cs="Times New Roman"/>
          <w:snapToGrid w:val="0"/>
          <w:color w:val="000000"/>
          <w:sz w:val="24"/>
          <w:szCs w:val="24"/>
        </w:rPr>
        <w:t>Cena díla, platební podmínky</w:t>
      </w:r>
    </w:p>
    <w:p w14:paraId="666FD678" w14:textId="77777777" w:rsidR="00DD396A" w:rsidRDefault="00DD396A" w:rsidP="00DD396A">
      <w:pPr>
        <w:numPr>
          <w:ilvl w:val="0"/>
          <w:numId w:val="11"/>
        </w:numPr>
        <w:spacing w:after="120"/>
        <w:ind w:left="567" w:hanging="567"/>
        <w:jc w:val="both"/>
        <w:rPr>
          <w:rFonts w:cs="Times New Roman"/>
        </w:rPr>
      </w:pPr>
      <w:r>
        <w:rPr>
          <w:rFonts w:cs="Times New Roman"/>
        </w:rPr>
        <w:t>Cena díla se odvíjí od smluvně sjednaných jednotkových cen a množství skutečně odvedené práce. Touto smlouvou se sjednávají jednotkové ceny (včetně DPH) takto:</w:t>
      </w:r>
    </w:p>
    <w:p w14:paraId="6B83AF74" w14:textId="77777777" w:rsidR="00DD396A" w:rsidRDefault="00DD396A" w:rsidP="00DD396A">
      <w:pPr>
        <w:numPr>
          <w:ilvl w:val="0"/>
          <w:numId w:val="11"/>
        </w:numPr>
        <w:spacing w:after="120"/>
        <w:ind w:left="567" w:hanging="567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Jednotkové ceny za revize elektrických spotřebičů jsou stanoveny jako ceny maximální, nejvýše přípustné, pevné po celou dobu plnění. Zhotovitel prohlašuje, že v uvedené ceně jsou zahrnuty veškeré náklady nutné k řádnému provedení díla. Cena celkem vychází z předpokládaného množství elektrických spotřebičů, které není pro smluvní strany závazné. </w:t>
      </w:r>
    </w:p>
    <w:p w14:paraId="35EEEAA1" w14:textId="77777777" w:rsidR="00DD396A" w:rsidRDefault="00DD396A" w:rsidP="00DD396A">
      <w:pPr>
        <w:spacing w:after="120"/>
        <w:jc w:val="both"/>
        <w:rPr>
          <w:rFonts w:cs="Times New Roman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904"/>
        <w:gridCol w:w="1850"/>
        <w:gridCol w:w="2387"/>
      </w:tblGrid>
      <w:tr w:rsidR="00DD396A" w14:paraId="3048B5C7" w14:textId="77777777" w:rsidTr="00A86654">
        <w:trPr>
          <w:jc w:val="center"/>
        </w:trPr>
        <w:tc>
          <w:tcPr>
            <w:tcW w:w="3904" w:type="dxa"/>
            <w:vAlign w:val="center"/>
          </w:tcPr>
          <w:p w14:paraId="29ABF523" w14:textId="77777777" w:rsidR="00DD396A" w:rsidRPr="004B35C3" w:rsidRDefault="00DD396A" w:rsidP="00A86654">
            <w:pPr>
              <w:spacing w:after="120"/>
              <w:jc w:val="center"/>
              <w:rPr>
                <w:rFonts w:cs="Times New Roman"/>
                <w:b/>
              </w:rPr>
            </w:pPr>
            <w:r w:rsidRPr="004B35C3">
              <w:rPr>
                <w:rFonts w:cs="Times New Roman"/>
                <w:b/>
              </w:rPr>
              <w:t>Druh práce</w:t>
            </w:r>
          </w:p>
        </w:tc>
        <w:tc>
          <w:tcPr>
            <w:tcW w:w="1850" w:type="dxa"/>
            <w:vAlign w:val="center"/>
          </w:tcPr>
          <w:p w14:paraId="44E8009A" w14:textId="77777777" w:rsidR="00DD396A" w:rsidRPr="004B35C3" w:rsidRDefault="00DD396A" w:rsidP="00A86654">
            <w:pPr>
              <w:spacing w:after="120"/>
              <w:jc w:val="center"/>
              <w:rPr>
                <w:rFonts w:cs="Times New Roman"/>
                <w:b/>
              </w:rPr>
            </w:pPr>
            <w:r w:rsidRPr="004B35C3">
              <w:rPr>
                <w:rFonts w:cs="Times New Roman"/>
                <w:b/>
              </w:rPr>
              <w:t>jednotka</w:t>
            </w:r>
          </w:p>
        </w:tc>
        <w:tc>
          <w:tcPr>
            <w:tcW w:w="2387" w:type="dxa"/>
            <w:vAlign w:val="center"/>
          </w:tcPr>
          <w:p w14:paraId="136BF954" w14:textId="77777777" w:rsidR="00DD396A" w:rsidRPr="004B35C3" w:rsidRDefault="00DD396A" w:rsidP="00A86654">
            <w:pPr>
              <w:spacing w:after="120"/>
              <w:jc w:val="center"/>
              <w:rPr>
                <w:rFonts w:cs="Times New Roman"/>
                <w:b/>
              </w:rPr>
            </w:pPr>
            <w:r w:rsidRPr="004B35C3">
              <w:rPr>
                <w:rFonts w:cs="Times New Roman"/>
                <w:b/>
              </w:rPr>
              <w:t>Cena v Kč</w:t>
            </w:r>
          </w:p>
        </w:tc>
      </w:tr>
      <w:tr w:rsidR="00DD396A" w14:paraId="500EB37F" w14:textId="77777777" w:rsidTr="00A86654">
        <w:trPr>
          <w:jc w:val="center"/>
        </w:trPr>
        <w:tc>
          <w:tcPr>
            <w:tcW w:w="3904" w:type="dxa"/>
            <w:vAlign w:val="center"/>
          </w:tcPr>
          <w:p w14:paraId="707257DA" w14:textId="77777777" w:rsidR="00DD396A" w:rsidRDefault="00DD396A" w:rsidP="00A86654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Zavedení karet</w:t>
            </w:r>
          </w:p>
        </w:tc>
        <w:tc>
          <w:tcPr>
            <w:tcW w:w="1850" w:type="dxa"/>
            <w:vAlign w:val="center"/>
          </w:tcPr>
          <w:p w14:paraId="6DA127C0" w14:textId="77777777" w:rsidR="00DD396A" w:rsidRDefault="00DD396A" w:rsidP="00A86654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Ks</w:t>
            </w:r>
          </w:p>
        </w:tc>
        <w:tc>
          <w:tcPr>
            <w:tcW w:w="2387" w:type="dxa"/>
            <w:vAlign w:val="center"/>
          </w:tcPr>
          <w:p w14:paraId="5A7EDDC5" w14:textId="77777777" w:rsidR="00DD396A" w:rsidRDefault="00DD396A" w:rsidP="00A86654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DD396A" w14:paraId="380A2637" w14:textId="77777777" w:rsidTr="00A86654">
        <w:trPr>
          <w:jc w:val="center"/>
        </w:trPr>
        <w:tc>
          <w:tcPr>
            <w:tcW w:w="3904" w:type="dxa"/>
            <w:vAlign w:val="center"/>
          </w:tcPr>
          <w:p w14:paraId="5F08DC50" w14:textId="77777777" w:rsidR="00DD396A" w:rsidRDefault="00DD396A" w:rsidP="00A86654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Revize spotřebičů</w:t>
            </w:r>
          </w:p>
        </w:tc>
        <w:tc>
          <w:tcPr>
            <w:tcW w:w="1850" w:type="dxa"/>
            <w:vAlign w:val="center"/>
          </w:tcPr>
          <w:p w14:paraId="71F8C658" w14:textId="77777777" w:rsidR="00DD396A" w:rsidRDefault="00DD396A" w:rsidP="00A86654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Ks</w:t>
            </w:r>
          </w:p>
        </w:tc>
        <w:tc>
          <w:tcPr>
            <w:tcW w:w="2387" w:type="dxa"/>
            <w:vAlign w:val="center"/>
          </w:tcPr>
          <w:p w14:paraId="6FDE23A3" w14:textId="77777777" w:rsidR="00DD396A" w:rsidRDefault="00DD396A" w:rsidP="00A86654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</w:tr>
      <w:tr w:rsidR="00DD396A" w14:paraId="628957ED" w14:textId="77777777" w:rsidTr="00A86654">
        <w:trPr>
          <w:jc w:val="center"/>
        </w:trPr>
        <w:tc>
          <w:tcPr>
            <w:tcW w:w="3904" w:type="dxa"/>
            <w:vAlign w:val="center"/>
          </w:tcPr>
          <w:p w14:paraId="7868EB83" w14:textId="77777777" w:rsidR="00DD396A" w:rsidRDefault="00DD396A" w:rsidP="00A86654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Štítky nalepení</w:t>
            </w:r>
          </w:p>
        </w:tc>
        <w:tc>
          <w:tcPr>
            <w:tcW w:w="1850" w:type="dxa"/>
            <w:vAlign w:val="center"/>
          </w:tcPr>
          <w:p w14:paraId="6C1FF121" w14:textId="77777777" w:rsidR="00DD396A" w:rsidRDefault="00DD396A" w:rsidP="00A86654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Ks</w:t>
            </w:r>
          </w:p>
        </w:tc>
        <w:tc>
          <w:tcPr>
            <w:tcW w:w="2387" w:type="dxa"/>
            <w:vAlign w:val="center"/>
          </w:tcPr>
          <w:p w14:paraId="20727899" w14:textId="77777777" w:rsidR="00DD396A" w:rsidRDefault="00972A7F" w:rsidP="00A86654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DD396A" w14:paraId="048B88F9" w14:textId="77777777" w:rsidTr="00A86654">
        <w:trPr>
          <w:jc w:val="center"/>
        </w:trPr>
        <w:tc>
          <w:tcPr>
            <w:tcW w:w="3904" w:type="dxa"/>
            <w:vAlign w:val="center"/>
          </w:tcPr>
          <w:p w14:paraId="49FF10D7" w14:textId="77777777" w:rsidR="00DD396A" w:rsidRDefault="00DD396A" w:rsidP="00A86654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Revize silnoproud dle počtu jističů</w:t>
            </w:r>
          </w:p>
        </w:tc>
        <w:tc>
          <w:tcPr>
            <w:tcW w:w="1850" w:type="dxa"/>
            <w:vAlign w:val="center"/>
          </w:tcPr>
          <w:p w14:paraId="5935D79A" w14:textId="77777777" w:rsidR="00DD396A" w:rsidRDefault="00DD396A" w:rsidP="00A86654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Ks</w:t>
            </w:r>
          </w:p>
        </w:tc>
        <w:tc>
          <w:tcPr>
            <w:tcW w:w="2387" w:type="dxa"/>
            <w:vAlign w:val="center"/>
          </w:tcPr>
          <w:p w14:paraId="019D2470" w14:textId="77777777" w:rsidR="00DD396A" w:rsidRDefault="00DD396A" w:rsidP="00A86654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</w:tr>
      <w:tr w:rsidR="00DD396A" w14:paraId="238D0112" w14:textId="77777777" w:rsidTr="00A86654">
        <w:trPr>
          <w:jc w:val="center"/>
        </w:trPr>
        <w:tc>
          <w:tcPr>
            <w:tcW w:w="3904" w:type="dxa"/>
            <w:vAlign w:val="center"/>
          </w:tcPr>
          <w:p w14:paraId="78127958" w14:textId="77777777" w:rsidR="00DD396A" w:rsidRDefault="00DD396A" w:rsidP="00A86654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Hromosvod dle počtu svodů</w:t>
            </w:r>
          </w:p>
        </w:tc>
        <w:tc>
          <w:tcPr>
            <w:tcW w:w="1850" w:type="dxa"/>
            <w:vAlign w:val="center"/>
          </w:tcPr>
          <w:p w14:paraId="77C615D7" w14:textId="77777777" w:rsidR="00DD396A" w:rsidRDefault="00DD396A" w:rsidP="00A86654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1/4 svody</w:t>
            </w:r>
          </w:p>
        </w:tc>
        <w:tc>
          <w:tcPr>
            <w:tcW w:w="2387" w:type="dxa"/>
            <w:vAlign w:val="center"/>
          </w:tcPr>
          <w:p w14:paraId="0540D737" w14:textId="77777777" w:rsidR="00DD396A" w:rsidRDefault="00DD396A" w:rsidP="00A86654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1200</w:t>
            </w:r>
          </w:p>
        </w:tc>
      </w:tr>
      <w:tr w:rsidR="00DD396A" w14:paraId="38218D14" w14:textId="77777777" w:rsidTr="00A86654">
        <w:trPr>
          <w:jc w:val="center"/>
        </w:trPr>
        <w:tc>
          <w:tcPr>
            <w:tcW w:w="3904" w:type="dxa"/>
            <w:vAlign w:val="center"/>
          </w:tcPr>
          <w:p w14:paraId="736EC9D5" w14:textId="77777777" w:rsidR="00DD396A" w:rsidRDefault="00DD396A" w:rsidP="00A86654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Opravy a montáž plánovaná</w:t>
            </w:r>
          </w:p>
        </w:tc>
        <w:tc>
          <w:tcPr>
            <w:tcW w:w="1850" w:type="dxa"/>
            <w:vAlign w:val="center"/>
          </w:tcPr>
          <w:p w14:paraId="7C41D65A" w14:textId="77777777" w:rsidR="00DD396A" w:rsidRDefault="00DD396A" w:rsidP="00A86654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hod</w:t>
            </w:r>
          </w:p>
        </w:tc>
        <w:tc>
          <w:tcPr>
            <w:tcW w:w="2387" w:type="dxa"/>
            <w:vAlign w:val="center"/>
          </w:tcPr>
          <w:p w14:paraId="04C94325" w14:textId="77777777" w:rsidR="00DD396A" w:rsidRDefault="00972A7F" w:rsidP="00A86654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400</w:t>
            </w:r>
          </w:p>
        </w:tc>
      </w:tr>
      <w:tr w:rsidR="00DD396A" w14:paraId="23D0DAE2" w14:textId="77777777" w:rsidTr="00A86654">
        <w:trPr>
          <w:jc w:val="center"/>
        </w:trPr>
        <w:tc>
          <w:tcPr>
            <w:tcW w:w="3904" w:type="dxa"/>
            <w:vAlign w:val="center"/>
          </w:tcPr>
          <w:p w14:paraId="7A2DF94D" w14:textId="77777777" w:rsidR="00DD396A" w:rsidRDefault="00DD396A" w:rsidP="00A86654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Servisní práce havarijní </w:t>
            </w:r>
          </w:p>
        </w:tc>
        <w:tc>
          <w:tcPr>
            <w:tcW w:w="1850" w:type="dxa"/>
            <w:vAlign w:val="center"/>
          </w:tcPr>
          <w:p w14:paraId="50C1F249" w14:textId="77777777" w:rsidR="00DD396A" w:rsidRDefault="00DD396A" w:rsidP="00A86654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hod</w:t>
            </w:r>
          </w:p>
        </w:tc>
        <w:tc>
          <w:tcPr>
            <w:tcW w:w="2387" w:type="dxa"/>
            <w:vAlign w:val="center"/>
          </w:tcPr>
          <w:p w14:paraId="3B78C957" w14:textId="77777777" w:rsidR="00DD396A" w:rsidRDefault="00DD396A" w:rsidP="00A86654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550</w:t>
            </w:r>
          </w:p>
        </w:tc>
      </w:tr>
      <w:tr w:rsidR="00DD396A" w14:paraId="32EFABFB" w14:textId="77777777" w:rsidTr="00A86654">
        <w:trPr>
          <w:jc w:val="center"/>
        </w:trPr>
        <w:tc>
          <w:tcPr>
            <w:tcW w:w="3904" w:type="dxa"/>
            <w:vAlign w:val="center"/>
          </w:tcPr>
          <w:p w14:paraId="1E69E67F" w14:textId="77777777" w:rsidR="00DD396A" w:rsidRDefault="00DD396A" w:rsidP="00A86654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Navýšení příkonu 1 </w:t>
            </w:r>
            <w:proofErr w:type="spellStart"/>
            <w:r>
              <w:rPr>
                <w:rFonts w:cs="Times New Roman"/>
              </w:rPr>
              <w:t>fáz</w:t>
            </w:r>
            <w:proofErr w:type="spellEnd"/>
          </w:p>
        </w:tc>
        <w:tc>
          <w:tcPr>
            <w:tcW w:w="1850" w:type="dxa"/>
            <w:vAlign w:val="center"/>
          </w:tcPr>
          <w:p w14:paraId="5FBC5A2C" w14:textId="77777777" w:rsidR="00DD396A" w:rsidRDefault="00DD396A" w:rsidP="00A86654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Ks</w:t>
            </w:r>
          </w:p>
        </w:tc>
        <w:tc>
          <w:tcPr>
            <w:tcW w:w="2387" w:type="dxa"/>
            <w:vAlign w:val="center"/>
          </w:tcPr>
          <w:p w14:paraId="57DC2120" w14:textId="77777777" w:rsidR="00DD396A" w:rsidRDefault="00DD396A" w:rsidP="00A86654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3000</w:t>
            </w:r>
          </w:p>
        </w:tc>
      </w:tr>
      <w:tr w:rsidR="00DD396A" w14:paraId="1C80AACA" w14:textId="77777777" w:rsidTr="00A86654">
        <w:trPr>
          <w:jc w:val="center"/>
        </w:trPr>
        <w:tc>
          <w:tcPr>
            <w:tcW w:w="3904" w:type="dxa"/>
            <w:vAlign w:val="center"/>
          </w:tcPr>
          <w:p w14:paraId="2FA5907B" w14:textId="77777777" w:rsidR="00DD396A" w:rsidRDefault="00DD396A" w:rsidP="00A86654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Navýšení příkonu 3 </w:t>
            </w:r>
            <w:proofErr w:type="spellStart"/>
            <w:r>
              <w:rPr>
                <w:rFonts w:cs="Times New Roman"/>
              </w:rPr>
              <w:t>fáz</w:t>
            </w:r>
            <w:proofErr w:type="spellEnd"/>
          </w:p>
        </w:tc>
        <w:tc>
          <w:tcPr>
            <w:tcW w:w="1850" w:type="dxa"/>
            <w:vAlign w:val="center"/>
          </w:tcPr>
          <w:p w14:paraId="7DA47F6B" w14:textId="77777777" w:rsidR="00DD396A" w:rsidRDefault="00DD396A" w:rsidP="00A86654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Ks</w:t>
            </w:r>
          </w:p>
        </w:tc>
        <w:tc>
          <w:tcPr>
            <w:tcW w:w="2387" w:type="dxa"/>
            <w:vAlign w:val="center"/>
          </w:tcPr>
          <w:p w14:paraId="2AB929AD" w14:textId="77777777" w:rsidR="00DD396A" w:rsidRDefault="00DD396A" w:rsidP="00A86654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3800</w:t>
            </w:r>
          </w:p>
        </w:tc>
      </w:tr>
      <w:tr w:rsidR="00DD396A" w14:paraId="28EA30F6" w14:textId="77777777" w:rsidTr="00A86654">
        <w:trPr>
          <w:jc w:val="center"/>
        </w:trPr>
        <w:tc>
          <w:tcPr>
            <w:tcW w:w="3904" w:type="dxa"/>
            <w:vAlign w:val="center"/>
          </w:tcPr>
          <w:p w14:paraId="0F24D22A" w14:textId="77777777" w:rsidR="00DD396A" w:rsidRDefault="00DD396A" w:rsidP="00A86654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Stavební přípojka 3 </w:t>
            </w:r>
            <w:proofErr w:type="spellStart"/>
            <w:r>
              <w:rPr>
                <w:rFonts w:cs="Times New Roman"/>
              </w:rPr>
              <w:t>fáz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850" w:type="dxa"/>
            <w:vAlign w:val="center"/>
          </w:tcPr>
          <w:p w14:paraId="129F5360" w14:textId="77777777" w:rsidR="00DD396A" w:rsidRDefault="00DD396A" w:rsidP="00A86654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Ks</w:t>
            </w:r>
          </w:p>
        </w:tc>
        <w:tc>
          <w:tcPr>
            <w:tcW w:w="2387" w:type="dxa"/>
            <w:vAlign w:val="center"/>
          </w:tcPr>
          <w:p w14:paraId="054E539C" w14:textId="77777777" w:rsidR="00DD396A" w:rsidRDefault="00DD396A" w:rsidP="00A86654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4500</w:t>
            </w:r>
          </w:p>
        </w:tc>
      </w:tr>
    </w:tbl>
    <w:p w14:paraId="3B650411" w14:textId="77777777" w:rsidR="00DD396A" w:rsidRPr="00FE7FE3" w:rsidRDefault="00DD396A" w:rsidP="00DD396A">
      <w:pPr>
        <w:spacing w:after="120"/>
        <w:ind w:left="567"/>
        <w:jc w:val="both"/>
        <w:rPr>
          <w:rFonts w:cs="Times New Roman"/>
        </w:rPr>
      </w:pPr>
    </w:p>
    <w:p w14:paraId="2D59CA95" w14:textId="77777777" w:rsidR="0078552C" w:rsidRDefault="0078552C">
      <w:pPr>
        <w:numPr>
          <w:ilvl w:val="0"/>
          <w:numId w:val="11"/>
        </w:numPr>
        <w:spacing w:after="120"/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Celkovou a pro účely fakturace rozhodnou cenou se rozumí cena včetně DPH. </w:t>
      </w:r>
    </w:p>
    <w:p w14:paraId="68BD77C4" w14:textId="77777777" w:rsidR="0078552C" w:rsidRDefault="0078552C">
      <w:pPr>
        <w:numPr>
          <w:ilvl w:val="0"/>
          <w:numId w:val="11"/>
        </w:numPr>
        <w:spacing w:after="120"/>
        <w:ind w:left="567" w:hanging="567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Cenu za revizní činnost je zhotovitel oprávněn fakturovat po provedení revizí a předání revizních zpráv. </w:t>
      </w:r>
    </w:p>
    <w:p w14:paraId="47A8788A" w14:textId="77777777" w:rsidR="0078552C" w:rsidRDefault="0078552C">
      <w:pPr>
        <w:numPr>
          <w:ilvl w:val="0"/>
          <w:numId w:val="11"/>
        </w:numPr>
        <w:spacing w:after="120"/>
        <w:ind w:left="567" w:hanging="567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Objednatel se zavazuje zhotoviteli uhradit cenu za předmět plnění na základě daňového dokladu vystaveného po provedení díla. </w:t>
      </w:r>
    </w:p>
    <w:p w14:paraId="252513E9" w14:textId="0DCD6BB2" w:rsidR="0078552C" w:rsidRDefault="0078552C">
      <w:pPr>
        <w:numPr>
          <w:ilvl w:val="0"/>
          <w:numId w:val="11"/>
        </w:numPr>
        <w:spacing w:after="120"/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Splatnost faktur (daňového dokladu vystaveného po provedení díla) je dohodou smluvních stran stanovena na </w:t>
      </w:r>
      <w:r w:rsidR="00FD12CF">
        <w:rPr>
          <w:rFonts w:cs="Times New Roman"/>
        </w:rPr>
        <w:t>14</w:t>
      </w:r>
      <w:r>
        <w:rPr>
          <w:rFonts w:cs="Times New Roman"/>
        </w:rPr>
        <w:t xml:space="preserve"> dní od jejich doručení objednateli </w:t>
      </w:r>
      <w:r w:rsidR="00FD12CF">
        <w:rPr>
          <w:rFonts w:cs="Times New Roman"/>
        </w:rPr>
        <w:t xml:space="preserve">bezhotovostním převodem </w:t>
      </w:r>
      <w:r>
        <w:rPr>
          <w:rFonts w:cs="Times New Roman"/>
        </w:rPr>
        <w:t xml:space="preserve">na běžný </w:t>
      </w:r>
      <w:r w:rsidRPr="00424D0A">
        <w:rPr>
          <w:rFonts w:cs="Times New Roman"/>
          <w:color w:val="000000" w:themeColor="text1"/>
        </w:rPr>
        <w:t xml:space="preserve">účet zhotovitele č. </w:t>
      </w:r>
      <w:proofErr w:type="spellStart"/>
      <w:r w:rsidRPr="00424D0A">
        <w:rPr>
          <w:rFonts w:cs="Times New Roman"/>
          <w:color w:val="000000" w:themeColor="text1"/>
        </w:rPr>
        <w:t>ú.</w:t>
      </w:r>
      <w:proofErr w:type="spellEnd"/>
      <w:r w:rsidRPr="00424D0A">
        <w:rPr>
          <w:rFonts w:cs="Times New Roman"/>
          <w:color w:val="000000" w:themeColor="text1"/>
        </w:rPr>
        <w:t>: …</w:t>
      </w:r>
      <w:r w:rsidR="006C6717" w:rsidRPr="00424D0A">
        <w:rPr>
          <w:rFonts w:cs="Times New Roman"/>
          <w:color w:val="000000" w:themeColor="text1"/>
        </w:rPr>
        <w:t>1148338133/0800</w:t>
      </w:r>
      <w:r w:rsidRPr="00424D0A">
        <w:rPr>
          <w:rFonts w:cs="Times New Roman"/>
          <w:color w:val="000000" w:themeColor="text1"/>
        </w:rPr>
        <w:t xml:space="preserve"> </w:t>
      </w:r>
      <w:r>
        <w:rPr>
          <w:rFonts w:cs="Times New Roman"/>
        </w:rPr>
        <w:t xml:space="preserve">Cena za provedení díla je zaplacena dnem připsání finanční částky na účet zhotovitele. Objednatel nebude poskytovat zálohy. </w:t>
      </w:r>
    </w:p>
    <w:p w14:paraId="1A7999F4" w14:textId="77777777" w:rsidR="0078552C" w:rsidRDefault="0078552C">
      <w:pPr>
        <w:numPr>
          <w:ilvl w:val="0"/>
          <w:numId w:val="11"/>
        </w:numPr>
        <w:spacing w:after="120"/>
        <w:ind w:left="567" w:hanging="567"/>
        <w:jc w:val="both"/>
        <w:rPr>
          <w:rFonts w:cs="Times New Roman"/>
        </w:rPr>
      </w:pPr>
      <w:r>
        <w:rPr>
          <w:rFonts w:cs="Times New Roman"/>
        </w:rPr>
        <w:t>Objednatel může zhotoviteli vrátit fakturu v případě, kdy obsahuje nesprávné nebo neúplné údaje a nesplňuje požadavky řádného účetního dokladu nebo obsahuje nesprávné cenové údaje. Toto vrácení se musí stát do konce lhůty splatnosti faktury. V takovém případě vystaví zhotovitel novou fakturu s novou lhůtou splatnosti, kterou je povinen doručit objednateli do 5 (pěti) pracovních dnů ode dne doručení oprávněně vrácené faktury.</w:t>
      </w:r>
    </w:p>
    <w:p w14:paraId="4613E3FB" w14:textId="77777777" w:rsidR="0078552C" w:rsidRDefault="0078552C">
      <w:pPr>
        <w:rPr>
          <w:rFonts w:cs="Times New Roman"/>
        </w:rPr>
      </w:pPr>
    </w:p>
    <w:p w14:paraId="041DF2D2" w14:textId="77777777" w:rsidR="00ED656A" w:rsidRDefault="00ED656A">
      <w:pPr>
        <w:rPr>
          <w:rFonts w:cs="Times New Roman"/>
        </w:rPr>
      </w:pPr>
    </w:p>
    <w:p w14:paraId="0BF92594" w14:textId="77777777" w:rsidR="0078552C" w:rsidRDefault="0078552C">
      <w:pPr>
        <w:pStyle w:val="Nadpis2"/>
        <w:spacing w:before="0" w:after="120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Článek 6</w:t>
      </w:r>
    </w:p>
    <w:p w14:paraId="70235696" w14:textId="77777777" w:rsidR="0078552C" w:rsidRDefault="0078552C">
      <w:pPr>
        <w:pStyle w:val="Nadpis2"/>
        <w:spacing w:before="0" w:after="120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Práva a povinnosti zhotovitele</w:t>
      </w:r>
    </w:p>
    <w:p w14:paraId="16BD9EB2" w14:textId="77777777" w:rsidR="0078552C" w:rsidRDefault="0078552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ind w:hanging="720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Zhotovitel je povinen provádět revizní činnost na svůj náklad a na své nebezpečí do konce platnosti smlouvy. </w:t>
      </w:r>
    </w:p>
    <w:p w14:paraId="037DE337" w14:textId="77777777" w:rsidR="0078552C" w:rsidRDefault="0078552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ind w:hanging="720"/>
        <w:jc w:val="both"/>
        <w:textAlignment w:val="baseline"/>
        <w:rPr>
          <w:rFonts w:cs="Times New Roman"/>
        </w:rPr>
      </w:pPr>
      <w:r>
        <w:rPr>
          <w:rFonts w:cs="Times New Roman"/>
        </w:rPr>
        <w:lastRenderedPageBreak/>
        <w:t xml:space="preserve">Při provádění revizní činnosti zhotovitel postupuje samostatně a s potřebnou odbornou péčí. </w:t>
      </w:r>
    </w:p>
    <w:p w14:paraId="0F827293" w14:textId="77777777" w:rsidR="0078552C" w:rsidRDefault="0078552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ind w:hanging="720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Zhotovitel nemůže pověřit revizní činností jinou osobu než případného subdodavatele uvedeného ve své nabídce bez písemného souhlasu objednatele, vyjma osob, s nimiž uzavřel pracovně právní vztah podle zákoníku práce. Při provádění revizní činnosti jinou osobou má zhotovitel odpovědnost, jako by revizní činnosti prováděl sám. </w:t>
      </w:r>
    </w:p>
    <w:p w14:paraId="1A7230B8" w14:textId="77777777" w:rsidR="0078552C" w:rsidRDefault="0078552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ind w:hanging="720"/>
        <w:jc w:val="both"/>
        <w:textAlignment w:val="baseline"/>
        <w:rPr>
          <w:rFonts w:cs="Times New Roman"/>
        </w:rPr>
      </w:pPr>
      <w:r>
        <w:rPr>
          <w:rFonts w:cs="Times New Roman"/>
        </w:rPr>
        <w:t>Zhotovitel je povinen při provádění prací dodržovat veškeré platné ČSN, bezpečnostní a</w:t>
      </w:r>
      <w:r w:rsidR="00FD12CF">
        <w:rPr>
          <w:rFonts w:cs="Times New Roman"/>
        </w:rPr>
        <w:t> </w:t>
      </w:r>
      <w:r>
        <w:rPr>
          <w:rFonts w:cs="Times New Roman"/>
        </w:rPr>
        <w:t xml:space="preserve">požární předpisy, zákony a prováděcí vyhlášky týkající se jeho činnosti pro objednatele. </w:t>
      </w:r>
    </w:p>
    <w:p w14:paraId="29C3C8FA" w14:textId="77777777" w:rsidR="0078552C" w:rsidRPr="00250809" w:rsidRDefault="0078552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ind w:hanging="720"/>
        <w:jc w:val="both"/>
        <w:textAlignment w:val="baseline"/>
        <w:rPr>
          <w:rFonts w:cs="Times New Roman"/>
        </w:rPr>
      </w:pPr>
      <w:r>
        <w:rPr>
          <w:rFonts w:cs="Times New Roman"/>
        </w:rPr>
        <w:t>Zhotovitel splní svou povinnost provedením revizí a vyhotovením revizních zpráv. Revizní zprávy budou předány v písemné podobě objednateli s podpisem zápisu o předání a převzetí revizí pověřenými zástupci smluvních stran.</w:t>
      </w:r>
      <w:r w:rsidRPr="00250809">
        <w:rPr>
          <w:rFonts w:cs="Times New Roman"/>
        </w:rPr>
        <w:t xml:space="preserve"> </w:t>
      </w:r>
    </w:p>
    <w:p w14:paraId="5701F942" w14:textId="77777777" w:rsidR="0078552C" w:rsidRDefault="0078552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ind w:hanging="720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Revizní zprávy musí obsahovat název a číslo daného objektu, čísla a názvy jednotlivých revidovaných prostorů a místností a budou členěny dle jednotlivých podlaží. Tyto údaje musí korespondovat s místním informačním systémem, s platným značením objednatele. </w:t>
      </w:r>
    </w:p>
    <w:p w14:paraId="01C43C09" w14:textId="77777777" w:rsidR="0078552C" w:rsidRDefault="0078552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ind w:hanging="720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Zhotovitel je povinen průběžně konzultovat s objednatelem jakékoliv nejasnosti, nebo případné změny při provádění revizní činnosti. </w:t>
      </w:r>
    </w:p>
    <w:p w14:paraId="603FDDB0" w14:textId="77777777" w:rsidR="0078552C" w:rsidRDefault="0078552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ind w:hanging="720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Odpovědnost za škodu, způsobenou v důsledku chybné nebo neúplné revize, nese zhotovitel. Zhotovitel v plné míře přebírá zodpovědnost za dodržování všech platných předpisů o BOZP a PO při provádění své práce. Pokud porušením těchto předpisů vznikne jakákoliv škoda, nese veškeré vzniklé náklady zhotovitel. Zhotovitel je pro tyto případy pojištěn. </w:t>
      </w:r>
    </w:p>
    <w:p w14:paraId="0D28A087" w14:textId="77777777" w:rsidR="0078552C" w:rsidRDefault="0078552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ind w:hanging="720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V případě, že revizní technik při revizi zjistí závadu, která bezprostředně ohrožuje život nebo zdraví uživatelů, provede ihned nezbytné technické opatření k zajištění bezpečnosti a vyrozumí objednatele. </w:t>
      </w:r>
    </w:p>
    <w:p w14:paraId="6AA321A0" w14:textId="77777777" w:rsidR="0078552C" w:rsidRDefault="0078552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ind w:hanging="720"/>
        <w:jc w:val="both"/>
        <w:textAlignment w:val="baseline"/>
        <w:rPr>
          <w:rFonts w:cs="Times New Roman"/>
        </w:rPr>
      </w:pPr>
      <w:r>
        <w:rPr>
          <w:rFonts w:cs="Times New Roman"/>
        </w:rPr>
        <w:t>Zjištěné závady musí být popsány v revizní zprávě. U každé závady musí být uvedeno číslo normy a článek normy či jiný předpis, s nímž je závada v rozporu.</w:t>
      </w:r>
    </w:p>
    <w:p w14:paraId="0F4DD503" w14:textId="77777777" w:rsidR="0078552C" w:rsidRDefault="0078552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ind w:hanging="720"/>
        <w:jc w:val="both"/>
        <w:textAlignment w:val="baseline"/>
        <w:rPr>
          <w:rFonts w:cs="Times New Roman"/>
          <w:snapToGrid w:val="0"/>
        </w:rPr>
      </w:pPr>
      <w:r>
        <w:rPr>
          <w:rFonts w:cs="Times New Roman"/>
        </w:rPr>
        <w:t xml:space="preserve">Pokud činností zhotovitele nebo neplněním podmínek ustanovení této smlouvy dojde ke způsobení škody objednateli nebo jinému subjektu ať již z nedbalosti nebo úmyslně, je zhotovitel povinen bez zbytečného odkladu tuto škodu odstranit a není-li to možné, poskytnout objednateli finanční kompenzaci. Veškeré náklady s tím spojené nese zhotovitel. </w:t>
      </w:r>
    </w:p>
    <w:p w14:paraId="37F19E6B" w14:textId="77777777" w:rsidR="0078552C" w:rsidRDefault="0078552C">
      <w:pPr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cs="Times New Roman"/>
          <w:snapToGrid w:val="0"/>
        </w:rPr>
      </w:pPr>
    </w:p>
    <w:p w14:paraId="4B574FE7" w14:textId="77777777" w:rsidR="0078552C" w:rsidRDefault="0078552C">
      <w:pPr>
        <w:pStyle w:val="Nadpis2"/>
        <w:spacing w:before="0" w:after="120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Článek 7</w:t>
      </w:r>
    </w:p>
    <w:p w14:paraId="6FA1335F" w14:textId="77777777" w:rsidR="0078552C" w:rsidRDefault="0078552C">
      <w:pPr>
        <w:pStyle w:val="Nadpis2"/>
        <w:spacing w:before="0" w:after="120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Práva a povinnosti objednatele</w:t>
      </w:r>
    </w:p>
    <w:p w14:paraId="163CB747" w14:textId="77777777" w:rsidR="0078552C" w:rsidRDefault="0078552C">
      <w:pPr>
        <w:overflowPunct w:val="0"/>
        <w:autoSpaceDE w:val="0"/>
        <w:autoSpaceDN w:val="0"/>
        <w:adjustRightInd w:val="0"/>
        <w:spacing w:after="120"/>
        <w:ind w:left="705" w:hanging="705"/>
        <w:jc w:val="both"/>
        <w:textAlignment w:val="baseline"/>
        <w:rPr>
          <w:rFonts w:cs="Times New Roman"/>
        </w:rPr>
      </w:pPr>
      <w:r>
        <w:rPr>
          <w:rFonts w:cs="Times New Roman"/>
        </w:rPr>
        <w:t>7.1.</w:t>
      </w:r>
      <w:r>
        <w:rPr>
          <w:rFonts w:cs="Times New Roman"/>
        </w:rPr>
        <w:tab/>
        <w:t xml:space="preserve">Objednatel má právo na včasné a řádné provedení revizní činnosti v souladu s jeho potřebami a oprávněnými zájmy. </w:t>
      </w:r>
    </w:p>
    <w:p w14:paraId="324FEAB2" w14:textId="77777777" w:rsidR="0078552C" w:rsidRDefault="0078552C">
      <w:pPr>
        <w:overflowPunct w:val="0"/>
        <w:autoSpaceDE w:val="0"/>
        <w:autoSpaceDN w:val="0"/>
        <w:adjustRightInd w:val="0"/>
        <w:spacing w:after="120"/>
        <w:ind w:left="705" w:hanging="705"/>
        <w:jc w:val="both"/>
        <w:textAlignment w:val="baseline"/>
        <w:rPr>
          <w:rFonts w:cs="Times New Roman"/>
        </w:rPr>
      </w:pPr>
      <w:r>
        <w:rPr>
          <w:rFonts w:cs="Times New Roman"/>
        </w:rPr>
        <w:t>7.2.</w:t>
      </w:r>
      <w:r>
        <w:rPr>
          <w:rFonts w:cs="Times New Roman"/>
        </w:rPr>
        <w:tab/>
        <w:t xml:space="preserve">Objednatel je oprávněn kontrolovat provádění revizní činnosti. Zjistí-li, že zhotovitel provádí revizní činnost v rozporu se svými povinnostmi, je objednatel oprávněn dožadovat se toho, aby zhotovitel odstranil vady vzniklé vadným prováděním a revizní činnost prováděl řádným způsobem. </w:t>
      </w:r>
    </w:p>
    <w:p w14:paraId="3EEB8894" w14:textId="77777777" w:rsidR="0078552C" w:rsidRDefault="0078552C">
      <w:pPr>
        <w:overflowPunct w:val="0"/>
        <w:autoSpaceDE w:val="0"/>
        <w:autoSpaceDN w:val="0"/>
        <w:adjustRightInd w:val="0"/>
        <w:spacing w:after="120"/>
        <w:ind w:left="705" w:hanging="705"/>
        <w:jc w:val="both"/>
        <w:textAlignment w:val="baseline"/>
        <w:rPr>
          <w:rFonts w:cs="Times New Roman"/>
        </w:rPr>
      </w:pPr>
      <w:r>
        <w:rPr>
          <w:rFonts w:cs="Times New Roman"/>
        </w:rPr>
        <w:lastRenderedPageBreak/>
        <w:t>7.3.</w:t>
      </w:r>
      <w:r>
        <w:rPr>
          <w:rFonts w:cs="Times New Roman"/>
        </w:rPr>
        <w:tab/>
        <w:t xml:space="preserve">Objednatel je povinen na vyžádání zhotovitele poskytnout mu potřebné informace, popř. mu předat podklady, které má u sebe a které jsou pro řádné a úplné provedení revizní činnosti nezbytné. </w:t>
      </w:r>
    </w:p>
    <w:p w14:paraId="6CE36E67" w14:textId="77777777" w:rsidR="0078552C" w:rsidRDefault="0078552C">
      <w:pPr>
        <w:overflowPunct w:val="0"/>
        <w:autoSpaceDE w:val="0"/>
        <w:autoSpaceDN w:val="0"/>
        <w:adjustRightInd w:val="0"/>
        <w:spacing w:after="120"/>
        <w:ind w:left="705" w:hanging="705"/>
        <w:jc w:val="both"/>
        <w:textAlignment w:val="baseline"/>
        <w:rPr>
          <w:rFonts w:cs="Times New Roman"/>
        </w:rPr>
      </w:pPr>
      <w:r>
        <w:rPr>
          <w:rFonts w:cs="Times New Roman"/>
        </w:rPr>
        <w:t>7.4.</w:t>
      </w:r>
      <w:r>
        <w:rPr>
          <w:rFonts w:cs="Times New Roman"/>
        </w:rPr>
        <w:tab/>
        <w:t xml:space="preserve">Při prodlení při činnosti dle čl. 3.1. a čl. 4.1 b), c) má objednatel právo odstoupit od smlouvy. </w:t>
      </w:r>
    </w:p>
    <w:p w14:paraId="6C0F610C" w14:textId="77777777" w:rsidR="0078552C" w:rsidRDefault="0078552C">
      <w:pPr>
        <w:overflowPunct w:val="0"/>
        <w:autoSpaceDE w:val="0"/>
        <w:autoSpaceDN w:val="0"/>
        <w:adjustRightInd w:val="0"/>
        <w:spacing w:after="120"/>
        <w:ind w:left="705" w:hanging="705"/>
        <w:jc w:val="both"/>
        <w:textAlignment w:val="baseline"/>
        <w:rPr>
          <w:rFonts w:cs="Times New Roman"/>
        </w:rPr>
      </w:pPr>
      <w:r>
        <w:rPr>
          <w:rFonts w:cs="Times New Roman"/>
        </w:rPr>
        <w:t>7.5.</w:t>
      </w:r>
      <w:r>
        <w:rPr>
          <w:rFonts w:cs="Times New Roman"/>
        </w:rPr>
        <w:tab/>
        <w:t xml:space="preserve">Objednatel je povinen řádně provedené revize převzít a zaplatit sjednanou cenu za jejich provedení. </w:t>
      </w:r>
    </w:p>
    <w:p w14:paraId="250AFE79" w14:textId="77777777" w:rsidR="0078552C" w:rsidRDefault="0078552C">
      <w:pPr>
        <w:overflowPunct w:val="0"/>
        <w:autoSpaceDE w:val="0"/>
        <w:autoSpaceDN w:val="0"/>
        <w:adjustRightInd w:val="0"/>
        <w:spacing w:after="120"/>
        <w:ind w:left="705" w:hanging="705"/>
        <w:jc w:val="both"/>
        <w:textAlignment w:val="baseline"/>
        <w:rPr>
          <w:rFonts w:cs="Times New Roman"/>
        </w:rPr>
      </w:pPr>
      <w:r>
        <w:rPr>
          <w:rFonts w:cs="Times New Roman"/>
        </w:rPr>
        <w:t>7.6.</w:t>
      </w:r>
      <w:r>
        <w:rPr>
          <w:rFonts w:cs="Times New Roman"/>
        </w:rPr>
        <w:tab/>
        <w:t>Vstup do objektů v souvislosti s prováděním revizní činnosti a přejímkou revizí za objednatele budou zajišťovat odpovědní zaměstnanci uvedení v článku 1 této smlouvy jako osoby zodpovědné jednat jménem objednatele ve věcech technických.</w:t>
      </w:r>
    </w:p>
    <w:p w14:paraId="31D13E33" w14:textId="77777777" w:rsidR="0078552C" w:rsidRDefault="0078552C">
      <w:pPr>
        <w:spacing w:after="120"/>
        <w:jc w:val="both"/>
        <w:rPr>
          <w:rFonts w:cs="Times New Roman"/>
        </w:rPr>
      </w:pPr>
    </w:p>
    <w:p w14:paraId="434C06FD" w14:textId="77777777" w:rsidR="0078552C" w:rsidRDefault="0078552C">
      <w:pPr>
        <w:pStyle w:val="Nadpis2"/>
        <w:spacing w:before="0" w:after="120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Článek 8</w:t>
      </w:r>
    </w:p>
    <w:p w14:paraId="56B4F74B" w14:textId="77777777" w:rsidR="0078552C" w:rsidRDefault="0078552C">
      <w:pPr>
        <w:pStyle w:val="Nadpis2"/>
        <w:spacing w:before="0" w:after="120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Odpovědnost za vady</w:t>
      </w:r>
    </w:p>
    <w:p w14:paraId="777FDAD9" w14:textId="77777777" w:rsidR="0078552C" w:rsidRDefault="0078552C">
      <w:pPr>
        <w:numPr>
          <w:ilvl w:val="0"/>
          <w:numId w:val="15"/>
        </w:numPr>
        <w:tabs>
          <w:tab w:val="left" w:pos="0"/>
        </w:tabs>
        <w:spacing w:after="120"/>
        <w:ind w:hanging="720"/>
        <w:jc w:val="both"/>
        <w:rPr>
          <w:rFonts w:cs="Times New Roman"/>
        </w:rPr>
      </w:pPr>
      <w:r>
        <w:rPr>
          <w:rFonts w:cs="Times New Roman"/>
        </w:rPr>
        <w:t xml:space="preserve">Zhotovitel se zavazuje, že realizované plnění bude po dobu </w:t>
      </w:r>
      <w:r w:rsidR="0005510A">
        <w:rPr>
          <w:rFonts w:cs="Times New Roman"/>
        </w:rPr>
        <w:t>dvou</w:t>
      </w:r>
      <w:r>
        <w:rPr>
          <w:rFonts w:cs="Times New Roman"/>
        </w:rPr>
        <w:t xml:space="preserve"> let v souladu se zadáním objednatele, obsahem nabídky zhotovitele, touto smlouvou a příslušnými technickými normami. </w:t>
      </w:r>
    </w:p>
    <w:p w14:paraId="7EFBB888" w14:textId="77777777" w:rsidR="0078552C" w:rsidRDefault="0078552C">
      <w:pPr>
        <w:numPr>
          <w:ilvl w:val="0"/>
          <w:numId w:val="15"/>
        </w:numPr>
        <w:tabs>
          <w:tab w:val="left" w:pos="0"/>
        </w:tabs>
        <w:spacing w:after="120"/>
        <w:ind w:hanging="720"/>
        <w:jc w:val="both"/>
        <w:rPr>
          <w:rFonts w:cs="Times New Roman"/>
        </w:rPr>
      </w:pPr>
      <w:r>
        <w:rPr>
          <w:rFonts w:cs="Times New Roman"/>
        </w:rPr>
        <w:t>Objednatel má vůči zhotoviteli tato práva z odpovědnosti za vady:</w:t>
      </w:r>
    </w:p>
    <w:p w14:paraId="19E3236F" w14:textId="77777777" w:rsidR="0078552C" w:rsidRDefault="0078552C" w:rsidP="00833967">
      <w:pPr>
        <w:tabs>
          <w:tab w:val="left" w:pos="0"/>
        </w:tabs>
        <w:spacing w:after="120"/>
        <w:ind w:left="720"/>
        <w:rPr>
          <w:rFonts w:cs="Times New Roman"/>
        </w:rPr>
      </w:pPr>
      <w:r>
        <w:rPr>
          <w:rFonts w:cs="Times New Roman"/>
        </w:rPr>
        <w:t>a)</w:t>
      </w:r>
      <w:r>
        <w:rPr>
          <w:rFonts w:cs="Times New Roman"/>
        </w:rPr>
        <w:tab/>
        <w:t>právo na bezplatné odstranění reklamovaných vad,</w:t>
      </w:r>
    </w:p>
    <w:p w14:paraId="39D30DB3" w14:textId="77777777" w:rsidR="0078552C" w:rsidRDefault="0078552C" w:rsidP="00833967">
      <w:pPr>
        <w:tabs>
          <w:tab w:val="left" w:pos="0"/>
        </w:tabs>
        <w:spacing w:after="120"/>
        <w:ind w:left="1429" w:hanging="709"/>
        <w:jc w:val="both"/>
        <w:rPr>
          <w:rFonts w:cs="Times New Roman"/>
        </w:rPr>
      </w:pPr>
      <w:r>
        <w:rPr>
          <w:rFonts w:cs="Times New Roman"/>
        </w:rPr>
        <w:t>b)</w:t>
      </w:r>
      <w:r>
        <w:rPr>
          <w:rFonts w:cs="Times New Roman"/>
        </w:rPr>
        <w:tab/>
        <w:t>právo na zaplacení nákladů na odstranění vad v případě, kdy si objednatel vady či nedodělky opraví nebo odstraní sám nebo použije k jejich odstranění třetí osoby,</w:t>
      </w:r>
    </w:p>
    <w:p w14:paraId="70C16497" w14:textId="77777777" w:rsidR="0078552C" w:rsidRDefault="0078552C" w:rsidP="00833967">
      <w:pPr>
        <w:tabs>
          <w:tab w:val="left" w:pos="0"/>
        </w:tabs>
        <w:spacing w:after="120"/>
        <w:ind w:left="1429" w:hanging="709"/>
        <w:jc w:val="both"/>
        <w:rPr>
          <w:rFonts w:cs="Times New Roman"/>
        </w:rPr>
      </w:pPr>
      <w:r>
        <w:rPr>
          <w:rFonts w:cs="Times New Roman"/>
        </w:rPr>
        <w:t>c)</w:t>
      </w:r>
      <w:r>
        <w:rPr>
          <w:rFonts w:cs="Times New Roman"/>
        </w:rPr>
        <w:tab/>
        <w:t>právo na poskytnutí přiměřené slevy z ceny odpovídající rozsahu reklamovaných vad či nedodělků,</w:t>
      </w:r>
    </w:p>
    <w:p w14:paraId="463CE985" w14:textId="77777777" w:rsidR="0078552C" w:rsidRDefault="0078552C">
      <w:pPr>
        <w:tabs>
          <w:tab w:val="left" w:pos="0"/>
        </w:tabs>
        <w:spacing w:after="120"/>
        <w:ind w:left="720"/>
        <w:jc w:val="both"/>
        <w:rPr>
          <w:rFonts w:cs="Times New Roman"/>
        </w:rPr>
      </w:pPr>
      <w:r>
        <w:rPr>
          <w:rFonts w:cs="Times New Roman"/>
        </w:rPr>
        <w:t>d)</w:t>
      </w:r>
      <w:r>
        <w:rPr>
          <w:rFonts w:cs="Times New Roman"/>
        </w:rPr>
        <w:tab/>
        <w:t>právo na odstoupení od smlouvy.</w:t>
      </w:r>
    </w:p>
    <w:p w14:paraId="29D7661D" w14:textId="77777777" w:rsidR="0078552C" w:rsidRDefault="0078552C">
      <w:pPr>
        <w:tabs>
          <w:tab w:val="left" w:pos="0"/>
        </w:tabs>
        <w:spacing w:after="120"/>
        <w:ind w:left="720"/>
        <w:jc w:val="both"/>
        <w:rPr>
          <w:rFonts w:cs="Times New Roman"/>
          <w:b/>
          <w:bCs/>
        </w:rPr>
      </w:pPr>
    </w:p>
    <w:p w14:paraId="4775355C" w14:textId="77777777" w:rsidR="0078552C" w:rsidRDefault="0078552C">
      <w:pPr>
        <w:pStyle w:val="Nadpis2"/>
        <w:spacing w:before="0" w:after="120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Článek 9</w:t>
      </w:r>
    </w:p>
    <w:p w14:paraId="768CE78E" w14:textId="77777777" w:rsidR="0078552C" w:rsidRDefault="0078552C">
      <w:pPr>
        <w:pStyle w:val="Nadpis2"/>
        <w:spacing w:before="0" w:after="120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Sankce, odpovědnost za škodu</w:t>
      </w:r>
    </w:p>
    <w:p w14:paraId="169C2A53" w14:textId="77777777" w:rsidR="0078552C" w:rsidRDefault="0078552C">
      <w:pPr>
        <w:overflowPunct w:val="0"/>
        <w:autoSpaceDE w:val="0"/>
        <w:autoSpaceDN w:val="0"/>
        <w:adjustRightInd w:val="0"/>
        <w:spacing w:after="120"/>
        <w:ind w:left="705" w:hanging="705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9.1. </w:t>
      </w:r>
      <w:r>
        <w:rPr>
          <w:rFonts w:cs="Times New Roman"/>
        </w:rPr>
        <w:tab/>
        <w:t>Pokud nebude dílo dodáno zhotovitelem ve lhůtě dle čl. 4.1. této smlouvy může objednatel uplatnit a vyúčtovat zhotoviteli dohodnutou smluvní pokutu ve výši 0,02</w:t>
      </w:r>
      <w:r w:rsidR="005F49B1">
        <w:rPr>
          <w:rFonts w:cs="Times New Roman"/>
        </w:rPr>
        <w:t xml:space="preserve"> </w:t>
      </w:r>
      <w:r>
        <w:rPr>
          <w:rFonts w:cs="Times New Roman"/>
        </w:rPr>
        <w:t xml:space="preserve">% z ceny neprovedeného díla včetně DPH uvedené v čl. 5 za každý den prodlení. Nedodáním se rozumí i nedodání protokolu o provedení revize. </w:t>
      </w:r>
    </w:p>
    <w:p w14:paraId="00106FD3" w14:textId="77777777" w:rsidR="0078552C" w:rsidRDefault="0078552C">
      <w:pPr>
        <w:overflowPunct w:val="0"/>
        <w:autoSpaceDE w:val="0"/>
        <w:autoSpaceDN w:val="0"/>
        <w:adjustRightInd w:val="0"/>
        <w:spacing w:after="120"/>
        <w:ind w:left="705" w:hanging="705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9.2. </w:t>
      </w:r>
      <w:r>
        <w:rPr>
          <w:rFonts w:cs="Times New Roman"/>
        </w:rPr>
        <w:tab/>
        <w:t>V případě prodlení objednatele se zaplacením řádně vystavené a doručené faktury na sjednanou cenu za dílo (dílčí plnění předmětu smlouvy) je zhotovitel oprávněn účtovat objednateli zákonný úrok z prodlení z nezaplacené částky, a to za každý i započatý den prodlení. Splatnost smluvních pokut je 30 dní po obdržení daňového dokladu s vyčíslením smluvní pokuty.</w:t>
      </w:r>
    </w:p>
    <w:p w14:paraId="119E9193" w14:textId="77777777" w:rsidR="0078552C" w:rsidRDefault="0078552C">
      <w:pPr>
        <w:overflowPunct w:val="0"/>
        <w:autoSpaceDE w:val="0"/>
        <w:autoSpaceDN w:val="0"/>
        <w:adjustRightInd w:val="0"/>
        <w:spacing w:after="120"/>
        <w:ind w:left="705" w:hanging="705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9.3. </w:t>
      </w:r>
      <w:r>
        <w:rPr>
          <w:rFonts w:cs="Times New Roman"/>
        </w:rPr>
        <w:tab/>
        <w:t>Pokud nesplní zhotovitel jakýkoli, byť i dílčí, závazek vyplývající z čl. 6, může objednatel uplatnit a vyúčtovat zhotoviteli dohodnutou smluvní pokutu ve výši 1 000,- Kč za každý jednotlivý případ.</w:t>
      </w:r>
    </w:p>
    <w:p w14:paraId="0B43766B" w14:textId="77777777" w:rsidR="0078552C" w:rsidRDefault="0078552C">
      <w:pPr>
        <w:overflowPunct w:val="0"/>
        <w:autoSpaceDE w:val="0"/>
        <w:autoSpaceDN w:val="0"/>
        <w:adjustRightInd w:val="0"/>
        <w:spacing w:after="120"/>
        <w:ind w:left="705" w:hanging="705"/>
        <w:jc w:val="both"/>
        <w:textAlignment w:val="baseline"/>
        <w:rPr>
          <w:rFonts w:cs="Times New Roman"/>
        </w:rPr>
      </w:pPr>
      <w:r>
        <w:rPr>
          <w:rFonts w:cs="Times New Roman"/>
        </w:rPr>
        <w:lastRenderedPageBreak/>
        <w:t xml:space="preserve">9.4. </w:t>
      </w:r>
      <w:r>
        <w:rPr>
          <w:rFonts w:cs="Times New Roman"/>
        </w:rPr>
        <w:tab/>
        <w:t xml:space="preserve">Každá ze stran odpovídá druhé straně za škodu, která ji vznikne v důsledku porušení povinnosti vyplývající z této </w:t>
      </w:r>
      <w:proofErr w:type="gramStart"/>
      <w:r>
        <w:rPr>
          <w:rFonts w:cs="Times New Roman"/>
        </w:rPr>
        <w:t>smlouvy</w:t>
      </w:r>
      <w:proofErr w:type="gramEnd"/>
      <w:r>
        <w:rPr>
          <w:rFonts w:cs="Times New Roman"/>
        </w:rPr>
        <w:t xml:space="preserve"> resp. závazkového vztahu. Zaplacením smluvní pokuty není dotčen ani omezen nárok objednatele na náhradu případné škody.   </w:t>
      </w:r>
    </w:p>
    <w:p w14:paraId="3622A8FA" w14:textId="77777777" w:rsidR="0078552C" w:rsidRDefault="0078552C">
      <w:pPr>
        <w:spacing w:after="120"/>
        <w:jc w:val="both"/>
        <w:rPr>
          <w:rFonts w:cs="Times New Roman"/>
          <w:b/>
          <w:bCs/>
          <w:snapToGrid w:val="0"/>
          <w:color w:val="000000"/>
          <w:highlight w:val="yellow"/>
        </w:rPr>
      </w:pPr>
    </w:p>
    <w:p w14:paraId="6AB958C0" w14:textId="77777777" w:rsidR="0078552C" w:rsidRDefault="0078552C">
      <w:pPr>
        <w:keepNext/>
        <w:spacing w:after="120"/>
        <w:jc w:val="center"/>
        <w:rPr>
          <w:rFonts w:cs="Times New Roman"/>
          <w:b/>
          <w:bCs/>
          <w:snapToGrid w:val="0"/>
          <w:color w:val="000000"/>
        </w:rPr>
      </w:pPr>
      <w:r>
        <w:rPr>
          <w:rFonts w:cs="Times New Roman"/>
          <w:b/>
          <w:bCs/>
          <w:snapToGrid w:val="0"/>
          <w:color w:val="000000"/>
        </w:rPr>
        <w:t>Článek 10</w:t>
      </w:r>
    </w:p>
    <w:p w14:paraId="638EB4E2" w14:textId="77777777" w:rsidR="0078552C" w:rsidRDefault="0078552C">
      <w:pPr>
        <w:pStyle w:val="Nadpis2"/>
        <w:spacing w:before="0" w:after="120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Další ujednání</w:t>
      </w:r>
    </w:p>
    <w:p w14:paraId="74BE3AF5" w14:textId="77777777" w:rsidR="0078552C" w:rsidRDefault="0078552C">
      <w:pPr>
        <w:keepNext/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left="714" w:hanging="714"/>
        <w:jc w:val="both"/>
        <w:textAlignment w:val="baseline"/>
        <w:rPr>
          <w:rFonts w:cs="Times New Roman"/>
        </w:rPr>
      </w:pPr>
      <w:r>
        <w:rPr>
          <w:rFonts w:cs="Times New Roman"/>
        </w:rPr>
        <w:t>Přerušení postupu provedení díla z pokynu objednatele, případně vinou objednatele, bude mít za následek posun termínu plnění o dobu přerušení.</w:t>
      </w:r>
    </w:p>
    <w:p w14:paraId="40E8C8AF" w14:textId="77777777" w:rsidR="0078552C" w:rsidRDefault="0078552C">
      <w:pPr>
        <w:numPr>
          <w:ilvl w:val="0"/>
          <w:numId w:val="5"/>
        </w:numPr>
        <w:spacing w:after="120"/>
        <w:ind w:hanging="720"/>
        <w:jc w:val="both"/>
        <w:rPr>
          <w:rFonts w:cs="Times New Roman"/>
        </w:rPr>
      </w:pPr>
      <w:r>
        <w:rPr>
          <w:rFonts w:cs="Times New Roman"/>
        </w:rPr>
        <w:t>Objednatel je oprávněn odstoupit od smlouvy, pokud zhotovitel bude v prodlení s dokončením provedení díla, nebo pokud kvalita prací nebude odpovídat příslušným normám a předpisům a/nebo pokud bude v průběhu provádění díla podstatným způsobem porušena smlouva o dílo, bez nároku na náhradu škody nebo ušlého zisku pro druhou stranu.</w:t>
      </w:r>
    </w:p>
    <w:p w14:paraId="3D67A8D5" w14:textId="77777777" w:rsidR="00833967" w:rsidRDefault="0005510A" w:rsidP="00833967">
      <w:pPr>
        <w:numPr>
          <w:ilvl w:val="0"/>
          <w:numId w:val="5"/>
        </w:numPr>
        <w:spacing w:after="120"/>
        <w:ind w:hanging="720"/>
        <w:jc w:val="both"/>
        <w:rPr>
          <w:rFonts w:cs="Times New Roman"/>
        </w:rPr>
      </w:pPr>
      <w:r>
        <w:rPr>
          <w:rFonts w:cs="Times New Roman"/>
        </w:rPr>
        <w:t>Smlouvu lze vypovědět s </w:t>
      </w:r>
      <w:proofErr w:type="gramStart"/>
      <w:r>
        <w:rPr>
          <w:rFonts w:cs="Times New Roman"/>
        </w:rPr>
        <w:t>30-ti denní</w:t>
      </w:r>
      <w:proofErr w:type="gramEnd"/>
      <w:r>
        <w:rPr>
          <w:rFonts w:cs="Times New Roman"/>
        </w:rPr>
        <w:t xml:space="preserve"> výpovědní lhůtou bez uvedení důvodu.</w:t>
      </w:r>
    </w:p>
    <w:p w14:paraId="4CC4C341" w14:textId="77777777" w:rsidR="00250809" w:rsidRPr="00833967" w:rsidRDefault="0005510A" w:rsidP="00833967">
      <w:pPr>
        <w:numPr>
          <w:ilvl w:val="0"/>
          <w:numId w:val="5"/>
        </w:numPr>
        <w:spacing w:after="120"/>
        <w:ind w:hanging="720"/>
        <w:jc w:val="both"/>
        <w:rPr>
          <w:rFonts w:cs="Times New Roman"/>
        </w:rPr>
      </w:pPr>
      <w:r>
        <w:rPr>
          <w:rFonts w:cs="Times New Roman"/>
        </w:rPr>
        <w:t>Smlouva může být okamžitě ukončena, pokud se na tom obě smluvní strany dohodnou.</w:t>
      </w:r>
    </w:p>
    <w:p w14:paraId="33836038" w14:textId="77777777" w:rsidR="00FE7FE3" w:rsidRDefault="00FE7FE3">
      <w:pPr>
        <w:keepNext/>
        <w:spacing w:after="120"/>
        <w:jc w:val="center"/>
        <w:rPr>
          <w:rFonts w:cs="Times New Roman"/>
          <w:b/>
          <w:bCs/>
          <w:snapToGrid w:val="0"/>
          <w:color w:val="000000"/>
        </w:rPr>
      </w:pPr>
    </w:p>
    <w:p w14:paraId="520F0262" w14:textId="77777777" w:rsidR="00FE7FE3" w:rsidRDefault="00FE7FE3" w:rsidP="00972A7F">
      <w:pPr>
        <w:keepNext/>
        <w:spacing w:after="120"/>
        <w:rPr>
          <w:rFonts w:cs="Times New Roman"/>
          <w:b/>
          <w:bCs/>
          <w:snapToGrid w:val="0"/>
          <w:color w:val="000000"/>
        </w:rPr>
      </w:pPr>
    </w:p>
    <w:p w14:paraId="24DB52BA" w14:textId="77777777" w:rsidR="0078552C" w:rsidRDefault="0078552C">
      <w:pPr>
        <w:keepNext/>
        <w:spacing w:after="120"/>
        <w:jc w:val="center"/>
        <w:rPr>
          <w:rFonts w:cs="Times New Roman"/>
          <w:b/>
          <w:bCs/>
          <w:snapToGrid w:val="0"/>
          <w:color w:val="000000"/>
        </w:rPr>
      </w:pPr>
      <w:r>
        <w:rPr>
          <w:rFonts w:cs="Times New Roman"/>
          <w:b/>
          <w:bCs/>
          <w:snapToGrid w:val="0"/>
          <w:color w:val="000000"/>
        </w:rPr>
        <w:t>Článek 11</w:t>
      </w:r>
    </w:p>
    <w:p w14:paraId="0D017D58" w14:textId="77777777" w:rsidR="0078552C" w:rsidRDefault="0078552C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Závěrečná ustanovení</w:t>
      </w:r>
    </w:p>
    <w:p w14:paraId="0D324F4C" w14:textId="77777777" w:rsidR="0078552C" w:rsidRDefault="0078552C">
      <w:pPr>
        <w:jc w:val="both"/>
        <w:rPr>
          <w:rFonts w:cs="Times New Roman"/>
        </w:rPr>
      </w:pPr>
    </w:p>
    <w:p w14:paraId="5E18BE2C" w14:textId="77777777" w:rsidR="0078552C" w:rsidRDefault="0078552C">
      <w:pPr>
        <w:pStyle w:val="Odstavecseseznamem"/>
        <w:numPr>
          <w:ilvl w:val="0"/>
          <w:numId w:val="23"/>
        </w:numPr>
        <w:spacing w:after="120"/>
        <w:ind w:hanging="720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Tuto smlouvu lze měnit pouze formou písemných dodatků podepsaných oprávněnými zástupci obou smluvních stran.</w:t>
      </w:r>
    </w:p>
    <w:p w14:paraId="76447439" w14:textId="77777777" w:rsidR="0078552C" w:rsidRDefault="0078552C">
      <w:pPr>
        <w:pStyle w:val="Odstavecseseznamem"/>
        <w:numPr>
          <w:ilvl w:val="0"/>
          <w:numId w:val="23"/>
        </w:numPr>
        <w:spacing w:after="120"/>
        <w:ind w:hanging="720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Tato smlouva se vyhotovuje</w:t>
      </w:r>
      <w:r w:rsidR="00C4527B">
        <w:rPr>
          <w:rFonts w:cs="Times New Roman"/>
          <w:b w:val="0"/>
          <w:bCs w:val="0"/>
          <w:sz w:val="24"/>
          <w:szCs w:val="24"/>
        </w:rPr>
        <w:t xml:space="preserve"> ve dvou stejnopisech včetně vyhotovení ve strojově čitelném formátu</w:t>
      </w:r>
      <w:r>
        <w:rPr>
          <w:rFonts w:cs="Times New Roman"/>
          <w:b w:val="0"/>
          <w:bCs w:val="0"/>
          <w:sz w:val="24"/>
          <w:szCs w:val="24"/>
        </w:rPr>
        <w:t xml:space="preserve">, z nichž </w:t>
      </w:r>
      <w:r w:rsidR="00C4527B">
        <w:rPr>
          <w:rFonts w:cs="Times New Roman"/>
          <w:b w:val="0"/>
          <w:bCs w:val="0"/>
          <w:sz w:val="24"/>
          <w:szCs w:val="24"/>
        </w:rPr>
        <w:t>jeden</w:t>
      </w:r>
      <w:r>
        <w:rPr>
          <w:rFonts w:cs="Times New Roman"/>
          <w:b w:val="0"/>
          <w:bCs w:val="0"/>
          <w:sz w:val="24"/>
          <w:szCs w:val="24"/>
        </w:rPr>
        <w:t xml:space="preserve"> je určen pro zhotovitele a jeden pro objednatele.</w:t>
      </w:r>
    </w:p>
    <w:p w14:paraId="3B2BB188" w14:textId="77777777" w:rsidR="0078552C" w:rsidRDefault="0078552C">
      <w:pPr>
        <w:pStyle w:val="Odstavecseseznamem"/>
        <w:numPr>
          <w:ilvl w:val="0"/>
          <w:numId w:val="23"/>
        </w:numPr>
        <w:spacing w:after="120"/>
        <w:ind w:hanging="720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Tato smlouva nabývá platnosti a účinnosti dnem jejího podpisu smluvními stranami.</w:t>
      </w:r>
    </w:p>
    <w:p w14:paraId="16468DF1" w14:textId="77777777" w:rsidR="0078552C" w:rsidRDefault="0078552C">
      <w:pPr>
        <w:pStyle w:val="Odstavecseseznamem"/>
        <w:numPr>
          <w:ilvl w:val="0"/>
          <w:numId w:val="23"/>
        </w:numPr>
        <w:spacing w:after="120"/>
        <w:ind w:hanging="720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Zhotovitel souhlasí se zveřejněním této smlouvy v Registru smluv.</w:t>
      </w:r>
    </w:p>
    <w:p w14:paraId="2BC020BB" w14:textId="77777777" w:rsidR="00972A7F" w:rsidRPr="00972A7F" w:rsidRDefault="00972A7F" w:rsidP="00972A7F">
      <w:pPr>
        <w:spacing w:after="120"/>
        <w:jc w:val="both"/>
        <w:rPr>
          <w:rFonts w:cs="Times New Roman"/>
        </w:rPr>
      </w:pPr>
    </w:p>
    <w:p w14:paraId="04B47908" w14:textId="77777777" w:rsidR="0078552C" w:rsidRDefault="0078552C">
      <w:pPr>
        <w:jc w:val="both"/>
        <w:rPr>
          <w:rFonts w:cs="Times New Roman"/>
        </w:rPr>
      </w:pPr>
    </w:p>
    <w:p w14:paraId="1A93EC3E" w14:textId="77777777" w:rsidR="0078552C" w:rsidRDefault="0078552C">
      <w:pPr>
        <w:jc w:val="both"/>
        <w:rPr>
          <w:rFonts w:cs="Times New Roman"/>
        </w:rPr>
      </w:pPr>
    </w:p>
    <w:p w14:paraId="37DAD32D" w14:textId="77777777" w:rsidR="0078552C" w:rsidRDefault="0078552C">
      <w:pPr>
        <w:pStyle w:val="Zkladntext3"/>
        <w:jc w:val="both"/>
        <w:rPr>
          <w:sz w:val="24"/>
          <w:szCs w:val="24"/>
        </w:rPr>
      </w:pPr>
      <w:r>
        <w:rPr>
          <w:sz w:val="24"/>
          <w:szCs w:val="24"/>
        </w:rPr>
        <w:t>Zhotovitel: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Objednatel:</w:t>
      </w:r>
    </w:p>
    <w:p w14:paraId="60E43837" w14:textId="77777777" w:rsidR="0078552C" w:rsidRPr="008E5668" w:rsidRDefault="0078552C">
      <w:pPr>
        <w:pStyle w:val="Zkladntext3"/>
        <w:jc w:val="both"/>
        <w:rPr>
          <w:color w:val="000000" w:themeColor="text1"/>
          <w:sz w:val="24"/>
          <w:szCs w:val="24"/>
        </w:rPr>
      </w:pPr>
    </w:p>
    <w:p w14:paraId="2E4D9223" w14:textId="77777777" w:rsidR="0078552C" w:rsidRPr="008E5668" w:rsidRDefault="0078552C">
      <w:pPr>
        <w:pStyle w:val="Zkladntext3"/>
        <w:jc w:val="both"/>
        <w:rPr>
          <w:color w:val="000000" w:themeColor="text1"/>
          <w:sz w:val="24"/>
          <w:szCs w:val="24"/>
        </w:rPr>
      </w:pPr>
      <w:r w:rsidRPr="008E5668">
        <w:rPr>
          <w:color w:val="000000" w:themeColor="text1"/>
          <w:sz w:val="24"/>
          <w:szCs w:val="24"/>
        </w:rPr>
        <w:t>V ....................... dne ......................</w:t>
      </w:r>
      <w:r w:rsidRPr="008E5668">
        <w:rPr>
          <w:color w:val="000000" w:themeColor="text1"/>
          <w:sz w:val="24"/>
          <w:szCs w:val="24"/>
        </w:rPr>
        <w:tab/>
      </w:r>
      <w:r w:rsidRPr="008E5668">
        <w:rPr>
          <w:color w:val="000000" w:themeColor="text1"/>
          <w:sz w:val="24"/>
          <w:szCs w:val="24"/>
        </w:rPr>
        <w:tab/>
      </w:r>
      <w:r w:rsidRPr="008E5668">
        <w:rPr>
          <w:color w:val="000000" w:themeColor="text1"/>
          <w:sz w:val="24"/>
          <w:szCs w:val="24"/>
        </w:rPr>
        <w:tab/>
        <w:t>V </w:t>
      </w:r>
      <w:proofErr w:type="spellStart"/>
      <w:r w:rsidR="00C4527B" w:rsidRPr="008E5668">
        <w:rPr>
          <w:color w:val="000000" w:themeColor="text1"/>
          <w:sz w:val="24"/>
          <w:szCs w:val="24"/>
        </w:rPr>
        <w:t>Jenštejně</w:t>
      </w:r>
      <w:proofErr w:type="spellEnd"/>
      <w:r w:rsidRPr="008E5668">
        <w:rPr>
          <w:color w:val="000000" w:themeColor="text1"/>
          <w:sz w:val="24"/>
          <w:szCs w:val="24"/>
        </w:rPr>
        <w:t xml:space="preserve"> dne ...............................</w:t>
      </w:r>
    </w:p>
    <w:p w14:paraId="70EC21BA" w14:textId="77777777" w:rsidR="0078552C" w:rsidRPr="008E5668" w:rsidRDefault="0078552C">
      <w:pPr>
        <w:pStyle w:val="Zkladntext3"/>
        <w:jc w:val="both"/>
        <w:rPr>
          <w:color w:val="000000" w:themeColor="text1"/>
          <w:sz w:val="24"/>
          <w:szCs w:val="24"/>
        </w:rPr>
      </w:pPr>
    </w:p>
    <w:p w14:paraId="2DD6D4AF" w14:textId="77777777" w:rsidR="0078552C" w:rsidRPr="008E5668" w:rsidRDefault="0078552C">
      <w:pPr>
        <w:tabs>
          <w:tab w:val="center" w:pos="1620"/>
          <w:tab w:val="center" w:pos="6840"/>
        </w:tabs>
        <w:jc w:val="both"/>
        <w:rPr>
          <w:rFonts w:cs="Times New Roman"/>
          <w:color w:val="000000" w:themeColor="text1"/>
        </w:rPr>
      </w:pPr>
    </w:p>
    <w:p w14:paraId="25A9F7A5" w14:textId="77777777" w:rsidR="0078552C" w:rsidRPr="008E5668" w:rsidRDefault="0078552C">
      <w:pPr>
        <w:tabs>
          <w:tab w:val="center" w:pos="1620"/>
          <w:tab w:val="center" w:pos="6840"/>
        </w:tabs>
        <w:jc w:val="both"/>
        <w:rPr>
          <w:rFonts w:cs="Times New Roman"/>
          <w:color w:val="000000" w:themeColor="text1"/>
        </w:rPr>
      </w:pPr>
      <w:r w:rsidRPr="008E5668">
        <w:rPr>
          <w:rFonts w:cs="Times New Roman"/>
          <w:color w:val="000000" w:themeColor="text1"/>
        </w:rPr>
        <w:tab/>
        <w:t>…………………….</w:t>
      </w:r>
      <w:r w:rsidRPr="008E5668">
        <w:rPr>
          <w:rFonts w:cs="Times New Roman"/>
          <w:color w:val="000000" w:themeColor="text1"/>
        </w:rPr>
        <w:tab/>
        <w:t>……………………….</w:t>
      </w:r>
    </w:p>
    <w:p w14:paraId="048E4605" w14:textId="77777777" w:rsidR="0078552C" w:rsidRPr="008E5668" w:rsidRDefault="00250809">
      <w:pPr>
        <w:tabs>
          <w:tab w:val="center" w:pos="1620"/>
          <w:tab w:val="center" w:pos="6840"/>
        </w:tabs>
        <w:jc w:val="both"/>
        <w:rPr>
          <w:rFonts w:cs="Times New Roman"/>
          <w:color w:val="000000" w:themeColor="text1"/>
        </w:rPr>
      </w:pPr>
      <w:r w:rsidRPr="008E5668">
        <w:rPr>
          <w:rFonts w:cs="Times New Roman"/>
          <w:color w:val="000000" w:themeColor="text1"/>
        </w:rPr>
        <w:tab/>
      </w:r>
      <w:r w:rsidRPr="008E5668">
        <w:rPr>
          <w:rFonts w:cs="Times New Roman"/>
          <w:color w:val="000000" w:themeColor="text1"/>
        </w:rPr>
        <w:tab/>
      </w:r>
      <w:r w:rsidR="0078552C" w:rsidRPr="008E5668">
        <w:rPr>
          <w:rFonts w:cs="Times New Roman"/>
          <w:color w:val="000000" w:themeColor="text1"/>
        </w:rPr>
        <w:tab/>
      </w:r>
    </w:p>
    <w:p w14:paraId="6120CF75" w14:textId="77777777" w:rsidR="0078552C" w:rsidRDefault="0078552C">
      <w:pPr>
        <w:tabs>
          <w:tab w:val="center" w:pos="1620"/>
          <w:tab w:val="center" w:pos="6840"/>
        </w:tabs>
        <w:jc w:val="both"/>
        <w:rPr>
          <w:rFonts w:cs="Times New Roman"/>
          <w:i/>
          <w:iCs/>
        </w:rPr>
      </w:pPr>
    </w:p>
    <w:sectPr w:rsidR="0078552C" w:rsidSect="0078552C">
      <w:headerReference w:type="default" r:id="rId7"/>
      <w:footerReference w:type="default" r:id="rId8"/>
      <w:footerReference w:type="first" r:id="rId9"/>
      <w:pgSz w:w="12240" w:h="15840"/>
      <w:pgMar w:top="1079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8FB2E" w14:textId="77777777" w:rsidR="00BE6239" w:rsidRDefault="00BE62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EB1DE72" w14:textId="77777777" w:rsidR="00BE6239" w:rsidRDefault="00BE62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2AAF" w14:textId="77777777" w:rsidR="0078552C" w:rsidRDefault="0078552C">
    <w:pPr>
      <w:pStyle w:val="Zpat"/>
      <w:pBdr>
        <w:top w:val="single" w:sz="4" w:space="1" w:color="auto"/>
      </w:pBdr>
      <w:jc w:val="center"/>
      <w:rPr>
        <w:rFonts w:cs="Times New Roman"/>
      </w:rPr>
    </w:pPr>
    <w:r>
      <w:rPr>
        <w:rFonts w:cs="Times New Roman"/>
      </w:rPr>
      <w:t xml:space="preserve">Stránka </w:t>
    </w:r>
    <w:r w:rsidR="008D008F">
      <w:rPr>
        <w:rFonts w:cs="Times New Roman"/>
        <w:b/>
        <w:bCs/>
      </w:rPr>
      <w:fldChar w:fldCharType="begin"/>
    </w:r>
    <w:r>
      <w:rPr>
        <w:rFonts w:cs="Times New Roman"/>
        <w:b/>
        <w:bCs/>
      </w:rPr>
      <w:instrText>PAGE</w:instrText>
    </w:r>
    <w:r w:rsidR="008D008F">
      <w:rPr>
        <w:rFonts w:cs="Times New Roman"/>
        <w:b/>
        <w:bCs/>
      </w:rPr>
      <w:fldChar w:fldCharType="separate"/>
    </w:r>
    <w:r w:rsidR="000C3CBC">
      <w:rPr>
        <w:rFonts w:cs="Times New Roman"/>
        <w:b/>
        <w:bCs/>
        <w:noProof/>
      </w:rPr>
      <w:t>3</w:t>
    </w:r>
    <w:r w:rsidR="008D008F">
      <w:rPr>
        <w:rFonts w:cs="Times New Roman"/>
        <w:b/>
        <w:bCs/>
      </w:rPr>
      <w:fldChar w:fldCharType="end"/>
    </w:r>
    <w:r>
      <w:rPr>
        <w:rFonts w:cs="Times New Roman"/>
      </w:rPr>
      <w:t xml:space="preserve"> z </w:t>
    </w:r>
    <w:r w:rsidR="008D008F">
      <w:rPr>
        <w:rFonts w:cs="Times New Roman"/>
        <w:b/>
        <w:bCs/>
      </w:rPr>
      <w:fldChar w:fldCharType="begin"/>
    </w:r>
    <w:r>
      <w:rPr>
        <w:rFonts w:cs="Times New Roman"/>
        <w:b/>
        <w:bCs/>
      </w:rPr>
      <w:instrText>NUMPAGES</w:instrText>
    </w:r>
    <w:r w:rsidR="008D008F">
      <w:rPr>
        <w:rFonts w:cs="Times New Roman"/>
        <w:b/>
        <w:bCs/>
      </w:rPr>
      <w:fldChar w:fldCharType="separate"/>
    </w:r>
    <w:r w:rsidR="000C3CBC">
      <w:rPr>
        <w:rFonts w:cs="Times New Roman"/>
        <w:b/>
        <w:bCs/>
        <w:noProof/>
      </w:rPr>
      <w:t>6</w:t>
    </w:r>
    <w:r w:rsidR="008D008F">
      <w:rPr>
        <w:rFonts w:cs="Times New Roman"/>
        <w:b/>
        <w:bCs/>
      </w:rPr>
      <w:fldChar w:fldCharType="end"/>
    </w:r>
  </w:p>
  <w:p w14:paraId="3A5A387E" w14:textId="77777777" w:rsidR="0078552C" w:rsidRDefault="0078552C">
    <w:pPr>
      <w:pStyle w:val="Zpat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354E" w14:textId="77777777" w:rsidR="0078552C" w:rsidRDefault="0078552C">
    <w:pPr>
      <w:pStyle w:val="Zpat"/>
      <w:pBdr>
        <w:top w:val="single" w:sz="4" w:space="1" w:color="auto"/>
      </w:pBdr>
      <w:jc w:val="center"/>
      <w:rPr>
        <w:rFonts w:cs="Times New Roman"/>
      </w:rPr>
    </w:pPr>
    <w:r>
      <w:rPr>
        <w:rFonts w:cs="Times New Roman"/>
      </w:rPr>
      <w:t xml:space="preserve">Stránka </w:t>
    </w:r>
    <w:r w:rsidR="008D008F">
      <w:rPr>
        <w:rFonts w:cs="Times New Roman"/>
        <w:b/>
        <w:bCs/>
      </w:rPr>
      <w:fldChar w:fldCharType="begin"/>
    </w:r>
    <w:r>
      <w:rPr>
        <w:rFonts w:cs="Times New Roman"/>
        <w:b/>
        <w:bCs/>
      </w:rPr>
      <w:instrText>PAGE</w:instrText>
    </w:r>
    <w:r w:rsidR="008D008F">
      <w:rPr>
        <w:rFonts w:cs="Times New Roman"/>
        <w:b/>
        <w:bCs/>
      </w:rPr>
      <w:fldChar w:fldCharType="separate"/>
    </w:r>
    <w:r w:rsidR="000C3CBC">
      <w:rPr>
        <w:rFonts w:cs="Times New Roman"/>
        <w:b/>
        <w:bCs/>
        <w:noProof/>
      </w:rPr>
      <w:t>1</w:t>
    </w:r>
    <w:r w:rsidR="008D008F">
      <w:rPr>
        <w:rFonts w:cs="Times New Roman"/>
        <w:b/>
        <w:bCs/>
      </w:rPr>
      <w:fldChar w:fldCharType="end"/>
    </w:r>
    <w:r>
      <w:rPr>
        <w:rFonts w:cs="Times New Roman"/>
      </w:rPr>
      <w:t xml:space="preserve"> z </w:t>
    </w:r>
    <w:r w:rsidR="008D008F">
      <w:rPr>
        <w:rFonts w:cs="Times New Roman"/>
        <w:b/>
        <w:bCs/>
      </w:rPr>
      <w:fldChar w:fldCharType="begin"/>
    </w:r>
    <w:r>
      <w:rPr>
        <w:rFonts w:cs="Times New Roman"/>
        <w:b/>
        <w:bCs/>
      </w:rPr>
      <w:instrText>NUMPAGES</w:instrText>
    </w:r>
    <w:r w:rsidR="008D008F">
      <w:rPr>
        <w:rFonts w:cs="Times New Roman"/>
        <w:b/>
        <w:bCs/>
      </w:rPr>
      <w:fldChar w:fldCharType="separate"/>
    </w:r>
    <w:r w:rsidR="000C3CBC">
      <w:rPr>
        <w:rFonts w:cs="Times New Roman"/>
        <w:b/>
        <w:bCs/>
        <w:noProof/>
      </w:rPr>
      <w:t>1</w:t>
    </w:r>
    <w:r w:rsidR="008D008F">
      <w:rPr>
        <w:rFonts w:cs="Times New Roman"/>
        <w:b/>
        <w:bCs/>
      </w:rPr>
      <w:fldChar w:fldCharType="end"/>
    </w:r>
  </w:p>
  <w:p w14:paraId="71F8C866" w14:textId="77777777" w:rsidR="0078552C" w:rsidRDefault="0078552C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C2C1" w14:textId="77777777" w:rsidR="00BE6239" w:rsidRDefault="00BE62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09A692" w14:textId="77777777" w:rsidR="00BE6239" w:rsidRDefault="00BE62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C527" w14:textId="77777777" w:rsidR="0078552C" w:rsidRDefault="0078552C">
    <w:pPr>
      <w:pStyle w:val="Zhlav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CB9EE75E"/>
    <w:lvl w:ilvl="0">
      <w:start w:val="1"/>
      <w:numFmt w:val="decimal"/>
      <w:lvlText w:val="13.%1.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</w:abstractNum>
  <w:abstractNum w:abstractNumId="1" w15:restartNumberingAfterBreak="0">
    <w:nsid w:val="0B3F0FA0"/>
    <w:multiLevelType w:val="hybridMultilevel"/>
    <w:tmpl w:val="B156DEA2"/>
    <w:lvl w:ilvl="0" w:tplc="0694A744">
      <w:start w:val="1"/>
      <w:numFmt w:val="ordin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E20178D"/>
    <w:multiLevelType w:val="hybridMultilevel"/>
    <w:tmpl w:val="29B8FEFE"/>
    <w:lvl w:ilvl="0" w:tplc="EBEAF1EA">
      <w:start w:val="1"/>
      <w:numFmt w:val="ordin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4924E29"/>
    <w:multiLevelType w:val="hybridMultilevel"/>
    <w:tmpl w:val="A29CAC60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A8846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6EC075D"/>
    <w:multiLevelType w:val="hybridMultilevel"/>
    <w:tmpl w:val="A8D4430A"/>
    <w:lvl w:ilvl="0" w:tplc="2E060D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bCs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7530A8F"/>
    <w:multiLevelType w:val="hybridMultilevel"/>
    <w:tmpl w:val="5178D4C4"/>
    <w:lvl w:ilvl="0" w:tplc="EBC479C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04207D"/>
    <w:multiLevelType w:val="hybridMultilevel"/>
    <w:tmpl w:val="301AD516"/>
    <w:lvl w:ilvl="0" w:tplc="4AB8E30E">
      <w:start w:val="1"/>
      <w:numFmt w:val="ordinal"/>
      <w:lvlText w:val="11.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5D80948"/>
    <w:multiLevelType w:val="hybridMultilevel"/>
    <w:tmpl w:val="D84C8088"/>
    <w:lvl w:ilvl="0" w:tplc="525603A2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85E5779"/>
    <w:multiLevelType w:val="hybridMultilevel"/>
    <w:tmpl w:val="F1DE9146"/>
    <w:lvl w:ilvl="0" w:tplc="47BE9C22">
      <w:start w:val="1"/>
      <w:numFmt w:val="ordinal"/>
      <w:lvlText w:val="11.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C2301FB"/>
    <w:multiLevelType w:val="hybridMultilevel"/>
    <w:tmpl w:val="36EC84DE"/>
    <w:lvl w:ilvl="0" w:tplc="2B722678">
      <w:start w:val="1"/>
      <w:numFmt w:val="ordin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CF746E9"/>
    <w:multiLevelType w:val="hybridMultilevel"/>
    <w:tmpl w:val="1CB6CB2E"/>
    <w:lvl w:ilvl="0" w:tplc="FFFFFFFF">
      <w:start w:val="1"/>
      <w:numFmt w:val="lowerLetter"/>
      <w:lvlText w:val="%1)"/>
      <w:lvlJc w:val="left"/>
      <w:pPr>
        <w:tabs>
          <w:tab w:val="num" w:pos="658"/>
        </w:tabs>
        <w:ind w:left="204" w:firstLine="94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958"/>
        </w:tabs>
        <w:ind w:left="958" w:hanging="360"/>
      </w:pPr>
      <w:rPr>
        <w:rFonts w:ascii="Times New Roman" w:hAnsi="Times New Roman" w:cs="Times New Roman"/>
      </w:rPr>
    </w:lvl>
    <w:lvl w:ilvl="2" w:tplc="FFFFFFFF">
      <w:start w:val="2"/>
      <w:numFmt w:val="lowerLetter"/>
      <w:lvlText w:val="%3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</w:rPr>
    </w:lvl>
    <w:lvl w:ilvl="3" w:tplc="3EEAE102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/>
        <w:bCs/>
      </w:rPr>
    </w:lvl>
    <w:lvl w:ilvl="4" w:tplc="FFFFFFFF">
      <w:start w:val="1"/>
      <w:numFmt w:val="lowerLetter"/>
      <w:lvlText w:val="%5."/>
      <w:lvlJc w:val="left"/>
      <w:pPr>
        <w:tabs>
          <w:tab w:val="num" w:pos="3118"/>
        </w:tabs>
        <w:ind w:left="3118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838"/>
        </w:tabs>
        <w:ind w:left="3838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558"/>
        </w:tabs>
        <w:ind w:left="4558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278"/>
        </w:tabs>
        <w:ind w:left="5278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998"/>
        </w:tabs>
        <w:ind w:left="5998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AB043E6"/>
    <w:multiLevelType w:val="hybridMultilevel"/>
    <w:tmpl w:val="E056ED34"/>
    <w:lvl w:ilvl="0" w:tplc="889EAA9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C071D42"/>
    <w:multiLevelType w:val="hybridMultilevel"/>
    <w:tmpl w:val="317CD58E"/>
    <w:lvl w:ilvl="0" w:tplc="FFFFFFFF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22C07346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/>
        <w:bCs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1D3731A"/>
    <w:multiLevelType w:val="hybridMultilevel"/>
    <w:tmpl w:val="D44CE022"/>
    <w:lvl w:ilvl="0" w:tplc="6BA63936">
      <w:start w:val="1"/>
      <w:numFmt w:val="ordinal"/>
      <w:lvlText w:val="14.%1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2987B36"/>
    <w:multiLevelType w:val="hybridMultilevel"/>
    <w:tmpl w:val="40E01EDE"/>
    <w:lvl w:ilvl="0" w:tplc="2B722678">
      <w:start w:val="1"/>
      <w:numFmt w:val="ordin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6835E50"/>
    <w:multiLevelType w:val="hybridMultilevel"/>
    <w:tmpl w:val="83446636"/>
    <w:lvl w:ilvl="0" w:tplc="B462ACCE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54A34848"/>
    <w:multiLevelType w:val="hybridMultilevel"/>
    <w:tmpl w:val="2DC09B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5AD724B2"/>
    <w:multiLevelType w:val="hybridMultilevel"/>
    <w:tmpl w:val="AB68290A"/>
    <w:lvl w:ilvl="0" w:tplc="BDD424F8">
      <w:start w:val="1"/>
      <w:numFmt w:val="ordinal"/>
      <w:lvlText w:val="3.%1"/>
      <w:lvlJc w:val="left"/>
      <w:pPr>
        <w:ind w:left="961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681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401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121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841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561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281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001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721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CD81399"/>
    <w:multiLevelType w:val="hybridMultilevel"/>
    <w:tmpl w:val="ADE4AF0E"/>
    <w:lvl w:ilvl="0" w:tplc="FFFFFFFF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bCs w:val="0"/>
      </w:rPr>
    </w:lvl>
    <w:lvl w:ilvl="1" w:tplc="44827A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E1A3786"/>
    <w:multiLevelType w:val="hybridMultilevel"/>
    <w:tmpl w:val="B9A0C27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754B7E87"/>
    <w:multiLevelType w:val="hybridMultilevel"/>
    <w:tmpl w:val="B37411A4"/>
    <w:lvl w:ilvl="0" w:tplc="699AC226">
      <w:start w:val="1"/>
      <w:numFmt w:val="ordinal"/>
      <w:lvlText w:val="11.%1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776C4234"/>
    <w:multiLevelType w:val="hybridMultilevel"/>
    <w:tmpl w:val="9AA2B968"/>
    <w:lvl w:ilvl="0" w:tplc="5B80A0C8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B2D37EB"/>
    <w:multiLevelType w:val="hybridMultilevel"/>
    <w:tmpl w:val="3AA2B354"/>
    <w:lvl w:ilvl="0" w:tplc="4B28CEE2">
      <w:start w:val="1"/>
      <w:numFmt w:val="ordin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0"/>
  </w:num>
  <w:num w:numId="2">
    <w:abstractNumId w:val="13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3"/>
  </w:num>
  <w:num w:numId="9">
    <w:abstractNumId w:val="17"/>
  </w:num>
  <w:num w:numId="10">
    <w:abstractNumId w:val="18"/>
  </w:num>
  <w:num w:numId="11">
    <w:abstractNumId w:val="22"/>
  </w:num>
  <w:num w:numId="12">
    <w:abstractNumId w:val="10"/>
  </w:num>
  <w:num w:numId="13">
    <w:abstractNumId w:val="15"/>
  </w:num>
  <w:num w:numId="14">
    <w:abstractNumId w:val="11"/>
  </w:num>
  <w:num w:numId="15">
    <w:abstractNumId w:val="21"/>
  </w:num>
  <w:num w:numId="16">
    <w:abstractNumId w:val="12"/>
  </w:num>
  <w:num w:numId="17">
    <w:abstractNumId w:val="0"/>
  </w:num>
  <w:num w:numId="18">
    <w:abstractNumId w:val="5"/>
  </w:num>
  <w:num w:numId="19">
    <w:abstractNumId w:val="16"/>
  </w:num>
  <w:num w:numId="20">
    <w:abstractNumId w:val="14"/>
  </w:num>
  <w:num w:numId="21">
    <w:abstractNumId w:val="19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2C"/>
    <w:rsid w:val="000466FB"/>
    <w:rsid w:val="0005510A"/>
    <w:rsid w:val="00076C82"/>
    <w:rsid w:val="00077503"/>
    <w:rsid w:val="000C3CBC"/>
    <w:rsid w:val="000E6934"/>
    <w:rsid w:val="000F778B"/>
    <w:rsid w:val="001455C9"/>
    <w:rsid w:val="00197DDD"/>
    <w:rsid w:val="00203B93"/>
    <w:rsid w:val="00250809"/>
    <w:rsid w:val="002A17DA"/>
    <w:rsid w:val="002A29D4"/>
    <w:rsid w:val="00335CF1"/>
    <w:rsid w:val="003B07AC"/>
    <w:rsid w:val="003F5481"/>
    <w:rsid w:val="00404DE2"/>
    <w:rsid w:val="00417C01"/>
    <w:rsid w:val="00424D0A"/>
    <w:rsid w:val="00443B85"/>
    <w:rsid w:val="004B35C3"/>
    <w:rsid w:val="00516790"/>
    <w:rsid w:val="0053083B"/>
    <w:rsid w:val="00553F64"/>
    <w:rsid w:val="0057562A"/>
    <w:rsid w:val="005D2DE2"/>
    <w:rsid w:val="005E371B"/>
    <w:rsid w:val="005F49B1"/>
    <w:rsid w:val="00650514"/>
    <w:rsid w:val="00653814"/>
    <w:rsid w:val="006C6717"/>
    <w:rsid w:val="00706BBA"/>
    <w:rsid w:val="007771D7"/>
    <w:rsid w:val="0078552C"/>
    <w:rsid w:val="00805621"/>
    <w:rsid w:val="008166E5"/>
    <w:rsid w:val="00824DDE"/>
    <w:rsid w:val="0083204F"/>
    <w:rsid w:val="00833967"/>
    <w:rsid w:val="00886883"/>
    <w:rsid w:val="008C269C"/>
    <w:rsid w:val="008C440C"/>
    <w:rsid w:val="008D008F"/>
    <w:rsid w:val="008D48BE"/>
    <w:rsid w:val="008E5668"/>
    <w:rsid w:val="00954E11"/>
    <w:rsid w:val="00972A7F"/>
    <w:rsid w:val="00974995"/>
    <w:rsid w:val="009A4541"/>
    <w:rsid w:val="009C06BA"/>
    <w:rsid w:val="009D5933"/>
    <w:rsid w:val="009E7B65"/>
    <w:rsid w:val="00A1528F"/>
    <w:rsid w:val="00AC2907"/>
    <w:rsid w:val="00B16DB8"/>
    <w:rsid w:val="00B77684"/>
    <w:rsid w:val="00BC7771"/>
    <w:rsid w:val="00BD3A29"/>
    <w:rsid w:val="00BE6239"/>
    <w:rsid w:val="00C27710"/>
    <w:rsid w:val="00C35A3E"/>
    <w:rsid w:val="00C4527B"/>
    <w:rsid w:val="00CC6BEA"/>
    <w:rsid w:val="00CE40FF"/>
    <w:rsid w:val="00D0614B"/>
    <w:rsid w:val="00D4256E"/>
    <w:rsid w:val="00D431DD"/>
    <w:rsid w:val="00D5461C"/>
    <w:rsid w:val="00D90F2B"/>
    <w:rsid w:val="00DD396A"/>
    <w:rsid w:val="00E1386C"/>
    <w:rsid w:val="00E43F3D"/>
    <w:rsid w:val="00E5265E"/>
    <w:rsid w:val="00E87174"/>
    <w:rsid w:val="00EA52A9"/>
    <w:rsid w:val="00EB0587"/>
    <w:rsid w:val="00ED656A"/>
    <w:rsid w:val="00EF6C8A"/>
    <w:rsid w:val="00F0096B"/>
    <w:rsid w:val="00F03C53"/>
    <w:rsid w:val="00F27C22"/>
    <w:rsid w:val="00F305FB"/>
    <w:rsid w:val="00FD12CF"/>
    <w:rsid w:val="00FE1D39"/>
    <w:rsid w:val="00FE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B728B"/>
  <w15:docId w15:val="{ECBE2258-5ECD-451E-8A6B-F4BFD70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2A9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EA52A9"/>
    <w:pPr>
      <w:keepNext/>
      <w:spacing w:before="360" w:after="180"/>
      <w:ind w:left="601" w:right="-34" w:hanging="601"/>
      <w:jc w:val="center"/>
      <w:outlineLvl w:val="1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EA52A9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Calibri" w:hAnsi="Calibri"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EA52A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EA52A9"/>
    <w:rPr>
      <w:rFonts w:ascii="Calibri" w:hAnsi="Calibri" w:cs="Calibri"/>
      <w:lang w:eastAsia="cs-CZ"/>
    </w:rPr>
  </w:style>
  <w:style w:type="paragraph" w:styleId="Zhlav">
    <w:name w:val="header"/>
    <w:basedOn w:val="Normln"/>
    <w:link w:val="ZhlavChar"/>
    <w:uiPriority w:val="99"/>
    <w:rsid w:val="00EA52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2A9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EA52A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b/>
      <w:bCs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A52A9"/>
    <w:rPr>
      <w:rFonts w:ascii="Times New Roman" w:hAnsi="Times New Roman" w:cs="Times New Roman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EA52A9"/>
    <w:pPr>
      <w:overflowPunct w:val="0"/>
      <w:autoSpaceDE w:val="0"/>
      <w:autoSpaceDN w:val="0"/>
      <w:adjustRightInd w:val="0"/>
      <w:ind w:left="720"/>
      <w:textAlignment w:val="baseline"/>
    </w:pPr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EA52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2A9"/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EA52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EA52A9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EA52A9"/>
    <w:pPr>
      <w:spacing w:after="120"/>
    </w:pPr>
    <w:rPr>
      <w:rFonts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A52A9"/>
    <w:rPr>
      <w:rFonts w:ascii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rsid w:val="00EA52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A52A9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2A9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A52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EA52A9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rsid w:val="00EA52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A52A9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5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1718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ATC</Company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Zídková Eva, Ing.</dc:creator>
  <cp:lastModifiedBy>asus</cp:lastModifiedBy>
  <cp:revision>2</cp:revision>
  <dcterms:created xsi:type="dcterms:W3CDTF">2022-01-11T10:09:00Z</dcterms:created>
  <dcterms:modified xsi:type="dcterms:W3CDTF">2022-01-11T10:09:00Z</dcterms:modified>
</cp:coreProperties>
</file>