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9DC1A" w14:textId="77777777" w:rsidR="004F6A3B" w:rsidRPr="004F6A3B" w:rsidRDefault="004F6A3B" w:rsidP="004F6A3B">
      <w:pPr>
        <w:keepNext/>
        <w:keepLines/>
        <w:jc w:val="center"/>
        <w:rPr>
          <w:b/>
          <w:bCs/>
          <w:caps/>
          <w:sz w:val="28"/>
          <w:szCs w:val="28"/>
        </w:rPr>
      </w:pPr>
      <w:r w:rsidRPr="004F6A3B">
        <w:rPr>
          <w:b/>
          <w:bCs/>
          <w:caps/>
          <w:sz w:val="28"/>
          <w:szCs w:val="28"/>
        </w:rPr>
        <w:t>Smlouva o zřízení věcných břemen - služebnosti a reálného břemene</w:t>
      </w:r>
    </w:p>
    <w:p w14:paraId="3D64E38F" w14:textId="77777777" w:rsidR="004F6A3B" w:rsidRPr="004F6A3B" w:rsidRDefault="004F6A3B" w:rsidP="004F6A3B">
      <w:pPr>
        <w:pStyle w:val="BodyText21"/>
        <w:keepNext/>
        <w:keepLines/>
        <w:widowControl/>
        <w:jc w:val="both"/>
        <w:rPr>
          <w:b w:val="0"/>
          <w:bCs w:val="0"/>
        </w:rPr>
      </w:pPr>
    </w:p>
    <w:p w14:paraId="76ED9507" w14:textId="16C92388" w:rsidR="004F6A3B" w:rsidRPr="004F6A3B" w:rsidRDefault="004F6A3B" w:rsidP="004F6A3B">
      <w:pPr>
        <w:pStyle w:val="BodyText21"/>
        <w:keepNext/>
        <w:keepLines/>
        <w:widowControl/>
        <w:jc w:val="both"/>
        <w:rPr>
          <w:b w:val="0"/>
          <w:bCs w:val="0"/>
        </w:rPr>
      </w:pPr>
      <w:r w:rsidRPr="004F6A3B">
        <w:rPr>
          <w:b w:val="0"/>
          <w:bCs w:val="0"/>
        </w:rPr>
        <w:t>uzavřená podle ust. § 1257 a násl. zákona č. 89/2012 Sb., občanský zákoník, v platném znění</w:t>
      </w:r>
    </w:p>
    <w:p w14:paraId="137B279B" w14:textId="77777777" w:rsidR="004F6A3B" w:rsidRPr="004F6A3B" w:rsidRDefault="004F6A3B" w:rsidP="004F6A3B">
      <w:pPr>
        <w:keepNext/>
        <w:keepLines/>
        <w:jc w:val="center"/>
        <w:rPr>
          <w:szCs w:val="22"/>
        </w:rPr>
      </w:pPr>
      <w:r w:rsidRPr="004F6A3B">
        <w:rPr>
          <w:szCs w:val="22"/>
        </w:rPr>
        <w:t xml:space="preserve">(dále jen </w:t>
      </w:r>
      <w:r w:rsidRPr="004F6A3B">
        <w:rPr>
          <w:b/>
          <w:bCs/>
          <w:szCs w:val="22"/>
        </w:rPr>
        <w:t>„Smlouva“</w:t>
      </w:r>
      <w:r w:rsidRPr="004F6A3B">
        <w:rPr>
          <w:szCs w:val="22"/>
        </w:rPr>
        <w:t>)</w:t>
      </w:r>
    </w:p>
    <w:p w14:paraId="76AB14BC" w14:textId="77777777" w:rsidR="004F6A3B" w:rsidRPr="004F6A3B" w:rsidRDefault="004F6A3B" w:rsidP="004F6A3B">
      <w:pPr>
        <w:keepNext/>
        <w:keepLines/>
        <w:jc w:val="center"/>
        <w:rPr>
          <w:szCs w:val="22"/>
        </w:rPr>
      </w:pPr>
    </w:p>
    <w:p w14:paraId="1C476FAD" w14:textId="77777777" w:rsidR="004F6A3B" w:rsidRPr="004F6A3B" w:rsidRDefault="004F6A3B" w:rsidP="004F6A3B">
      <w:pPr>
        <w:keepNext/>
        <w:keepLines/>
        <w:jc w:val="center"/>
        <w:rPr>
          <w:szCs w:val="22"/>
        </w:rPr>
      </w:pPr>
      <w:r w:rsidRPr="004F6A3B">
        <w:rPr>
          <w:szCs w:val="22"/>
        </w:rPr>
        <w:t>mezi následujícími smluvními stranami:</w:t>
      </w:r>
    </w:p>
    <w:p w14:paraId="7B941197" w14:textId="77777777" w:rsidR="004F6A3B" w:rsidRPr="004F6A3B" w:rsidRDefault="004F6A3B" w:rsidP="004F6A3B">
      <w:pPr>
        <w:keepNext/>
        <w:keepLines/>
        <w:jc w:val="center"/>
        <w:rPr>
          <w:szCs w:val="22"/>
        </w:rPr>
      </w:pPr>
    </w:p>
    <w:p w14:paraId="7A73D493" w14:textId="77777777" w:rsidR="004F6A3B" w:rsidRPr="004F6A3B" w:rsidRDefault="004F6A3B" w:rsidP="004F6A3B">
      <w:pPr>
        <w:spacing w:line="276" w:lineRule="auto"/>
        <w:rPr>
          <w:b/>
          <w:szCs w:val="22"/>
        </w:rPr>
      </w:pPr>
      <w:r w:rsidRPr="004F6A3B">
        <w:rPr>
          <w:b/>
          <w:szCs w:val="22"/>
        </w:rPr>
        <w:t>1. Fourth Quadrant s.r.o.</w:t>
      </w:r>
    </w:p>
    <w:p w14:paraId="48AEFC05" w14:textId="77777777" w:rsidR="004F6A3B" w:rsidRPr="004F6A3B" w:rsidRDefault="004F6A3B" w:rsidP="004F6A3B">
      <w:pPr>
        <w:spacing w:line="276" w:lineRule="auto"/>
        <w:rPr>
          <w:szCs w:val="22"/>
        </w:rPr>
      </w:pPr>
      <w:r w:rsidRPr="004F6A3B">
        <w:rPr>
          <w:szCs w:val="22"/>
        </w:rPr>
        <w:t>sídlo:</w:t>
      </w:r>
      <w:r w:rsidRPr="004F6A3B">
        <w:rPr>
          <w:szCs w:val="22"/>
        </w:rPr>
        <w:tab/>
        <w:t>Na Florenci 2116/15, Nové Město, 110 00 Praha 1</w:t>
      </w:r>
    </w:p>
    <w:p w14:paraId="7C0725F4" w14:textId="77777777" w:rsidR="004F6A3B" w:rsidRPr="004F6A3B" w:rsidRDefault="004F6A3B" w:rsidP="004F6A3B">
      <w:pPr>
        <w:spacing w:line="276" w:lineRule="auto"/>
        <w:rPr>
          <w:szCs w:val="22"/>
        </w:rPr>
      </w:pPr>
      <w:r w:rsidRPr="004F6A3B">
        <w:rPr>
          <w:szCs w:val="22"/>
        </w:rPr>
        <w:t>IČO:</w:t>
      </w:r>
      <w:r w:rsidRPr="004F6A3B">
        <w:rPr>
          <w:szCs w:val="22"/>
        </w:rPr>
        <w:tab/>
        <w:t>069 31 987</w:t>
      </w:r>
    </w:p>
    <w:p w14:paraId="3947EF30" w14:textId="77777777" w:rsidR="004F6A3B" w:rsidRPr="004F6A3B" w:rsidRDefault="004F6A3B" w:rsidP="004F6A3B">
      <w:pPr>
        <w:spacing w:line="276" w:lineRule="auto"/>
        <w:rPr>
          <w:szCs w:val="22"/>
        </w:rPr>
      </w:pPr>
      <w:r w:rsidRPr="004F6A3B">
        <w:rPr>
          <w:szCs w:val="22"/>
        </w:rPr>
        <w:t>zapsaná v obchodním rejstříku vedeném Městským soudem v Praze, sp. zn. C 291573</w:t>
      </w:r>
    </w:p>
    <w:p w14:paraId="6DF95CE0" w14:textId="105481A1" w:rsidR="004F6A3B" w:rsidRDefault="004F6A3B" w:rsidP="004F6A3B">
      <w:pPr>
        <w:spacing w:line="276" w:lineRule="auto"/>
        <w:jc w:val="left"/>
        <w:rPr>
          <w:bCs/>
        </w:rPr>
      </w:pPr>
      <w:r w:rsidRPr="004F6A3B">
        <w:rPr>
          <w:bCs/>
        </w:rPr>
        <w:t>zastoup</w:t>
      </w:r>
      <w:r w:rsidR="005A00FD">
        <w:rPr>
          <w:bCs/>
        </w:rPr>
        <w:t>ená jednatelem xxxxxxxxxxxxx</w:t>
      </w:r>
      <w:r w:rsidRPr="004F6A3B">
        <w:rPr>
          <w:bCs/>
        </w:rPr>
        <w:t xml:space="preserve"> a</w:t>
      </w:r>
      <w:r w:rsidR="005A00FD">
        <w:rPr>
          <w:bCs/>
        </w:rPr>
        <w:t xml:space="preserve"> jednatelem xxxxxxxxxxxxx</w:t>
      </w:r>
    </w:p>
    <w:p w14:paraId="4E6B386F" w14:textId="67F64671" w:rsidR="004F6A3B" w:rsidRPr="004F6A3B" w:rsidRDefault="004F6A3B" w:rsidP="004F6A3B">
      <w:pPr>
        <w:spacing w:line="276" w:lineRule="auto"/>
        <w:jc w:val="left"/>
        <w:rPr>
          <w:szCs w:val="22"/>
        </w:rPr>
      </w:pPr>
      <w:r w:rsidRPr="004F6A3B">
        <w:rPr>
          <w:szCs w:val="22"/>
        </w:rPr>
        <w:t>(dále jen “</w:t>
      </w:r>
      <w:r w:rsidRPr="004F6A3B">
        <w:rPr>
          <w:b/>
          <w:bCs/>
          <w:szCs w:val="22"/>
        </w:rPr>
        <w:t>Oprávněný</w:t>
      </w:r>
      <w:r w:rsidRPr="004F6A3B">
        <w:rPr>
          <w:szCs w:val="22"/>
        </w:rPr>
        <w:t>”)</w:t>
      </w:r>
    </w:p>
    <w:p w14:paraId="0260D61E" w14:textId="77777777" w:rsidR="004F6A3B" w:rsidRPr="004F6A3B" w:rsidRDefault="004F6A3B" w:rsidP="004F6A3B">
      <w:pPr>
        <w:pStyle w:val="Text11"/>
        <w:keepNext w:val="0"/>
        <w:widowControl w:val="0"/>
        <w:spacing w:before="0" w:after="0"/>
        <w:rPr>
          <w:szCs w:val="22"/>
        </w:rPr>
      </w:pPr>
    </w:p>
    <w:p w14:paraId="5802DD91" w14:textId="77777777" w:rsidR="004F6A3B" w:rsidRPr="004F6A3B" w:rsidRDefault="004F6A3B" w:rsidP="004F6A3B">
      <w:pPr>
        <w:pStyle w:val="Text11"/>
        <w:keepNext w:val="0"/>
        <w:widowControl w:val="0"/>
        <w:spacing w:before="0" w:after="0"/>
        <w:rPr>
          <w:szCs w:val="22"/>
        </w:rPr>
      </w:pPr>
      <w:r w:rsidRPr="004F6A3B">
        <w:rPr>
          <w:szCs w:val="22"/>
        </w:rPr>
        <w:t>a</w:t>
      </w:r>
    </w:p>
    <w:p w14:paraId="00FAE504" w14:textId="77777777" w:rsidR="004F6A3B" w:rsidRPr="004F6A3B" w:rsidRDefault="004F6A3B" w:rsidP="004F6A3B">
      <w:pPr>
        <w:pStyle w:val="Text11"/>
        <w:keepNext w:val="0"/>
        <w:widowControl w:val="0"/>
        <w:spacing w:before="0" w:after="0"/>
        <w:rPr>
          <w:szCs w:val="22"/>
        </w:rPr>
      </w:pPr>
    </w:p>
    <w:p w14:paraId="34306CB2" w14:textId="77777777" w:rsidR="004F6A3B" w:rsidRPr="004F6A3B" w:rsidRDefault="004F6A3B" w:rsidP="004F6A3B">
      <w:pPr>
        <w:spacing w:line="276" w:lineRule="auto"/>
        <w:rPr>
          <w:b/>
          <w:szCs w:val="22"/>
        </w:rPr>
      </w:pPr>
      <w:r w:rsidRPr="004F6A3B">
        <w:rPr>
          <w:b/>
          <w:szCs w:val="22"/>
        </w:rPr>
        <w:t>2. Vysoká škola chemicko-technologická v Praze</w:t>
      </w:r>
    </w:p>
    <w:p w14:paraId="40C6C2E1" w14:textId="77777777" w:rsidR="004F6A3B" w:rsidRPr="004F6A3B" w:rsidRDefault="004F6A3B" w:rsidP="004F6A3B">
      <w:pPr>
        <w:spacing w:line="276" w:lineRule="auto"/>
        <w:rPr>
          <w:szCs w:val="22"/>
        </w:rPr>
      </w:pPr>
      <w:r w:rsidRPr="004F6A3B">
        <w:rPr>
          <w:szCs w:val="22"/>
        </w:rPr>
        <w:t>sídlo:</w:t>
      </w:r>
      <w:r w:rsidRPr="004F6A3B">
        <w:rPr>
          <w:szCs w:val="22"/>
        </w:rPr>
        <w:tab/>
        <w:t>Technická 1905/5, 166 28 Praha 6</w:t>
      </w:r>
    </w:p>
    <w:p w14:paraId="242F0B64" w14:textId="77777777" w:rsidR="004F6A3B" w:rsidRPr="004F6A3B" w:rsidRDefault="004F6A3B" w:rsidP="004F6A3B">
      <w:pPr>
        <w:spacing w:line="276" w:lineRule="auto"/>
        <w:rPr>
          <w:szCs w:val="22"/>
        </w:rPr>
      </w:pPr>
      <w:r w:rsidRPr="004F6A3B">
        <w:rPr>
          <w:szCs w:val="22"/>
        </w:rPr>
        <w:t>IČO:</w:t>
      </w:r>
      <w:r w:rsidRPr="004F6A3B">
        <w:rPr>
          <w:szCs w:val="22"/>
        </w:rPr>
        <w:tab/>
        <w:t>604 61 373</w:t>
      </w:r>
    </w:p>
    <w:p w14:paraId="6E0E4F48" w14:textId="2ACCE4D0" w:rsidR="004F6A3B" w:rsidRPr="004F6A3B" w:rsidRDefault="004F6A3B" w:rsidP="004F6A3B">
      <w:pPr>
        <w:spacing w:line="276" w:lineRule="auto"/>
        <w:rPr>
          <w:szCs w:val="22"/>
        </w:rPr>
      </w:pPr>
      <w:r w:rsidRPr="001F1025">
        <w:rPr>
          <w:bCs/>
        </w:rPr>
        <w:t xml:space="preserve">zastoupená </w:t>
      </w:r>
      <w:r w:rsidR="005A00FD">
        <w:t>xxxxxxxxxxx</w:t>
      </w:r>
      <w:r>
        <w:t>, rektorem</w:t>
      </w:r>
    </w:p>
    <w:p w14:paraId="360481EE" w14:textId="77777777" w:rsidR="004F6A3B" w:rsidRPr="004F6A3B" w:rsidRDefault="004F6A3B" w:rsidP="004F6A3B">
      <w:pPr>
        <w:spacing w:line="276" w:lineRule="auto"/>
        <w:rPr>
          <w:szCs w:val="22"/>
        </w:rPr>
      </w:pPr>
      <w:r w:rsidRPr="004F6A3B">
        <w:rPr>
          <w:szCs w:val="22"/>
        </w:rPr>
        <w:t>(dále jen “</w:t>
      </w:r>
      <w:r w:rsidRPr="004F6A3B">
        <w:rPr>
          <w:b/>
          <w:szCs w:val="22"/>
        </w:rPr>
        <w:t>Povinný</w:t>
      </w:r>
      <w:r w:rsidRPr="004F6A3B">
        <w:rPr>
          <w:szCs w:val="22"/>
        </w:rPr>
        <w:t>”)</w:t>
      </w:r>
    </w:p>
    <w:p w14:paraId="65F95C34" w14:textId="77777777" w:rsidR="004F6A3B" w:rsidRPr="004F6A3B" w:rsidRDefault="004F6A3B" w:rsidP="004F6A3B">
      <w:pPr>
        <w:pStyle w:val="Text11"/>
        <w:keepNext w:val="0"/>
        <w:widowControl w:val="0"/>
        <w:spacing w:before="0" w:after="0"/>
        <w:ind w:left="0"/>
        <w:rPr>
          <w:szCs w:val="22"/>
        </w:rPr>
      </w:pPr>
    </w:p>
    <w:p w14:paraId="2A532171" w14:textId="77777777" w:rsidR="004F6A3B" w:rsidRPr="004F6A3B" w:rsidRDefault="004F6A3B" w:rsidP="004F6A3B">
      <w:pPr>
        <w:rPr>
          <w:szCs w:val="22"/>
        </w:rPr>
      </w:pPr>
      <w:r w:rsidRPr="004F6A3B">
        <w:rPr>
          <w:szCs w:val="22"/>
        </w:rPr>
        <w:t xml:space="preserve">Povinný a Oprávněný budou pro účely této Smlouvy také společně označováni jako </w:t>
      </w:r>
      <w:r w:rsidRPr="004F6A3B">
        <w:rPr>
          <w:b/>
          <w:bCs/>
          <w:szCs w:val="22"/>
        </w:rPr>
        <w:t xml:space="preserve">„Strany“ </w:t>
      </w:r>
      <w:r w:rsidRPr="004F6A3B">
        <w:rPr>
          <w:szCs w:val="22"/>
        </w:rPr>
        <w:t>nebo každý jednotlivě „</w:t>
      </w:r>
      <w:r w:rsidRPr="004F6A3B">
        <w:rPr>
          <w:b/>
          <w:bCs/>
          <w:szCs w:val="22"/>
        </w:rPr>
        <w:t>Strana</w:t>
      </w:r>
      <w:r w:rsidRPr="004F6A3B">
        <w:rPr>
          <w:szCs w:val="22"/>
        </w:rPr>
        <w:t>“.</w:t>
      </w:r>
    </w:p>
    <w:p w14:paraId="5236AAC4" w14:textId="77777777" w:rsidR="004F6A3B" w:rsidRPr="004F6A3B" w:rsidRDefault="004F6A3B" w:rsidP="004F6A3B">
      <w:pPr>
        <w:rPr>
          <w:szCs w:val="22"/>
        </w:rPr>
      </w:pPr>
    </w:p>
    <w:p w14:paraId="1641FC52" w14:textId="77777777" w:rsidR="004F6A3B" w:rsidRPr="004F6A3B" w:rsidRDefault="004F6A3B" w:rsidP="004F6A3B">
      <w:pPr>
        <w:pStyle w:val="Nadpis1"/>
        <w:keepLines/>
        <w:numPr>
          <w:ilvl w:val="0"/>
          <w:numId w:val="0"/>
        </w:numPr>
        <w:jc w:val="center"/>
        <w:rPr>
          <w:b w:val="0"/>
          <w:bCs/>
        </w:rPr>
      </w:pPr>
      <w:r w:rsidRPr="004F6A3B">
        <w:rPr>
          <w:bCs/>
        </w:rPr>
        <w:t>Článek I.</w:t>
      </w:r>
    </w:p>
    <w:p w14:paraId="7C798477" w14:textId="77777777" w:rsidR="004F6A3B" w:rsidRPr="004F6A3B" w:rsidRDefault="004F6A3B" w:rsidP="004F6A3B">
      <w:pPr>
        <w:jc w:val="center"/>
        <w:rPr>
          <w:b/>
          <w:bCs/>
          <w:szCs w:val="22"/>
        </w:rPr>
      </w:pPr>
      <w:r w:rsidRPr="004F6A3B">
        <w:rPr>
          <w:b/>
          <w:bCs/>
          <w:szCs w:val="22"/>
        </w:rPr>
        <w:t>Úvodní ustanovení</w:t>
      </w:r>
    </w:p>
    <w:p w14:paraId="5CDBCFA7" w14:textId="77777777" w:rsidR="004F6A3B" w:rsidRPr="004F6A3B" w:rsidRDefault="004F6A3B" w:rsidP="004F6A3B">
      <w:pPr>
        <w:jc w:val="center"/>
        <w:rPr>
          <w:b/>
          <w:bCs/>
          <w:szCs w:val="22"/>
        </w:rPr>
      </w:pPr>
    </w:p>
    <w:p w14:paraId="77BA0E69" w14:textId="42E585B4" w:rsidR="004F6A3B" w:rsidRPr="004F6A3B" w:rsidRDefault="004F6A3B" w:rsidP="004F6A3B">
      <w:pPr>
        <w:pStyle w:val="Odstavecseseznamem"/>
        <w:widowControl w:val="0"/>
        <w:numPr>
          <w:ilvl w:val="0"/>
          <w:numId w:val="6"/>
        </w:numPr>
        <w:tabs>
          <w:tab w:val="left" w:pos="284"/>
        </w:tabs>
        <w:spacing w:before="0"/>
        <w:ind w:left="284" w:hanging="284"/>
        <w:contextualSpacing w:val="0"/>
        <w:rPr>
          <w:szCs w:val="22"/>
        </w:rPr>
      </w:pPr>
      <w:r w:rsidRPr="004F6A3B">
        <w:rPr>
          <w:szCs w:val="22"/>
        </w:rPr>
        <w:t xml:space="preserve">Oprávněný a Povinný prohlašují, že </w:t>
      </w:r>
      <w:r w:rsidR="00A87183">
        <w:rPr>
          <w:szCs w:val="22"/>
        </w:rPr>
        <w:t xml:space="preserve">dne </w:t>
      </w:r>
      <w:r w:rsidR="0088099A">
        <w:rPr>
          <w:szCs w:val="22"/>
        </w:rPr>
        <w:t>27. 8. 2021</w:t>
      </w:r>
      <w:r w:rsidRPr="004F6A3B">
        <w:rPr>
          <w:szCs w:val="22"/>
        </w:rPr>
        <w:t xml:space="preserve"> uzavřeli kupní smlouvu (dále jen „</w:t>
      </w:r>
      <w:r w:rsidRPr="004F6A3B">
        <w:rPr>
          <w:b/>
          <w:szCs w:val="22"/>
        </w:rPr>
        <w:t>Kupní smlouva</w:t>
      </w:r>
      <w:r w:rsidRPr="004F6A3B">
        <w:rPr>
          <w:szCs w:val="22"/>
        </w:rPr>
        <w:t>“), na základě které Oprávněný koupil od Povinného následující pozemky za účelem realizace výstavby obchodního a administrativního centra specifikovaného v Kupní smlouvě (dále jen „</w:t>
      </w:r>
      <w:r w:rsidRPr="004F6A3B">
        <w:rPr>
          <w:b/>
          <w:szCs w:val="22"/>
        </w:rPr>
        <w:t>Centrum</w:t>
      </w:r>
      <w:r w:rsidRPr="004F6A3B">
        <w:rPr>
          <w:szCs w:val="22"/>
        </w:rPr>
        <w:t>“):</w:t>
      </w:r>
    </w:p>
    <w:p w14:paraId="37C7BCB2" w14:textId="77777777" w:rsidR="004F6A3B" w:rsidRPr="004F6A3B" w:rsidRDefault="004F6A3B" w:rsidP="004F6A3B">
      <w:pPr>
        <w:pStyle w:val="Clanek11"/>
        <w:numPr>
          <w:ilvl w:val="0"/>
          <w:numId w:val="5"/>
        </w:numPr>
        <w:tabs>
          <w:tab w:val="left" w:pos="851"/>
        </w:tabs>
        <w:spacing w:before="0" w:after="0"/>
        <w:ind w:left="851" w:hanging="284"/>
        <w:rPr>
          <w:rFonts w:cs="Times New Roman"/>
          <w:iCs w:val="0"/>
          <w:szCs w:val="22"/>
        </w:rPr>
      </w:pPr>
      <w:r w:rsidRPr="004F6A3B">
        <w:rPr>
          <w:rFonts w:cs="Times New Roman"/>
          <w:iCs w:val="0"/>
          <w:szCs w:val="22"/>
        </w:rPr>
        <w:t xml:space="preserve">pozemek parc. č. 587/5, ostatní plocha, o výměře </w:t>
      </w:r>
      <w:r w:rsidRPr="004F6A3B">
        <w:rPr>
          <w:rFonts w:cs="Times New Roman"/>
          <w:bCs w:val="0"/>
          <w:iCs w:val="0"/>
          <w:szCs w:val="22"/>
        </w:rPr>
        <w:t>8 133</w:t>
      </w:r>
      <w:r w:rsidRPr="004F6A3B">
        <w:rPr>
          <w:rFonts w:cs="Times New Roman"/>
          <w:iCs w:val="0"/>
          <w:szCs w:val="22"/>
        </w:rPr>
        <w:t xml:space="preserve"> m</w:t>
      </w:r>
      <w:r w:rsidRPr="004F6A3B">
        <w:rPr>
          <w:rFonts w:cs="Times New Roman"/>
          <w:iCs w:val="0"/>
          <w:szCs w:val="22"/>
          <w:vertAlign w:val="superscript"/>
        </w:rPr>
        <w:t>2</w:t>
      </w:r>
      <w:r w:rsidRPr="004F6A3B">
        <w:rPr>
          <w:rFonts w:cs="Times New Roman"/>
          <w:iCs w:val="0"/>
          <w:szCs w:val="22"/>
        </w:rPr>
        <w:t>,</w:t>
      </w:r>
    </w:p>
    <w:p w14:paraId="049EB788" w14:textId="77777777" w:rsidR="004F6A3B" w:rsidRPr="004F6A3B" w:rsidRDefault="004F6A3B" w:rsidP="004F6A3B">
      <w:pPr>
        <w:pStyle w:val="Clanek11"/>
        <w:numPr>
          <w:ilvl w:val="0"/>
          <w:numId w:val="5"/>
        </w:numPr>
        <w:tabs>
          <w:tab w:val="left" w:pos="851"/>
        </w:tabs>
        <w:spacing w:before="0" w:after="0"/>
        <w:ind w:left="851" w:hanging="284"/>
        <w:rPr>
          <w:rFonts w:cs="Times New Roman"/>
          <w:iCs w:val="0"/>
          <w:szCs w:val="22"/>
        </w:rPr>
      </w:pPr>
      <w:r w:rsidRPr="004F6A3B">
        <w:rPr>
          <w:rFonts w:cs="Times New Roman"/>
          <w:iCs w:val="0"/>
          <w:szCs w:val="22"/>
        </w:rPr>
        <w:t>pozemek parc. č.588/1, o výměře 8.323 m</w:t>
      </w:r>
      <w:r w:rsidRPr="004F6A3B">
        <w:rPr>
          <w:rFonts w:cs="Times New Roman"/>
          <w:iCs w:val="0"/>
          <w:szCs w:val="22"/>
          <w:vertAlign w:val="superscript"/>
        </w:rPr>
        <w:t>2</w:t>
      </w:r>
      <w:r w:rsidRPr="004F6A3B">
        <w:rPr>
          <w:rFonts w:cs="Times New Roman"/>
          <w:iCs w:val="0"/>
          <w:szCs w:val="22"/>
        </w:rPr>
        <w:t>; druh pozemku: ostatní plocha, způsob využití: zeleň;</w:t>
      </w:r>
    </w:p>
    <w:p w14:paraId="57F39F17" w14:textId="77777777" w:rsidR="004F6A3B" w:rsidRPr="004F6A3B" w:rsidRDefault="004F6A3B" w:rsidP="004F6A3B">
      <w:pPr>
        <w:pStyle w:val="Clanek11"/>
        <w:numPr>
          <w:ilvl w:val="0"/>
          <w:numId w:val="5"/>
        </w:numPr>
        <w:tabs>
          <w:tab w:val="left" w:pos="851"/>
        </w:tabs>
        <w:spacing w:before="0"/>
        <w:ind w:left="851" w:hanging="284"/>
        <w:rPr>
          <w:rFonts w:cs="Times New Roman"/>
          <w:iCs w:val="0"/>
          <w:szCs w:val="22"/>
        </w:rPr>
      </w:pPr>
      <w:r w:rsidRPr="004F6A3B">
        <w:rPr>
          <w:rFonts w:cs="Times New Roman"/>
          <w:iCs w:val="0"/>
          <w:szCs w:val="22"/>
        </w:rPr>
        <w:t>pozemek parc. č.588/2, o výměře 3.666 m</w:t>
      </w:r>
      <w:r w:rsidRPr="004F6A3B">
        <w:rPr>
          <w:rFonts w:cs="Times New Roman"/>
          <w:iCs w:val="0"/>
          <w:szCs w:val="22"/>
          <w:vertAlign w:val="superscript"/>
        </w:rPr>
        <w:t>2</w:t>
      </w:r>
      <w:r w:rsidRPr="004F6A3B">
        <w:rPr>
          <w:rFonts w:cs="Times New Roman"/>
          <w:iCs w:val="0"/>
          <w:szCs w:val="22"/>
        </w:rPr>
        <w:t>; druh pozemku: ostatní plocha, způsob využití: ostatní komunikace;</w:t>
      </w:r>
    </w:p>
    <w:p w14:paraId="382B2885" w14:textId="77777777" w:rsidR="004F6A3B" w:rsidRPr="004F6A3B" w:rsidRDefault="004F6A3B" w:rsidP="004F6A3B">
      <w:pPr>
        <w:pStyle w:val="Preambule"/>
        <w:numPr>
          <w:ilvl w:val="0"/>
          <w:numId w:val="0"/>
        </w:numPr>
        <w:spacing w:before="0"/>
        <w:ind w:left="567"/>
        <w:rPr>
          <w:szCs w:val="22"/>
        </w:rPr>
      </w:pPr>
      <w:r w:rsidRPr="004F6A3B">
        <w:rPr>
          <w:szCs w:val="22"/>
        </w:rPr>
        <w:t xml:space="preserve">vše v katastrálním území Dejvice, obec Praha, zapsané v katastru nemovitostí vedeném </w:t>
      </w:r>
      <w:r w:rsidRPr="004F6A3B">
        <w:rPr>
          <w:szCs w:val="22"/>
        </w:rPr>
        <w:lastRenderedPageBreak/>
        <w:t>Katastrálním úřadem pro Hlavní město Prahu, Katastrálním pracovištěm Praha (dále jen „</w:t>
      </w:r>
      <w:r w:rsidRPr="004F6A3B">
        <w:rPr>
          <w:b/>
          <w:szCs w:val="22"/>
        </w:rPr>
        <w:t>Panující pozemky</w:t>
      </w:r>
      <w:r w:rsidRPr="004F6A3B">
        <w:rPr>
          <w:szCs w:val="22"/>
        </w:rPr>
        <w:t>“).</w:t>
      </w:r>
    </w:p>
    <w:p w14:paraId="6ABE571F" w14:textId="77777777" w:rsidR="004F6A3B" w:rsidRPr="004F6A3B" w:rsidRDefault="004F6A3B" w:rsidP="004F6A3B">
      <w:pPr>
        <w:pStyle w:val="Odstavecseseznamem"/>
        <w:widowControl w:val="0"/>
        <w:numPr>
          <w:ilvl w:val="0"/>
          <w:numId w:val="6"/>
        </w:numPr>
        <w:tabs>
          <w:tab w:val="left" w:pos="284"/>
        </w:tabs>
        <w:spacing w:before="0"/>
        <w:ind w:left="284" w:hanging="284"/>
        <w:contextualSpacing w:val="0"/>
        <w:rPr>
          <w:szCs w:val="22"/>
        </w:rPr>
      </w:pPr>
      <w:r w:rsidRPr="004F6A3B">
        <w:rPr>
          <w:szCs w:val="22"/>
        </w:rPr>
        <w:t>Povinný prohlašuje, že na pozemku parc. č. 587/6, ostatní plocha, o výměře 3 000 m</w:t>
      </w:r>
      <w:r w:rsidRPr="004F6A3B">
        <w:rPr>
          <w:szCs w:val="22"/>
          <w:vertAlign w:val="superscript"/>
        </w:rPr>
        <w:t xml:space="preserve">2 </w:t>
      </w:r>
      <w:r w:rsidRPr="004F6A3B">
        <w:rPr>
          <w:szCs w:val="22"/>
        </w:rPr>
        <w:t>v katastrálním území Dejvice, obec Praha („</w:t>
      </w:r>
      <w:r w:rsidRPr="004F6A3B">
        <w:rPr>
          <w:b/>
          <w:szCs w:val="22"/>
        </w:rPr>
        <w:t>Služebný pozemek</w:t>
      </w:r>
      <w:r w:rsidRPr="004F6A3B">
        <w:rPr>
          <w:szCs w:val="22"/>
        </w:rPr>
        <w:t>“) vybuduje budovu pro své vlastní potřeby, resp. pro vysokoškolské účely („</w:t>
      </w:r>
      <w:r w:rsidRPr="004F6A3B">
        <w:rPr>
          <w:b/>
          <w:szCs w:val="22"/>
        </w:rPr>
        <w:t>Budova VŠCHT</w:t>
      </w:r>
      <w:r w:rsidRPr="004F6A3B">
        <w:rPr>
          <w:szCs w:val="22"/>
        </w:rPr>
        <w:t>“).</w:t>
      </w:r>
    </w:p>
    <w:p w14:paraId="2321342E" w14:textId="77777777" w:rsidR="004F6A3B" w:rsidRPr="004F6A3B" w:rsidRDefault="004F6A3B" w:rsidP="004F6A3B">
      <w:pPr>
        <w:pStyle w:val="Odstavecseseznamem"/>
        <w:widowControl w:val="0"/>
        <w:numPr>
          <w:ilvl w:val="0"/>
          <w:numId w:val="6"/>
        </w:numPr>
        <w:tabs>
          <w:tab w:val="left" w:pos="284"/>
        </w:tabs>
        <w:spacing w:before="0"/>
        <w:ind w:left="284" w:hanging="284"/>
        <w:contextualSpacing w:val="0"/>
        <w:rPr>
          <w:szCs w:val="22"/>
        </w:rPr>
      </w:pPr>
      <w:r w:rsidRPr="004F6A3B">
        <w:rPr>
          <w:szCs w:val="22"/>
        </w:rPr>
        <w:t>Platný územní plán hl. m. Prahy stanoví na Panujících pozemcích a Služebném pozemku plovoucí značku ZVS stanovící podmínku umístění zařízení pro vysokoškolské účely na těchto pozemcích (tato podmínka stanovená územním plánem, jakož i jakkoli jinak označená podmínka umístění zařízení pro vysokoškolské účely na Panujících pozemcích a Služebném pozemku stanovená v územně plánovací dokumentaci, která plovoucí značku ZVS závazně nahradí, je dále označována jako „</w:t>
      </w:r>
      <w:r w:rsidRPr="004F6A3B">
        <w:rPr>
          <w:b/>
          <w:szCs w:val="22"/>
        </w:rPr>
        <w:t>Podmínka ÚP</w:t>
      </w:r>
      <w:r w:rsidRPr="004F6A3B">
        <w:rPr>
          <w:szCs w:val="22"/>
        </w:rPr>
        <w:t>“). Povinný prohlašuje, že učiní vše proto, aby umístěním Budovy VŠCHT na Služebném pozemku byla Podmínka ÚP v plném rozsahu splněna.</w:t>
      </w:r>
    </w:p>
    <w:p w14:paraId="4BDB7C1D" w14:textId="77777777" w:rsidR="004F6A3B" w:rsidRPr="004F6A3B" w:rsidRDefault="004F6A3B" w:rsidP="004F6A3B">
      <w:pPr>
        <w:pStyle w:val="Odstavecseseznamem"/>
        <w:widowControl w:val="0"/>
        <w:numPr>
          <w:ilvl w:val="0"/>
          <w:numId w:val="6"/>
        </w:numPr>
        <w:tabs>
          <w:tab w:val="left" w:pos="284"/>
        </w:tabs>
        <w:spacing w:before="0"/>
        <w:ind w:left="284" w:hanging="284"/>
        <w:contextualSpacing w:val="0"/>
        <w:rPr>
          <w:szCs w:val="22"/>
        </w:rPr>
      </w:pPr>
      <w:r w:rsidRPr="004F6A3B">
        <w:rPr>
          <w:szCs w:val="22"/>
        </w:rPr>
        <w:t>Povinný jakožto vlastník Služebného Pozemku na základě této Smlouvy zřizuje ve prospěch Panujících pozemků níže specifikovaná věcná břemena (služebnost a reálné břemeno), jak se zavázal v čl. 8.1 Kupní smlouvy.</w:t>
      </w:r>
    </w:p>
    <w:p w14:paraId="3E352F3D" w14:textId="77777777" w:rsidR="004F6A3B" w:rsidRPr="004F6A3B" w:rsidRDefault="004F6A3B" w:rsidP="004F6A3B">
      <w:pPr>
        <w:pStyle w:val="Zkladntext"/>
        <w:tabs>
          <w:tab w:val="left" w:pos="540"/>
          <w:tab w:val="left" w:pos="5760"/>
        </w:tabs>
        <w:rPr>
          <w:b/>
          <w:bCs/>
          <w:szCs w:val="22"/>
        </w:rPr>
      </w:pPr>
    </w:p>
    <w:p w14:paraId="196214AC" w14:textId="77777777" w:rsidR="004F6A3B" w:rsidRPr="004F6A3B" w:rsidRDefault="004F6A3B" w:rsidP="004F6A3B">
      <w:pPr>
        <w:pStyle w:val="Nadpis1"/>
        <w:keepLines/>
        <w:numPr>
          <w:ilvl w:val="0"/>
          <w:numId w:val="0"/>
        </w:numPr>
        <w:jc w:val="center"/>
        <w:rPr>
          <w:b w:val="0"/>
          <w:bCs/>
        </w:rPr>
      </w:pPr>
      <w:r w:rsidRPr="004F6A3B">
        <w:rPr>
          <w:bCs/>
        </w:rPr>
        <w:t>Článek II.</w:t>
      </w:r>
    </w:p>
    <w:p w14:paraId="62BFD855" w14:textId="77777777" w:rsidR="004F6A3B" w:rsidRPr="004F6A3B" w:rsidRDefault="004F6A3B" w:rsidP="004F6A3B">
      <w:pPr>
        <w:jc w:val="center"/>
        <w:rPr>
          <w:b/>
          <w:bCs/>
          <w:szCs w:val="22"/>
        </w:rPr>
      </w:pPr>
      <w:r w:rsidRPr="004F6A3B">
        <w:rPr>
          <w:b/>
          <w:bCs/>
          <w:szCs w:val="22"/>
        </w:rPr>
        <w:t>Zřízení služebnosti</w:t>
      </w:r>
    </w:p>
    <w:p w14:paraId="16FAEA8A" w14:textId="77777777" w:rsidR="004F6A3B" w:rsidRPr="004F6A3B" w:rsidRDefault="004F6A3B" w:rsidP="004F6A3B">
      <w:pPr>
        <w:tabs>
          <w:tab w:val="left" w:pos="705"/>
        </w:tabs>
        <w:rPr>
          <w:color w:val="000000"/>
          <w:szCs w:val="22"/>
        </w:rPr>
      </w:pPr>
      <w:r w:rsidRPr="004F6A3B">
        <w:rPr>
          <w:color w:val="000000"/>
          <w:szCs w:val="22"/>
        </w:rPr>
        <w:t>Povinný jakožto vlastník Služebného pozemku zřizuje touto Smlouvou se souhlasem Oprávněného k tíži Služebného pozemku a ve prospěch Panujících pozemků služebnost in rem (dále jen „</w:t>
      </w:r>
      <w:r w:rsidRPr="004F6A3B">
        <w:rPr>
          <w:b/>
          <w:bCs/>
          <w:color w:val="000000"/>
          <w:szCs w:val="22"/>
        </w:rPr>
        <w:t>Služebnost</w:t>
      </w:r>
      <w:r w:rsidRPr="004F6A3B">
        <w:rPr>
          <w:color w:val="000000"/>
          <w:szCs w:val="22"/>
        </w:rPr>
        <w:t>“) spočívající v povinnosti Povinného a každého budoucího vlastníka Služebného pozemku nezřídit na Služebném pozemku jinou stavbu než stavbu splňující v plném rozsahu Podmínku ÚP ve vztahu k Panujícím pozemkům a Služebnému pozemku. Služebnost zahrnuje i povinnost Povinného a každého budoucího vlastníka Služebného pozemku neumožnit na Služebném pozemku zřízení jakékoli jiné stavby než stavby splňující v plném rozsahu Podmínku ÚP ve vztahu k Panujícím pozemkům a Služebnému pozemku. Oprávněný Služebnost přijímá.</w:t>
      </w:r>
    </w:p>
    <w:p w14:paraId="330468DB" w14:textId="77777777" w:rsidR="004F6A3B" w:rsidRPr="004F6A3B" w:rsidRDefault="004F6A3B" w:rsidP="004F6A3B">
      <w:pPr>
        <w:pStyle w:val="Nadpis1"/>
        <w:keepNext w:val="0"/>
        <w:numPr>
          <w:ilvl w:val="0"/>
          <w:numId w:val="0"/>
        </w:numPr>
      </w:pPr>
    </w:p>
    <w:p w14:paraId="4B37604A" w14:textId="77777777" w:rsidR="004F6A3B" w:rsidRPr="004F6A3B" w:rsidRDefault="004F6A3B" w:rsidP="004F6A3B">
      <w:pPr>
        <w:pStyle w:val="Nadpis1"/>
        <w:keepLines/>
        <w:numPr>
          <w:ilvl w:val="0"/>
          <w:numId w:val="0"/>
        </w:numPr>
        <w:jc w:val="center"/>
        <w:rPr>
          <w:b w:val="0"/>
          <w:bCs/>
        </w:rPr>
      </w:pPr>
      <w:r w:rsidRPr="004F6A3B">
        <w:rPr>
          <w:bCs/>
        </w:rPr>
        <w:t>Článek III.</w:t>
      </w:r>
    </w:p>
    <w:p w14:paraId="2675E2B5" w14:textId="77777777" w:rsidR="004F6A3B" w:rsidRPr="004F6A3B" w:rsidRDefault="004F6A3B" w:rsidP="004F6A3B">
      <w:pPr>
        <w:jc w:val="center"/>
        <w:rPr>
          <w:b/>
          <w:bCs/>
          <w:szCs w:val="22"/>
        </w:rPr>
      </w:pPr>
      <w:r w:rsidRPr="004F6A3B">
        <w:rPr>
          <w:b/>
          <w:bCs/>
          <w:szCs w:val="22"/>
        </w:rPr>
        <w:t>Zřízení reálného břemene</w:t>
      </w:r>
    </w:p>
    <w:p w14:paraId="3C7848E3" w14:textId="77777777" w:rsidR="004F6A3B" w:rsidRPr="004F6A3B" w:rsidRDefault="004F6A3B" w:rsidP="004F6A3B">
      <w:pPr>
        <w:tabs>
          <w:tab w:val="left" w:pos="284"/>
          <w:tab w:val="left" w:pos="705"/>
        </w:tabs>
        <w:rPr>
          <w:color w:val="000000"/>
          <w:szCs w:val="22"/>
        </w:rPr>
      </w:pPr>
      <w:r w:rsidRPr="004F6A3B">
        <w:rPr>
          <w:color w:val="000000"/>
          <w:szCs w:val="22"/>
        </w:rPr>
        <w:t>Povinný jakožto vlastník Služebného pozemku zřizuje touto Smlouvou se souhlasem Oprávněného k tíži Služebného pozemku a ve prospěch Panujících pozemků reálné břemeno in rem (dále jen „</w:t>
      </w:r>
      <w:r w:rsidRPr="004F6A3B">
        <w:rPr>
          <w:b/>
          <w:bCs/>
          <w:color w:val="000000"/>
          <w:szCs w:val="22"/>
        </w:rPr>
        <w:t>Reálné břemeno</w:t>
      </w:r>
      <w:r w:rsidRPr="004F6A3B">
        <w:rPr>
          <w:color w:val="000000"/>
          <w:szCs w:val="22"/>
        </w:rPr>
        <w:t>“) spočívající v povinnosti Povinného a každého budoucího vlastníka Služebného pozemku zajistit ve lhůtě do 31. 12. 2025 vydání územního rozhodnutí pro umístění stavby na Služebném pozemku splňující v plném rozsahu Podmínku ÚP a zahájení takové stavby ve lhůtě do 31. 12. 2029. Oprávněný Reálné břemeno přijímá.</w:t>
      </w:r>
    </w:p>
    <w:p w14:paraId="6D9107E0" w14:textId="77777777" w:rsidR="004F6A3B" w:rsidRPr="004F6A3B" w:rsidDel="00620F11" w:rsidRDefault="004F6A3B" w:rsidP="004F6A3B">
      <w:pPr>
        <w:tabs>
          <w:tab w:val="left" w:pos="284"/>
          <w:tab w:val="left" w:pos="705"/>
        </w:tabs>
        <w:rPr>
          <w:color w:val="000000"/>
          <w:szCs w:val="22"/>
        </w:rPr>
      </w:pPr>
      <w:r w:rsidRPr="004F6A3B">
        <w:rPr>
          <w:color w:val="000000"/>
          <w:szCs w:val="22"/>
        </w:rPr>
        <w:t>Lhůty dle předchozího odstavce se automaticky prodlužují o:</w:t>
      </w:r>
    </w:p>
    <w:p w14:paraId="6FE80D4A" w14:textId="77777777" w:rsidR="004F6A3B" w:rsidRPr="004F6A3B" w:rsidRDefault="004F6A3B" w:rsidP="004F6A3B">
      <w:pPr>
        <w:pStyle w:val="Zkladntext"/>
        <w:spacing w:line="240" w:lineRule="exact"/>
        <w:ind w:left="709" w:right="-57"/>
        <w:rPr>
          <w:color w:val="000000"/>
          <w:szCs w:val="22"/>
        </w:rPr>
      </w:pPr>
      <w:r w:rsidRPr="004F6A3B">
        <w:rPr>
          <w:color w:val="000000"/>
          <w:szCs w:val="22"/>
        </w:rPr>
        <w:t>a.</w:t>
      </w:r>
      <w:r w:rsidRPr="004F6A3B">
        <w:rPr>
          <w:color w:val="000000"/>
          <w:szCs w:val="22"/>
        </w:rPr>
        <w:tab/>
        <w:t>dobu, po kterou trvalo prodlení stavebního úřadu, jiného orgánu státní správy či samosprávy, jiného dotčeného orgánu státní správy (DOSS),</w:t>
      </w:r>
      <w:r w:rsidRPr="004F6A3B">
        <w:t xml:space="preserve"> vlastníka veřejné dopravní a technické infrastruktury nebo správce sítí nad rámec časových limitů předpokládaných právními předpisy pro vydání příslušného rozhodnutí nebo vyjádření a pro případ, kdy takový časový limit není stanoven, pak prodlení nad rámec lhůty v délce 30-ti dnů, to vše ve věci vydání územního rozhodnutí, jiných rozhodnutí a/nebo souhlasů a podkladů podmiňujících jejich vydání</w:t>
      </w:r>
      <w:r w:rsidRPr="004F6A3B">
        <w:rPr>
          <w:color w:val="000000"/>
          <w:szCs w:val="22"/>
        </w:rPr>
        <w:t>; pro vyloučení pochybností Strany uvádějí, že za prodlení ve smyslu tohoto bodu se nepovažuje doba, kdy rozhodnutí nebo součinnost není příslušným orgánem vydáno z důvodů vad nebo nedostatků žádosti či jejich pokladů, které byl povinen předložit Povinný jako žadatel/stavebník,</w:t>
      </w:r>
    </w:p>
    <w:p w14:paraId="3452C5E5" w14:textId="77777777" w:rsidR="004F6A3B" w:rsidRPr="004F6A3B" w:rsidRDefault="004F6A3B" w:rsidP="004F6A3B">
      <w:pPr>
        <w:pStyle w:val="Zkladntext"/>
        <w:spacing w:line="240" w:lineRule="exact"/>
        <w:ind w:left="709" w:right="-57"/>
        <w:rPr>
          <w:color w:val="000000"/>
          <w:szCs w:val="22"/>
        </w:rPr>
      </w:pPr>
      <w:r w:rsidRPr="004F6A3B">
        <w:rPr>
          <w:color w:val="000000"/>
          <w:szCs w:val="22"/>
        </w:rPr>
        <w:t>b.</w:t>
      </w:r>
      <w:r w:rsidRPr="004F6A3B">
        <w:rPr>
          <w:color w:val="000000"/>
          <w:szCs w:val="22"/>
        </w:rPr>
        <w:tab/>
        <w:t>o dobu, po kterou Oprávněný neposkytoval Povinnému součinnost, kterou mu byl povinen poskytovat dle zvláštní smlouvy, nebo</w:t>
      </w:r>
    </w:p>
    <w:p w14:paraId="667EBF53" w14:textId="77777777" w:rsidR="004F6A3B" w:rsidRPr="004F6A3B" w:rsidRDefault="004F6A3B" w:rsidP="004F6A3B">
      <w:pPr>
        <w:pStyle w:val="Zkladntext"/>
        <w:spacing w:line="240" w:lineRule="exact"/>
        <w:ind w:left="709" w:right="-57"/>
        <w:rPr>
          <w:color w:val="000000"/>
          <w:szCs w:val="22"/>
        </w:rPr>
      </w:pPr>
      <w:r w:rsidRPr="004F6A3B">
        <w:rPr>
          <w:color w:val="000000"/>
          <w:szCs w:val="22"/>
        </w:rPr>
        <w:lastRenderedPageBreak/>
        <w:t>c.</w:t>
      </w:r>
      <w:r w:rsidRPr="004F6A3B">
        <w:rPr>
          <w:color w:val="000000"/>
          <w:szCs w:val="22"/>
        </w:rPr>
        <w:tab/>
        <w:t>o dobu, po kterou Povinný nemůže činit potřebné kroky z důvodů způsobených vyšší mocí, tj. zejména, nikoliv však výlučně, epidemií, pandemií, vládními opatřeními, hygienickými opatřeními, nouzovým stavem či jinými okolnostmi nezávislými na vůli Stran,</w:t>
      </w:r>
    </w:p>
    <w:p w14:paraId="277ECAE4" w14:textId="77777777" w:rsidR="004F6A3B" w:rsidRPr="004F6A3B" w:rsidRDefault="004F6A3B" w:rsidP="004F6A3B">
      <w:pPr>
        <w:tabs>
          <w:tab w:val="left" w:pos="284"/>
          <w:tab w:val="left" w:pos="705"/>
        </w:tabs>
        <w:rPr>
          <w:color w:val="000000"/>
          <w:szCs w:val="22"/>
        </w:rPr>
      </w:pPr>
      <w:r w:rsidRPr="004F6A3B">
        <w:rPr>
          <w:color w:val="000000"/>
          <w:szCs w:val="22"/>
        </w:rPr>
        <w:t>Povinnost zahájit stavbu Budovy VŠCHT na Služebném pozemku však nevzniká dříve než tři měsíce po zahájení výstavby Centra na Panujících pozemcích.</w:t>
      </w:r>
    </w:p>
    <w:p w14:paraId="463A4A58" w14:textId="77777777" w:rsidR="004F6A3B" w:rsidRPr="004F6A3B" w:rsidRDefault="004F6A3B" w:rsidP="004F6A3B">
      <w:pPr>
        <w:pStyle w:val="Zkladntext"/>
        <w:spacing w:line="240" w:lineRule="exact"/>
        <w:ind w:left="709" w:right="-57"/>
        <w:rPr>
          <w:color w:val="000000"/>
          <w:szCs w:val="22"/>
        </w:rPr>
      </w:pPr>
    </w:p>
    <w:p w14:paraId="4542F0AE" w14:textId="77777777" w:rsidR="004F6A3B" w:rsidRPr="004F6A3B" w:rsidRDefault="004F6A3B" w:rsidP="004F6A3B">
      <w:pPr>
        <w:pStyle w:val="Nadpis1"/>
        <w:keepLines/>
        <w:numPr>
          <w:ilvl w:val="0"/>
          <w:numId w:val="0"/>
        </w:numPr>
        <w:jc w:val="center"/>
        <w:rPr>
          <w:b w:val="0"/>
          <w:bCs/>
        </w:rPr>
      </w:pPr>
      <w:r w:rsidRPr="004F6A3B">
        <w:rPr>
          <w:bCs/>
        </w:rPr>
        <w:t>Článek IV.</w:t>
      </w:r>
    </w:p>
    <w:p w14:paraId="34180D77" w14:textId="77777777" w:rsidR="004F6A3B" w:rsidRPr="004F6A3B" w:rsidRDefault="004F6A3B" w:rsidP="004F6A3B">
      <w:pPr>
        <w:jc w:val="center"/>
        <w:rPr>
          <w:b/>
          <w:bCs/>
          <w:szCs w:val="22"/>
          <w:highlight w:val="yellow"/>
        </w:rPr>
      </w:pPr>
      <w:r w:rsidRPr="004F6A3B">
        <w:rPr>
          <w:b/>
          <w:bCs/>
          <w:szCs w:val="22"/>
        </w:rPr>
        <w:t>Související práva a povinnosti</w:t>
      </w:r>
    </w:p>
    <w:p w14:paraId="5EB2EBD2" w14:textId="77777777" w:rsidR="004F6A3B" w:rsidRPr="004F6A3B" w:rsidRDefault="004F6A3B" w:rsidP="004F6A3B">
      <w:pPr>
        <w:pStyle w:val="Odstavecseseznamem"/>
        <w:widowControl w:val="0"/>
        <w:numPr>
          <w:ilvl w:val="0"/>
          <w:numId w:val="7"/>
        </w:numPr>
        <w:tabs>
          <w:tab w:val="left" w:pos="284"/>
        </w:tabs>
        <w:spacing w:before="0"/>
        <w:ind w:left="284" w:hanging="284"/>
        <w:contextualSpacing w:val="0"/>
        <w:rPr>
          <w:color w:val="000000"/>
          <w:szCs w:val="22"/>
        </w:rPr>
      </w:pPr>
      <w:r w:rsidRPr="004F6A3B">
        <w:rPr>
          <w:color w:val="000000"/>
          <w:szCs w:val="22"/>
        </w:rPr>
        <w:t>Povinný a všichni budoucí vlastníci Služebného pozemku jsou povinni:</w:t>
      </w:r>
    </w:p>
    <w:p w14:paraId="110DCAAF" w14:textId="77777777" w:rsidR="004F6A3B" w:rsidRPr="004F6A3B" w:rsidRDefault="004F6A3B" w:rsidP="004F6A3B">
      <w:pPr>
        <w:pStyle w:val="Odstavecseseznamem"/>
        <w:widowControl w:val="0"/>
        <w:numPr>
          <w:ilvl w:val="0"/>
          <w:numId w:val="8"/>
        </w:numPr>
        <w:tabs>
          <w:tab w:val="left" w:pos="284"/>
        </w:tabs>
        <w:spacing w:before="0"/>
        <w:contextualSpacing w:val="0"/>
        <w:rPr>
          <w:color w:val="000000"/>
          <w:szCs w:val="22"/>
        </w:rPr>
      </w:pPr>
      <w:r w:rsidRPr="004F6A3B">
        <w:rPr>
          <w:color w:val="000000"/>
          <w:szCs w:val="22"/>
        </w:rPr>
        <w:t>spolupracovat při výstavbě Budovy VŠCHT s vlastníkem Panujících pozemků (zejména s ohledem na výstavbu Centra), poskytovat mu podporu a koordinovat s ním svoji činnost tak, aby s co nejnižšími náklady a v co nejkratším čase pro obě tyto stavby byla získána veškerá veřejnoprávní povolení, vyjádření a souhlasy a aby tyto stavby mohly být realizovány a uvedeny do řádného provozu;</w:t>
      </w:r>
    </w:p>
    <w:p w14:paraId="5925448F" w14:textId="77777777" w:rsidR="004F6A3B" w:rsidRPr="004F6A3B" w:rsidRDefault="004F6A3B" w:rsidP="004F6A3B">
      <w:pPr>
        <w:pStyle w:val="Odstavecseseznamem"/>
        <w:widowControl w:val="0"/>
        <w:numPr>
          <w:ilvl w:val="0"/>
          <w:numId w:val="8"/>
        </w:numPr>
        <w:tabs>
          <w:tab w:val="left" w:pos="284"/>
        </w:tabs>
        <w:spacing w:before="0"/>
        <w:contextualSpacing w:val="0"/>
        <w:rPr>
          <w:color w:val="000000"/>
          <w:szCs w:val="22"/>
        </w:rPr>
      </w:pPr>
      <w:r w:rsidRPr="004F6A3B">
        <w:rPr>
          <w:color w:val="000000"/>
          <w:szCs w:val="22"/>
        </w:rPr>
        <w:t xml:space="preserve">pravidelně informovat vlastníka Panujících pozemků o postupu příprav a výstavby Budovy VŠCHT (resp. jakékoliv stavby na Panujícím pozemku) a písemně mu sdělovat všechny rozhodné skutečnosti; </w:t>
      </w:r>
    </w:p>
    <w:p w14:paraId="05C40981" w14:textId="77777777" w:rsidR="004F6A3B" w:rsidRPr="004F6A3B" w:rsidRDefault="004F6A3B" w:rsidP="004F6A3B">
      <w:pPr>
        <w:pStyle w:val="Odstavecseseznamem"/>
        <w:widowControl w:val="0"/>
        <w:numPr>
          <w:ilvl w:val="0"/>
          <w:numId w:val="8"/>
        </w:numPr>
        <w:tabs>
          <w:tab w:val="left" w:pos="284"/>
        </w:tabs>
        <w:spacing w:before="0"/>
        <w:contextualSpacing w:val="0"/>
        <w:rPr>
          <w:color w:val="000000"/>
          <w:szCs w:val="22"/>
        </w:rPr>
      </w:pPr>
      <w:r w:rsidRPr="004F6A3B">
        <w:rPr>
          <w:color w:val="000000"/>
          <w:szCs w:val="22"/>
        </w:rPr>
        <w:t>poskytnout vlastníkovi Panujících pozemků pro účely výstavby Centra do bezplatného dočasného užívání na nezbytnou dobu Služebný pozemek nebo jeho část pro účely umístění zařízení staveniště, bude-li to možné a účelné.</w:t>
      </w:r>
    </w:p>
    <w:p w14:paraId="4CAD4E63" w14:textId="77777777" w:rsidR="004F6A3B" w:rsidRPr="004F6A3B" w:rsidRDefault="004F6A3B" w:rsidP="004F6A3B">
      <w:pPr>
        <w:pStyle w:val="Odstavecseseznamem"/>
        <w:widowControl w:val="0"/>
        <w:numPr>
          <w:ilvl w:val="0"/>
          <w:numId w:val="7"/>
        </w:numPr>
        <w:tabs>
          <w:tab w:val="left" w:pos="284"/>
        </w:tabs>
        <w:spacing w:before="0"/>
        <w:ind w:left="284" w:hanging="284"/>
        <w:contextualSpacing w:val="0"/>
        <w:rPr>
          <w:color w:val="000000"/>
          <w:szCs w:val="22"/>
        </w:rPr>
      </w:pPr>
      <w:r w:rsidRPr="004F6A3B">
        <w:rPr>
          <w:color w:val="000000"/>
          <w:szCs w:val="22"/>
        </w:rPr>
        <w:t>Povinný a všichni budoucí vlastníci Služebného pozemku jsou povinni jednat v souladu s touto Smlouvu a zdržet se všeho, co by odporovalo jejímu smyslu a účelu, zejména naplnění Podmínky ÚP a vybudování a zprovoznění Centra.</w:t>
      </w:r>
    </w:p>
    <w:p w14:paraId="2FA51278" w14:textId="77777777" w:rsidR="004F6A3B" w:rsidRPr="004F6A3B" w:rsidRDefault="004F6A3B" w:rsidP="004F6A3B">
      <w:pPr>
        <w:pStyle w:val="Zkladntext"/>
        <w:spacing w:line="240" w:lineRule="exact"/>
        <w:ind w:right="-57"/>
        <w:rPr>
          <w:color w:val="000000"/>
          <w:szCs w:val="22"/>
        </w:rPr>
      </w:pPr>
    </w:p>
    <w:p w14:paraId="6AC24BA6" w14:textId="77777777" w:rsidR="004F6A3B" w:rsidRPr="004F6A3B" w:rsidRDefault="004F6A3B" w:rsidP="004F6A3B">
      <w:pPr>
        <w:pStyle w:val="Nadpis1"/>
        <w:keepLines/>
        <w:numPr>
          <w:ilvl w:val="0"/>
          <w:numId w:val="0"/>
        </w:numPr>
        <w:jc w:val="center"/>
        <w:rPr>
          <w:b w:val="0"/>
          <w:bCs/>
        </w:rPr>
      </w:pPr>
      <w:r w:rsidRPr="004F6A3B">
        <w:rPr>
          <w:bCs/>
        </w:rPr>
        <w:t>Článek V.</w:t>
      </w:r>
    </w:p>
    <w:p w14:paraId="3ADD1924" w14:textId="77777777" w:rsidR="004F6A3B" w:rsidRPr="004F6A3B" w:rsidRDefault="004F6A3B" w:rsidP="004F6A3B">
      <w:pPr>
        <w:pStyle w:val="Odstavecseseznamem"/>
        <w:keepNext/>
        <w:keepLines/>
        <w:ind w:left="0"/>
        <w:jc w:val="center"/>
        <w:rPr>
          <w:b/>
          <w:bCs/>
          <w:color w:val="000000"/>
          <w:szCs w:val="22"/>
        </w:rPr>
      </w:pPr>
      <w:r w:rsidRPr="004F6A3B">
        <w:rPr>
          <w:b/>
          <w:bCs/>
          <w:color w:val="000000"/>
          <w:szCs w:val="22"/>
        </w:rPr>
        <w:t>Související ujednání</w:t>
      </w:r>
    </w:p>
    <w:p w14:paraId="4F1A3AE4" w14:textId="77777777" w:rsidR="004F6A3B" w:rsidRPr="004F6A3B" w:rsidRDefault="004F6A3B" w:rsidP="004F6A3B">
      <w:pPr>
        <w:pStyle w:val="Odstavecseseznamem"/>
        <w:keepNext/>
        <w:keepLines/>
        <w:ind w:left="0"/>
        <w:rPr>
          <w:color w:val="000000"/>
          <w:szCs w:val="22"/>
        </w:rPr>
      </w:pPr>
    </w:p>
    <w:p w14:paraId="3C521B3D" w14:textId="77777777" w:rsidR="004F6A3B" w:rsidRPr="004F6A3B" w:rsidRDefault="004F6A3B" w:rsidP="004F6A3B">
      <w:pPr>
        <w:pStyle w:val="Odstavecseseznamem"/>
        <w:widowControl w:val="0"/>
        <w:numPr>
          <w:ilvl w:val="0"/>
          <w:numId w:val="9"/>
        </w:numPr>
        <w:tabs>
          <w:tab w:val="left" w:pos="284"/>
        </w:tabs>
        <w:spacing w:before="0"/>
        <w:ind w:left="284" w:hanging="284"/>
        <w:contextualSpacing w:val="0"/>
        <w:rPr>
          <w:color w:val="000000"/>
          <w:szCs w:val="22"/>
        </w:rPr>
      </w:pPr>
      <w:r w:rsidRPr="004F6A3B">
        <w:rPr>
          <w:color w:val="000000"/>
          <w:szCs w:val="22"/>
        </w:rPr>
        <w:t>Služebnost a Reálné břemeno se zřizují ve prospěch Panujících pozemků a všech jejich vlastníků.</w:t>
      </w:r>
    </w:p>
    <w:p w14:paraId="34EBC7E8" w14:textId="77777777" w:rsidR="004F6A3B" w:rsidRPr="004F6A3B" w:rsidRDefault="004F6A3B" w:rsidP="004F6A3B">
      <w:pPr>
        <w:pStyle w:val="Odstavecseseznamem"/>
        <w:widowControl w:val="0"/>
        <w:numPr>
          <w:ilvl w:val="0"/>
          <w:numId w:val="9"/>
        </w:numPr>
        <w:tabs>
          <w:tab w:val="left" w:pos="284"/>
        </w:tabs>
        <w:spacing w:before="0"/>
        <w:ind w:left="284" w:hanging="284"/>
        <w:contextualSpacing w:val="0"/>
        <w:rPr>
          <w:color w:val="000000"/>
          <w:szCs w:val="22"/>
        </w:rPr>
      </w:pPr>
      <w:r w:rsidRPr="004F6A3B">
        <w:rPr>
          <w:color w:val="000000"/>
          <w:szCs w:val="22"/>
        </w:rPr>
        <w:t xml:space="preserve">Služebnost a Reálné břemeno vznikají vkladem do katastru nemovitosti, a to s účinky ke dni podání návrhu na vklad do katastru nemovitostí. </w:t>
      </w:r>
    </w:p>
    <w:p w14:paraId="5460D377" w14:textId="77777777" w:rsidR="004F6A3B" w:rsidRPr="004F6A3B" w:rsidRDefault="004F6A3B" w:rsidP="004F6A3B">
      <w:pPr>
        <w:pStyle w:val="Odstavecseseznamem"/>
        <w:widowControl w:val="0"/>
        <w:numPr>
          <w:ilvl w:val="0"/>
          <w:numId w:val="9"/>
        </w:numPr>
        <w:tabs>
          <w:tab w:val="left" w:pos="284"/>
        </w:tabs>
        <w:spacing w:before="0"/>
        <w:ind w:left="284" w:hanging="284"/>
        <w:contextualSpacing w:val="0"/>
        <w:rPr>
          <w:color w:val="000000"/>
          <w:szCs w:val="22"/>
        </w:rPr>
      </w:pPr>
      <w:r w:rsidRPr="004F6A3B">
        <w:rPr>
          <w:color w:val="000000"/>
          <w:szCs w:val="22"/>
        </w:rPr>
        <w:t>Služebnost a Reálné břemeno se zřizují bezúplatně.</w:t>
      </w:r>
    </w:p>
    <w:p w14:paraId="219D6150" w14:textId="77777777" w:rsidR="004F6A3B" w:rsidRPr="004F6A3B" w:rsidRDefault="004F6A3B" w:rsidP="004F6A3B">
      <w:pPr>
        <w:pStyle w:val="Odstavecseseznamem"/>
        <w:widowControl w:val="0"/>
        <w:numPr>
          <w:ilvl w:val="0"/>
          <w:numId w:val="9"/>
        </w:numPr>
        <w:tabs>
          <w:tab w:val="left" w:pos="284"/>
        </w:tabs>
        <w:spacing w:before="0"/>
        <w:ind w:left="284" w:hanging="284"/>
        <w:contextualSpacing w:val="0"/>
        <w:rPr>
          <w:color w:val="000000"/>
          <w:szCs w:val="22"/>
        </w:rPr>
      </w:pPr>
      <w:r w:rsidRPr="004F6A3B">
        <w:rPr>
          <w:color w:val="000000"/>
          <w:szCs w:val="22"/>
        </w:rPr>
        <w:t xml:space="preserve">Služebnost i Reálné břemeno se zřizují na dobu určitou, a to do doby vydání kolaudačního souhlasu ohledně stavby v plném rozsahu splňující Podmínku ÚP umístěné na Služebném pozemku, </w:t>
      </w:r>
      <w:r w:rsidRPr="004F6A3B">
        <w:rPr>
          <w:szCs w:val="22"/>
        </w:rPr>
        <w:t>nebo vydáním kolaudačního souhlasu ohledně poslední části Centra, podle toho, co nastane dříve</w:t>
      </w:r>
      <w:r w:rsidRPr="004F6A3B">
        <w:rPr>
          <w:color w:val="000000"/>
          <w:szCs w:val="22"/>
        </w:rPr>
        <w:t>. Stavbou se pro účely této Smlouvy rozumí pouze stavba, která není stavbou dočasnou.</w:t>
      </w:r>
    </w:p>
    <w:p w14:paraId="2DAAEED0" w14:textId="77777777" w:rsidR="004F6A3B" w:rsidRPr="004F6A3B" w:rsidRDefault="004F6A3B" w:rsidP="004F6A3B">
      <w:pPr>
        <w:pStyle w:val="Odstavecseseznamem"/>
        <w:widowControl w:val="0"/>
        <w:numPr>
          <w:ilvl w:val="0"/>
          <w:numId w:val="9"/>
        </w:numPr>
        <w:tabs>
          <w:tab w:val="left" w:pos="284"/>
        </w:tabs>
        <w:spacing w:before="0"/>
        <w:ind w:left="284" w:hanging="284"/>
        <w:contextualSpacing w:val="0"/>
        <w:rPr>
          <w:color w:val="000000"/>
          <w:szCs w:val="22"/>
        </w:rPr>
      </w:pPr>
      <w:r w:rsidRPr="004F6A3B">
        <w:rPr>
          <w:color w:val="000000"/>
          <w:szCs w:val="22"/>
        </w:rPr>
        <w:t xml:space="preserve">Služebnost ani Reálné břemeno nelze vypovědět ani vykoupit ve smyslu ust. § 1124 občanského zákoníku ani jiného obdobného ustanovení. </w:t>
      </w:r>
    </w:p>
    <w:p w14:paraId="1198769C" w14:textId="77777777" w:rsidR="004F6A3B" w:rsidRPr="004F6A3B" w:rsidRDefault="004F6A3B" w:rsidP="004F6A3B">
      <w:pPr>
        <w:pStyle w:val="Odstavecseseznamem"/>
        <w:widowControl w:val="0"/>
        <w:numPr>
          <w:ilvl w:val="0"/>
          <w:numId w:val="9"/>
        </w:numPr>
        <w:tabs>
          <w:tab w:val="left" w:pos="284"/>
        </w:tabs>
        <w:spacing w:before="0"/>
        <w:ind w:left="284" w:hanging="284"/>
        <w:contextualSpacing w:val="0"/>
        <w:rPr>
          <w:color w:val="000000"/>
          <w:szCs w:val="22"/>
        </w:rPr>
      </w:pPr>
      <w:r w:rsidRPr="004F6A3B">
        <w:rPr>
          <w:color w:val="000000"/>
          <w:szCs w:val="22"/>
        </w:rPr>
        <w:t>Náklady na povolení vkladu práva odpovídajícího Služebnosti a Reálnému břemenu do katastru nemovitostí hradí Oprávněný.</w:t>
      </w:r>
    </w:p>
    <w:p w14:paraId="210AF85E" w14:textId="77777777" w:rsidR="004F6A3B" w:rsidRPr="004F6A3B" w:rsidRDefault="004F6A3B" w:rsidP="004F6A3B">
      <w:pPr>
        <w:pStyle w:val="Odstavecseseznamem"/>
        <w:tabs>
          <w:tab w:val="left" w:pos="705"/>
        </w:tabs>
        <w:rPr>
          <w:color w:val="000000"/>
          <w:szCs w:val="22"/>
        </w:rPr>
      </w:pPr>
    </w:p>
    <w:p w14:paraId="3CE702BE" w14:textId="77777777" w:rsidR="004F6A3B" w:rsidRPr="004F6A3B" w:rsidRDefault="004F6A3B" w:rsidP="004F6A3B">
      <w:pPr>
        <w:pStyle w:val="Nadpis1"/>
        <w:keepLines/>
        <w:numPr>
          <w:ilvl w:val="0"/>
          <w:numId w:val="0"/>
        </w:numPr>
        <w:jc w:val="center"/>
        <w:rPr>
          <w:b w:val="0"/>
          <w:bCs/>
        </w:rPr>
      </w:pPr>
      <w:r w:rsidRPr="004F6A3B">
        <w:rPr>
          <w:bCs/>
        </w:rPr>
        <w:lastRenderedPageBreak/>
        <w:t>Článek VI.</w:t>
      </w:r>
    </w:p>
    <w:p w14:paraId="05610FA4" w14:textId="77777777" w:rsidR="004F6A3B" w:rsidRPr="004F6A3B" w:rsidRDefault="004F6A3B" w:rsidP="004F6A3B">
      <w:pPr>
        <w:pStyle w:val="Nadpis1"/>
        <w:keepLines/>
        <w:numPr>
          <w:ilvl w:val="0"/>
          <w:numId w:val="0"/>
        </w:numPr>
        <w:jc w:val="center"/>
        <w:rPr>
          <w:b w:val="0"/>
          <w:bCs/>
        </w:rPr>
      </w:pPr>
      <w:r w:rsidRPr="004F6A3B">
        <w:rPr>
          <w:bCs/>
        </w:rPr>
        <w:t>Závěrečná ustanovení</w:t>
      </w:r>
    </w:p>
    <w:p w14:paraId="0F971D5A" w14:textId="77777777" w:rsidR="004F6A3B" w:rsidRPr="004F6A3B" w:rsidRDefault="004F6A3B" w:rsidP="004F6A3B">
      <w:pPr>
        <w:pStyle w:val="Odstavecseseznamem"/>
        <w:widowControl w:val="0"/>
        <w:numPr>
          <w:ilvl w:val="0"/>
          <w:numId w:val="10"/>
        </w:numPr>
        <w:tabs>
          <w:tab w:val="left" w:pos="284"/>
        </w:tabs>
        <w:spacing w:before="0"/>
        <w:ind w:left="284" w:hanging="284"/>
        <w:contextualSpacing w:val="0"/>
        <w:rPr>
          <w:color w:val="000000"/>
          <w:szCs w:val="22"/>
        </w:rPr>
      </w:pPr>
      <w:r w:rsidRPr="004F6A3B">
        <w:rPr>
          <w:color w:val="000000"/>
          <w:szCs w:val="22"/>
        </w:rPr>
        <w:t>Jsou-li, nebo stanou-li se některá ustanovení této smlouvy zcela nebo zčásti neplatnými, nebo pokud by některá ustanovení chyběla, není tím platnost ostatních ustanovení dotčena. Místo neplatného ustanovení sjednají Strany takové platné ustanovení, které odpovídá smyslu a účelu neplatného ustanovení.</w:t>
      </w:r>
    </w:p>
    <w:p w14:paraId="334DBB92" w14:textId="77777777" w:rsidR="004F6A3B" w:rsidRPr="004F6A3B" w:rsidRDefault="004F6A3B" w:rsidP="004F6A3B">
      <w:pPr>
        <w:pStyle w:val="Odstavecseseznamem"/>
        <w:widowControl w:val="0"/>
        <w:numPr>
          <w:ilvl w:val="0"/>
          <w:numId w:val="10"/>
        </w:numPr>
        <w:tabs>
          <w:tab w:val="left" w:pos="284"/>
        </w:tabs>
        <w:spacing w:before="0"/>
        <w:ind w:left="284" w:hanging="284"/>
        <w:contextualSpacing w:val="0"/>
        <w:rPr>
          <w:color w:val="000000"/>
          <w:szCs w:val="22"/>
        </w:rPr>
      </w:pPr>
      <w:r w:rsidRPr="004F6A3B">
        <w:rPr>
          <w:color w:val="000000"/>
          <w:szCs w:val="22"/>
        </w:rPr>
        <w:t xml:space="preserve">Vedlejší ústní dohody k této smlouvě nebyly učiněny. Změny nebo dodatky této smlouvy musejí být učiněny písemnou formou. </w:t>
      </w:r>
    </w:p>
    <w:p w14:paraId="48219A85" w14:textId="77777777" w:rsidR="004F6A3B" w:rsidRPr="004F6A3B" w:rsidRDefault="004F6A3B" w:rsidP="004F6A3B">
      <w:pPr>
        <w:pStyle w:val="Odstavecseseznamem"/>
        <w:widowControl w:val="0"/>
        <w:numPr>
          <w:ilvl w:val="0"/>
          <w:numId w:val="10"/>
        </w:numPr>
        <w:tabs>
          <w:tab w:val="left" w:pos="284"/>
        </w:tabs>
        <w:spacing w:before="0"/>
        <w:ind w:left="284" w:hanging="284"/>
        <w:contextualSpacing w:val="0"/>
        <w:rPr>
          <w:color w:val="000000"/>
          <w:szCs w:val="22"/>
        </w:rPr>
      </w:pPr>
      <w:r w:rsidRPr="004F6A3B">
        <w:rPr>
          <w:color w:val="000000"/>
          <w:szCs w:val="22"/>
        </w:rPr>
        <w:t>Tato smlouva je vyhotovena ve třech (3) stejnopisech. Každá ze Stran obdrží po jednom (1) stejnopise a jeden (1) stejnopis je určen pro vkladové řízení u příslušného katastrálního úřadu.</w:t>
      </w:r>
    </w:p>
    <w:p w14:paraId="6AB9E88C" w14:textId="77777777" w:rsidR="00543FAA" w:rsidRDefault="004F6A3B" w:rsidP="004F6A3B">
      <w:pPr>
        <w:pStyle w:val="Odstavecseseznamem"/>
        <w:widowControl w:val="0"/>
        <w:numPr>
          <w:ilvl w:val="0"/>
          <w:numId w:val="10"/>
        </w:numPr>
        <w:tabs>
          <w:tab w:val="left" w:pos="284"/>
        </w:tabs>
        <w:spacing w:before="0"/>
        <w:ind w:left="284" w:hanging="284"/>
        <w:contextualSpacing w:val="0"/>
        <w:rPr>
          <w:color w:val="000000"/>
          <w:szCs w:val="22"/>
        </w:rPr>
      </w:pPr>
      <w:r w:rsidRPr="004F6A3B">
        <w:rPr>
          <w:color w:val="000000"/>
          <w:szCs w:val="22"/>
        </w:rPr>
        <w:t>Strany tímto výslovně sjednávají, že se pro účely této smlouvy neuplatní, a to ani analogicky, následující ustanovení zákona č. 89/2012 Sb., občanský zákoník, v platném znění: §1748, §§ 1765 až 1766, § 1788 odst. 2, § 1793, §§ 1798 – 1800.</w:t>
      </w:r>
    </w:p>
    <w:p w14:paraId="4C31A8EC" w14:textId="23B0478D" w:rsidR="004F6A3B" w:rsidRPr="004F6A3B" w:rsidRDefault="004F6A3B" w:rsidP="004F6A3B">
      <w:pPr>
        <w:pStyle w:val="Odstavecseseznamem"/>
        <w:widowControl w:val="0"/>
        <w:numPr>
          <w:ilvl w:val="0"/>
          <w:numId w:val="10"/>
        </w:numPr>
        <w:tabs>
          <w:tab w:val="left" w:pos="284"/>
        </w:tabs>
        <w:spacing w:before="0"/>
        <w:ind w:left="284" w:hanging="284"/>
        <w:contextualSpacing w:val="0"/>
        <w:rPr>
          <w:color w:val="000000"/>
          <w:szCs w:val="22"/>
        </w:rPr>
      </w:pPr>
      <w:r w:rsidRPr="004F6A3B">
        <w:rPr>
          <w:color w:val="000000"/>
          <w:szCs w:val="22"/>
        </w:rPr>
        <w:t>Povinný prohlašuje, že uzavření této Smlouvy bylo řádně schváleno (předem a písemně) Správní radou Povinného ve smyslu ustanovení § 15 odst. 1 písm. a) zákona č. 111/1998 Sb., o vysokých školách ve znění pozdějších předpisů, dne</w:t>
      </w:r>
      <w:r w:rsidR="00543FAA">
        <w:rPr>
          <w:color w:val="000000"/>
          <w:szCs w:val="22"/>
        </w:rPr>
        <w:t xml:space="preserve"> </w:t>
      </w:r>
      <w:r w:rsidR="005A00FD">
        <w:rPr>
          <w:color w:val="000000"/>
          <w:szCs w:val="22"/>
        </w:rPr>
        <w:t xml:space="preserve"> 15.12.2021</w:t>
      </w:r>
      <w:r w:rsidRPr="00543FAA">
        <w:rPr>
          <w:color w:val="000000"/>
          <w:szCs w:val="22"/>
        </w:rPr>
        <w:t>,</w:t>
      </w:r>
      <w:r w:rsidRPr="004F6A3B">
        <w:rPr>
          <w:color w:val="000000"/>
          <w:szCs w:val="22"/>
        </w:rPr>
        <w:t xml:space="preserve"> a že tento předchozí písemný souhlas byl řádně doručen Odboru vysokých škol Ministerstva školství, mládeže a tělovýchovy České republiky dne </w:t>
      </w:r>
      <w:r w:rsidR="005A00FD">
        <w:rPr>
          <w:color w:val="000000"/>
          <w:szCs w:val="22"/>
        </w:rPr>
        <w:t>17.12.2021</w:t>
      </w:r>
    </w:p>
    <w:p w14:paraId="282A3FF3" w14:textId="77777777" w:rsidR="004F6A3B" w:rsidRPr="004F6A3B" w:rsidRDefault="004F6A3B" w:rsidP="004F6A3B">
      <w:pPr>
        <w:rPr>
          <w:b/>
          <w:szCs w:val="22"/>
        </w:rPr>
      </w:pPr>
      <w:r w:rsidRPr="004F6A3B">
        <w:rPr>
          <w:b/>
          <w:szCs w:val="22"/>
        </w:rPr>
        <w:t>Strany tímto výslovně prohlašují, že tato Smlouva vyjadřuje jejich pravou a svobodnou vůli, na důkaz čehož připojují níže své podpisy. Tato smlouva musí být vložena do Registru smluv v souladu se zákonem č. 340/2015 Sb., ve znění pozdějších předpisů.</w:t>
      </w:r>
    </w:p>
    <w:p w14:paraId="77E41B6D" w14:textId="77777777" w:rsidR="004F6A3B" w:rsidRPr="004F6A3B" w:rsidRDefault="004F6A3B" w:rsidP="004F6A3B">
      <w:pPr>
        <w:rPr>
          <w:b/>
          <w:szCs w:val="22"/>
        </w:rPr>
      </w:pPr>
    </w:p>
    <w:tbl>
      <w:tblPr>
        <w:tblW w:w="9322" w:type="dxa"/>
        <w:tblLook w:val="04A0" w:firstRow="1" w:lastRow="0" w:firstColumn="1" w:lastColumn="0" w:noHBand="0" w:noVBand="1"/>
      </w:tblPr>
      <w:tblGrid>
        <w:gridCol w:w="4644"/>
        <w:gridCol w:w="4678"/>
      </w:tblGrid>
      <w:tr w:rsidR="004F6A3B" w:rsidRPr="001F1025" w14:paraId="6D6B83B0" w14:textId="77777777" w:rsidTr="000F203F">
        <w:tc>
          <w:tcPr>
            <w:tcW w:w="4644" w:type="dxa"/>
            <w:hideMark/>
          </w:tcPr>
          <w:p w14:paraId="1501A8B4" w14:textId="77777777" w:rsidR="004F6A3B" w:rsidRPr="001F1025" w:rsidRDefault="004F6A3B" w:rsidP="000F203F">
            <w:pPr>
              <w:keepNext/>
              <w:keepLines/>
            </w:pPr>
            <w:r w:rsidRPr="001F1025">
              <w:rPr>
                <w:b/>
                <w:szCs w:val="22"/>
              </w:rPr>
              <w:t>Vysoká škola chemicko-technologická v Praze</w:t>
            </w:r>
          </w:p>
        </w:tc>
        <w:tc>
          <w:tcPr>
            <w:tcW w:w="4678" w:type="dxa"/>
            <w:hideMark/>
          </w:tcPr>
          <w:p w14:paraId="7BB1C1FA" w14:textId="77777777" w:rsidR="004F6A3B" w:rsidRPr="001F1025" w:rsidRDefault="004F6A3B" w:rsidP="000F203F">
            <w:pPr>
              <w:keepNext/>
              <w:keepLines/>
              <w:rPr>
                <w:b/>
              </w:rPr>
            </w:pPr>
            <w:r w:rsidRPr="001F1025">
              <w:rPr>
                <w:b/>
                <w:bCs/>
                <w:szCs w:val="22"/>
              </w:rPr>
              <w:t>Fourth Quadrant s.r.o.</w:t>
            </w:r>
          </w:p>
        </w:tc>
      </w:tr>
      <w:tr w:rsidR="004F6A3B" w:rsidRPr="001F1025" w14:paraId="2F94949A" w14:textId="77777777" w:rsidTr="000F203F">
        <w:tc>
          <w:tcPr>
            <w:tcW w:w="4644" w:type="dxa"/>
            <w:hideMark/>
          </w:tcPr>
          <w:p w14:paraId="50A7D81E" w14:textId="77777777" w:rsidR="004F6A3B" w:rsidRPr="001F1025" w:rsidRDefault="004F6A3B" w:rsidP="000F203F">
            <w:pPr>
              <w:keepNext/>
              <w:keepLines/>
            </w:pPr>
            <w:r w:rsidRPr="001F1025">
              <w:t xml:space="preserve">Místo: </w:t>
            </w:r>
          </w:p>
          <w:p w14:paraId="521AE75D" w14:textId="77777777" w:rsidR="004F6A3B" w:rsidRPr="001F1025" w:rsidRDefault="004F6A3B" w:rsidP="000F203F">
            <w:pPr>
              <w:keepNext/>
              <w:keepLines/>
            </w:pPr>
            <w:r w:rsidRPr="001F1025">
              <w:t xml:space="preserve">Datum: </w:t>
            </w:r>
          </w:p>
        </w:tc>
        <w:tc>
          <w:tcPr>
            <w:tcW w:w="4678" w:type="dxa"/>
            <w:hideMark/>
          </w:tcPr>
          <w:p w14:paraId="6D2ACD46" w14:textId="77777777" w:rsidR="004F6A3B" w:rsidRPr="001F1025" w:rsidRDefault="004F6A3B" w:rsidP="000F203F">
            <w:pPr>
              <w:keepNext/>
              <w:keepLines/>
            </w:pPr>
            <w:r w:rsidRPr="001F1025">
              <w:t xml:space="preserve">Místo: </w:t>
            </w:r>
            <w:r>
              <w:t>Praha</w:t>
            </w:r>
          </w:p>
          <w:p w14:paraId="1E11E540" w14:textId="77777777" w:rsidR="004F6A3B" w:rsidRPr="001F1025" w:rsidRDefault="004F6A3B" w:rsidP="000F203F">
            <w:pPr>
              <w:keepNext/>
              <w:keepLines/>
              <w:rPr>
                <w:b/>
              </w:rPr>
            </w:pPr>
            <w:r w:rsidRPr="001F1025">
              <w:t xml:space="preserve">Datum: </w:t>
            </w:r>
          </w:p>
        </w:tc>
      </w:tr>
      <w:tr w:rsidR="004F6A3B" w:rsidRPr="001F1025" w14:paraId="1A004708" w14:textId="77777777" w:rsidTr="000F203F">
        <w:tc>
          <w:tcPr>
            <w:tcW w:w="4644" w:type="dxa"/>
          </w:tcPr>
          <w:p w14:paraId="7215B54E" w14:textId="77777777" w:rsidR="004F6A3B" w:rsidRPr="001F1025" w:rsidRDefault="004F6A3B" w:rsidP="000F203F">
            <w:pPr>
              <w:keepNext/>
              <w:keepLines/>
            </w:pPr>
          </w:p>
          <w:p w14:paraId="45D9579D" w14:textId="77777777" w:rsidR="004F6A3B" w:rsidRPr="001F1025" w:rsidRDefault="004F6A3B" w:rsidP="000F203F">
            <w:pPr>
              <w:keepNext/>
              <w:keepLines/>
            </w:pPr>
            <w:r w:rsidRPr="001F1025">
              <w:t>_______________________________________</w:t>
            </w:r>
          </w:p>
        </w:tc>
        <w:tc>
          <w:tcPr>
            <w:tcW w:w="4678" w:type="dxa"/>
          </w:tcPr>
          <w:p w14:paraId="3E02F9A0" w14:textId="77777777" w:rsidR="004F6A3B" w:rsidRPr="001F1025" w:rsidRDefault="004F6A3B" w:rsidP="000F203F">
            <w:pPr>
              <w:keepNext/>
              <w:keepLines/>
            </w:pPr>
          </w:p>
          <w:p w14:paraId="132F55EE" w14:textId="77777777" w:rsidR="004F6A3B" w:rsidRPr="001F1025" w:rsidRDefault="004F6A3B" w:rsidP="000F203F">
            <w:pPr>
              <w:keepNext/>
              <w:keepLines/>
            </w:pPr>
            <w:r w:rsidRPr="001F1025">
              <w:t>_______________________________________</w:t>
            </w:r>
          </w:p>
        </w:tc>
      </w:tr>
      <w:tr w:rsidR="004F6A3B" w:rsidRPr="001F1025" w14:paraId="6012B316" w14:textId="77777777" w:rsidTr="000F203F">
        <w:tc>
          <w:tcPr>
            <w:tcW w:w="4644" w:type="dxa"/>
            <w:hideMark/>
          </w:tcPr>
          <w:p w14:paraId="17B1C0E5" w14:textId="633C92A2" w:rsidR="004F6A3B" w:rsidRPr="001F1025" w:rsidRDefault="004F6A3B" w:rsidP="000F203F">
            <w:pPr>
              <w:keepNext/>
              <w:keepLines/>
            </w:pPr>
            <w:r w:rsidRPr="001F1025">
              <w:t xml:space="preserve">Jméno: </w:t>
            </w:r>
            <w:r w:rsidR="005A00FD">
              <w:tab/>
              <w:t xml:space="preserve"> xxxxxxxxxxxx</w:t>
            </w:r>
          </w:p>
          <w:p w14:paraId="1941D381" w14:textId="77777777" w:rsidR="004F6A3B" w:rsidRPr="001F1025" w:rsidRDefault="004F6A3B" w:rsidP="000F203F">
            <w:pPr>
              <w:keepNext/>
              <w:keepLines/>
            </w:pPr>
            <w:r w:rsidRPr="001F1025">
              <w:t xml:space="preserve">Funkce: </w:t>
            </w:r>
            <w:r>
              <w:t>rektor</w:t>
            </w:r>
          </w:p>
        </w:tc>
        <w:tc>
          <w:tcPr>
            <w:tcW w:w="4678" w:type="dxa"/>
            <w:hideMark/>
          </w:tcPr>
          <w:p w14:paraId="0D5BCC31" w14:textId="23DC7DE2" w:rsidR="004F6A3B" w:rsidRPr="001F1025" w:rsidRDefault="004F6A3B" w:rsidP="000F203F">
            <w:pPr>
              <w:keepNext/>
              <w:keepLines/>
            </w:pPr>
            <w:r w:rsidRPr="001F1025">
              <w:t>Jméno:</w:t>
            </w:r>
            <w:r w:rsidR="005A00FD">
              <w:tab/>
              <w:t>xxxxxxxxxxxxx</w:t>
            </w:r>
          </w:p>
          <w:p w14:paraId="15B51C7D" w14:textId="77777777" w:rsidR="004F6A3B" w:rsidRPr="001F1025" w:rsidRDefault="004F6A3B" w:rsidP="000F203F">
            <w:pPr>
              <w:keepNext/>
              <w:keepLines/>
            </w:pPr>
            <w:r w:rsidRPr="001F1025">
              <w:t>Funkce:</w:t>
            </w:r>
            <w:r>
              <w:t xml:space="preserve"> Jednatel B</w:t>
            </w:r>
            <w:r w:rsidRPr="001F1025">
              <w:t xml:space="preserve"> </w:t>
            </w:r>
          </w:p>
        </w:tc>
      </w:tr>
      <w:tr w:rsidR="004F6A3B" w:rsidRPr="001F1025" w14:paraId="35EDCB87" w14:textId="77777777" w:rsidTr="000F203F">
        <w:tc>
          <w:tcPr>
            <w:tcW w:w="4644" w:type="dxa"/>
          </w:tcPr>
          <w:p w14:paraId="486D3E5D" w14:textId="77777777" w:rsidR="004F6A3B" w:rsidRPr="001F1025" w:rsidRDefault="004F6A3B" w:rsidP="000F203F">
            <w:pPr>
              <w:keepNext/>
              <w:keepLines/>
            </w:pPr>
          </w:p>
        </w:tc>
        <w:tc>
          <w:tcPr>
            <w:tcW w:w="4678" w:type="dxa"/>
          </w:tcPr>
          <w:p w14:paraId="21FE5ACA" w14:textId="77777777" w:rsidR="004F6A3B" w:rsidRPr="001F1025" w:rsidRDefault="004F6A3B" w:rsidP="000F203F">
            <w:pPr>
              <w:keepNext/>
              <w:keepLines/>
            </w:pPr>
          </w:p>
        </w:tc>
      </w:tr>
      <w:tr w:rsidR="004F6A3B" w:rsidRPr="001F1025" w14:paraId="529A0A61" w14:textId="77777777" w:rsidTr="000F203F">
        <w:tc>
          <w:tcPr>
            <w:tcW w:w="4644" w:type="dxa"/>
          </w:tcPr>
          <w:p w14:paraId="7EA5D334" w14:textId="77777777" w:rsidR="004F6A3B" w:rsidRPr="001F1025" w:rsidRDefault="004F6A3B" w:rsidP="000F203F">
            <w:pPr>
              <w:keepNext/>
              <w:keepLines/>
            </w:pPr>
          </w:p>
        </w:tc>
        <w:tc>
          <w:tcPr>
            <w:tcW w:w="4678" w:type="dxa"/>
          </w:tcPr>
          <w:p w14:paraId="3AA477F0" w14:textId="77777777" w:rsidR="004F6A3B" w:rsidRPr="001F1025" w:rsidRDefault="004F6A3B" w:rsidP="000F203F">
            <w:pPr>
              <w:keepNext/>
              <w:keepLines/>
            </w:pPr>
            <w:r w:rsidRPr="001F1025">
              <w:rPr>
                <w:b/>
                <w:bCs/>
                <w:szCs w:val="22"/>
              </w:rPr>
              <w:t>Fourth Quadrant s.r.o.</w:t>
            </w:r>
          </w:p>
        </w:tc>
      </w:tr>
      <w:tr w:rsidR="004F6A3B" w:rsidRPr="001F1025" w14:paraId="257F4F2B" w14:textId="77777777" w:rsidTr="000F203F">
        <w:tc>
          <w:tcPr>
            <w:tcW w:w="4644" w:type="dxa"/>
          </w:tcPr>
          <w:p w14:paraId="7A8CFD0F" w14:textId="77777777" w:rsidR="004F6A3B" w:rsidRPr="001F1025" w:rsidRDefault="004F6A3B" w:rsidP="000F203F">
            <w:pPr>
              <w:keepNext/>
              <w:keepLines/>
            </w:pPr>
          </w:p>
        </w:tc>
        <w:tc>
          <w:tcPr>
            <w:tcW w:w="4678" w:type="dxa"/>
          </w:tcPr>
          <w:p w14:paraId="0DD50FC7" w14:textId="77777777" w:rsidR="004F6A3B" w:rsidRPr="001F1025" w:rsidRDefault="004F6A3B" w:rsidP="000F203F">
            <w:pPr>
              <w:keepNext/>
              <w:keepLines/>
            </w:pPr>
            <w:r w:rsidRPr="001F1025">
              <w:t xml:space="preserve">Místo: </w:t>
            </w:r>
            <w:r>
              <w:t>Praha</w:t>
            </w:r>
          </w:p>
          <w:p w14:paraId="41CB0B5A" w14:textId="77777777" w:rsidR="004F6A3B" w:rsidRPr="001F1025" w:rsidRDefault="004F6A3B" w:rsidP="000F203F">
            <w:pPr>
              <w:keepNext/>
              <w:keepLines/>
            </w:pPr>
            <w:r w:rsidRPr="001F1025">
              <w:t xml:space="preserve">Datum: </w:t>
            </w:r>
          </w:p>
        </w:tc>
      </w:tr>
      <w:tr w:rsidR="004F6A3B" w:rsidRPr="001F1025" w14:paraId="12EBC02F" w14:textId="77777777" w:rsidTr="000F203F">
        <w:tc>
          <w:tcPr>
            <w:tcW w:w="4644" w:type="dxa"/>
          </w:tcPr>
          <w:p w14:paraId="200CE570" w14:textId="77777777" w:rsidR="004F6A3B" w:rsidRPr="001F1025" w:rsidRDefault="004F6A3B" w:rsidP="000F203F">
            <w:pPr>
              <w:keepNext/>
              <w:keepLines/>
            </w:pPr>
          </w:p>
        </w:tc>
        <w:tc>
          <w:tcPr>
            <w:tcW w:w="4678" w:type="dxa"/>
          </w:tcPr>
          <w:p w14:paraId="29CAB1BC" w14:textId="77777777" w:rsidR="004F6A3B" w:rsidRPr="001F1025" w:rsidRDefault="004F6A3B" w:rsidP="000F203F">
            <w:pPr>
              <w:keepNext/>
              <w:keepLines/>
            </w:pPr>
          </w:p>
          <w:p w14:paraId="60114E0A" w14:textId="77777777" w:rsidR="004F6A3B" w:rsidRPr="001F1025" w:rsidRDefault="004F6A3B" w:rsidP="000F203F">
            <w:pPr>
              <w:keepNext/>
              <w:keepLines/>
            </w:pPr>
            <w:r w:rsidRPr="001F1025">
              <w:t>_______________________________________</w:t>
            </w:r>
          </w:p>
        </w:tc>
      </w:tr>
      <w:tr w:rsidR="004F6A3B" w:rsidRPr="001F1025" w14:paraId="3013DAC5" w14:textId="77777777" w:rsidTr="000F203F">
        <w:tc>
          <w:tcPr>
            <w:tcW w:w="4644" w:type="dxa"/>
          </w:tcPr>
          <w:p w14:paraId="793889C9" w14:textId="77777777" w:rsidR="004F6A3B" w:rsidRPr="001F1025" w:rsidRDefault="004F6A3B" w:rsidP="000F203F">
            <w:pPr>
              <w:keepNext/>
              <w:keepLines/>
            </w:pPr>
          </w:p>
        </w:tc>
        <w:tc>
          <w:tcPr>
            <w:tcW w:w="4678" w:type="dxa"/>
          </w:tcPr>
          <w:p w14:paraId="090AE580" w14:textId="16E50DEF" w:rsidR="004F6A3B" w:rsidRPr="001F1025" w:rsidRDefault="004F6A3B" w:rsidP="000F203F">
            <w:pPr>
              <w:keepNext/>
              <w:keepLines/>
            </w:pPr>
            <w:r w:rsidRPr="001F1025">
              <w:t xml:space="preserve">Jméno: </w:t>
            </w:r>
            <w:r w:rsidR="005A00FD">
              <w:t>xxxxxxxxxxxxxx</w:t>
            </w:r>
            <w:bookmarkStart w:id="0" w:name="_GoBack"/>
            <w:bookmarkEnd w:id="0"/>
          </w:p>
          <w:p w14:paraId="02130E2F" w14:textId="77777777" w:rsidR="004F6A3B" w:rsidRPr="001F1025" w:rsidRDefault="004F6A3B" w:rsidP="000F203F">
            <w:pPr>
              <w:keepNext/>
              <w:keepLines/>
            </w:pPr>
            <w:r w:rsidRPr="001F1025">
              <w:t xml:space="preserve">Funkce: </w:t>
            </w:r>
            <w:r>
              <w:t>Jednatel C</w:t>
            </w:r>
          </w:p>
        </w:tc>
      </w:tr>
    </w:tbl>
    <w:p w14:paraId="10F97942" w14:textId="77777777" w:rsidR="004F6A3B" w:rsidRPr="004F6A3B" w:rsidRDefault="004F6A3B" w:rsidP="004F6A3B">
      <w:pPr>
        <w:jc w:val="center"/>
      </w:pPr>
    </w:p>
    <w:p w14:paraId="0C38A3A3" w14:textId="77777777" w:rsidR="00F92F29" w:rsidRPr="004F6A3B" w:rsidRDefault="00F92F29"/>
    <w:sectPr w:rsidR="00F92F29" w:rsidRPr="004F6A3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702CB" w14:textId="77777777" w:rsidR="0042170C" w:rsidRDefault="0042170C" w:rsidP="0088099A">
      <w:pPr>
        <w:spacing w:before="0" w:after="0"/>
      </w:pPr>
      <w:r>
        <w:separator/>
      </w:r>
    </w:p>
  </w:endnote>
  <w:endnote w:type="continuationSeparator" w:id="0">
    <w:p w14:paraId="5BFD9816" w14:textId="77777777" w:rsidR="0042170C" w:rsidRDefault="0042170C" w:rsidP="008809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544078"/>
      <w:docPartObj>
        <w:docPartGallery w:val="Page Numbers (Bottom of Page)"/>
        <w:docPartUnique/>
      </w:docPartObj>
    </w:sdtPr>
    <w:sdtEndPr/>
    <w:sdtContent>
      <w:p w14:paraId="0EC4615E" w14:textId="1C6D2E1B" w:rsidR="0088099A" w:rsidRDefault="0088099A" w:rsidP="0088099A">
        <w:pPr>
          <w:pStyle w:val="Zpat"/>
        </w:pPr>
        <w:r>
          <w:fldChar w:fldCharType="begin"/>
        </w:r>
        <w:r>
          <w:instrText>PAGE   \* MERGEFORMAT</w:instrText>
        </w:r>
        <w:r>
          <w:fldChar w:fldCharType="separate"/>
        </w:r>
        <w:r w:rsidR="005A00FD">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2D0FD" w14:textId="77777777" w:rsidR="0042170C" w:rsidRDefault="0042170C" w:rsidP="0088099A">
      <w:pPr>
        <w:spacing w:before="0" w:after="0"/>
      </w:pPr>
      <w:r>
        <w:separator/>
      </w:r>
    </w:p>
  </w:footnote>
  <w:footnote w:type="continuationSeparator" w:id="0">
    <w:p w14:paraId="068DE5CC" w14:textId="77777777" w:rsidR="0042170C" w:rsidRDefault="0042170C" w:rsidP="0088099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D7941"/>
    <w:multiLevelType w:val="hybridMultilevel"/>
    <w:tmpl w:val="CF5A53A0"/>
    <w:lvl w:ilvl="0" w:tplc="0405000F">
      <w:start w:val="1"/>
      <w:numFmt w:val="decimal"/>
      <w:lvlText w:val="%1."/>
      <w:lvlJc w:val="left"/>
      <w:pPr>
        <w:ind w:left="720" w:hanging="360"/>
      </w:pPr>
    </w:lvl>
    <w:lvl w:ilvl="1" w:tplc="B2BA33B0">
      <w:start w:val="1"/>
      <w:numFmt w:val="upperRoman"/>
      <w:lvlText w:val="%2."/>
      <w:lvlJc w:val="left"/>
      <w:pPr>
        <w:ind w:left="1800" w:hanging="72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D5426EA"/>
    <w:multiLevelType w:val="multilevel"/>
    <w:tmpl w:val="0448A58E"/>
    <w:lvl w:ilvl="0">
      <w:start w:val="1"/>
      <w:numFmt w:val="upperLetter"/>
      <w:pStyle w:val="Nadpis1"/>
      <w:lvlText w:val="%1."/>
      <w:lvlJc w:val="left"/>
      <w:pPr>
        <w:tabs>
          <w:tab w:val="num" w:pos="680"/>
        </w:tabs>
        <w:ind w:left="680" w:hanging="680"/>
      </w:pPr>
      <w:rPr>
        <w:rFonts w:hint="default"/>
      </w:rPr>
    </w:lvl>
    <w:lvl w:ilvl="1">
      <w:start w:val="1"/>
      <w:numFmt w:val="decimal"/>
      <w:pStyle w:val="Nadpis2"/>
      <w:lvlText w:val="%2."/>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rPr>
    </w:lvl>
    <w:lvl w:ilvl="3">
      <w:start w:val="1"/>
      <w:numFmt w:val="lowerRoman"/>
      <w:lvlText w:val="(%4)"/>
      <w:lvlJc w:val="left"/>
      <w:pPr>
        <w:tabs>
          <w:tab w:val="num" w:pos="1361"/>
        </w:tabs>
        <w:ind w:left="1361" w:hanging="68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91342E8"/>
    <w:multiLevelType w:val="hybridMultilevel"/>
    <w:tmpl w:val="18C0CB20"/>
    <w:lvl w:ilvl="0" w:tplc="27EE56E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9B92187"/>
    <w:multiLevelType w:val="hybridMultilevel"/>
    <w:tmpl w:val="CA0A96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D3B2DF9"/>
    <w:multiLevelType w:val="hybridMultilevel"/>
    <w:tmpl w:val="DCE869E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540D4C3B"/>
    <w:multiLevelType w:val="hybridMultilevel"/>
    <w:tmpl w:val="CF5A53A0"/>
    <w:lvl w:ilvl="0" w:tplc="0405000F">
      <w:start w:val="1"/>
      <w:numFmt w:val="decimal"/>
      <w:lvlText w:val="%1."/>
      <w:lvlJc w:val="left"/>
      <w:pPr>
        <w:ind w:left="720" w:hanging="360"/>
      </w:pPr>
    </w:lvl>
    <w:lvl w:ilvl="1" w:tplc="B2BA33B0">
      <w:start w:val="1"/>
      <w:numFmt w:val="upperRoman"/>
      <w:lvlText w:val="%2."/>
      <w:lvlJc w:val="left"/>
      <w:pPr>
        <w:ind w:left="1800" w:hanging="72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F4B5D6A"/>
    <w:multiLevelType w:val="multilevel"/>
    <w:tmpl w:val="BF9C7BE6"/>
    <w:lvl w:ilvl="0">
      <w:start w:val="1"/>
      <w:numFmt w:val="decimal"/>
      <w:lvlText w:val="%1."/>
      <w:lvlJc w:val="left"/>
      <w:pPr>
        <w:tabs>
          <w:tab w:val="num" w:pos="567"/>
        </w:tabs>
        <w:ind w:left="567" w:hanging="567"/>
      </w:pPr>
      <w:rPr>
        <w:rFonts w:ascii="Times New Roman" w:hAnsi="Times New Roman" w:cs="Times New Roman" w:hint="default"/>
        <w:b/>
        <w:i w:val="0"/>
        <w:sz w:val="22"/>
      </w:rPr>
    </w:lvl>
    <w:lvl w:ilvl="1">
      <w:start w:val="1"/>
      <w:numFmt w:val="decimal"/>
      <w:lvlText w:val="%1.%2"/>
      <w:lvlJc w:val="left"/>
      <w:pPr>
        <w:tabs>
          <w:tab w:val="num" w:pos="567"/>
        </w:tabs>
        <w:ind w:left="567" w:hanging="567"/>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Letter"/>
      <w:lvlText w:val="(%3)"/>
      <w:lvlJc w:val="left"/>
      <w:pPr>
        <w:tabs>
          <w:tab w:val="num" w:pos="992"/>
        </w:tabs>
        <w:ind w:left="992" w:hanging="425"/>
      </w:pPr>
      <w:rPr>
        <w:rFonts w:asciiTheme="majorBidi" w:hAnsiTheme="majorBidi" w:cstheme="majorBidi" w:hint="default"/>
      </w:rPr>
    </w:lvl>
    <w:lvl w:ilvl="3">
      <w:start w:val="1"/>
      <w:numFmt w:val="lowerRoman"/>
      <w:lvlText w:val="(%4)"/>
      <w:lvlJc w:val="left"/>
      <w:pPr>
        <w:tabs>
          <w:tab w:val="num" w:pos="1418"/>
        </w:tabs>
        <w:ind w:left="1418" w:hanging="426"/>
      </w:pPr>
    </w:lvl>
    <w:lvl w:ilvl="4">
      <w:start w:val="1"/>
      <w:numFmt w:val="lowerLetter"/>
      <w:lvlText w:val="%5."/>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7" w15:restartNumberingAfterBreak="0">
    <w:nsid w:val="6F7243EA"/>
    <w:multiLevelType w:val="hybridMultilevel"/>
    <w:tmpl w:val="CF5A53A0"/>
    <w:lvl w:ilvl="0" w:tplc="0405000F">
      <w:start w:val="1"/>
      <w:numFmt w:val="decimal"/>
      <w:lvlText w:val="%1."/>
      <w:lvlJc w:val="left"/>
      <w:pPr>
        <w:ind w:left="720" w:hanging="360"/>
      </w:pPr>
    </w:lvl>
    <w:lvl w:ilvl="1" w:tplc="B2BA33B0">
      <w:start w:val="1"/>
      <w:numFmt w:val="upperRoman"/>
      <w:lvlText w:val="%2."/>
      <w:lvlJc w:val="left"/>
      <w:pPr>
        <w:ind w:left="1800" w:hanging="72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7EE8533E"/>
    <w:multiLevelType w:val="hybridMultilevel"/>
    <w:tmpl w:val="24D8F754"/>
    <w:lvl w:ilvl="0" w:tplc="EA904952">
      <w:start w:val="1"/>
      <w:numFmt w:val="upperLetter"/>
      <w:pStyle w:val="Preambule"/>
      <w:lvlText w:val="(%1)"/>
      <w:lvlJc w:val="left"/>
      <w:pPr>
        <w:tabs>
          <w:tab w:val="num" w:pos="567"/>
        </w:tabs>
        <w:ind w:left="567" w:hanging="207"/>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1"/>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3B"/>
    <w:rsid w:val="0042170C"/>
    <w:rsid w:val="004F6A3B"/>
    <w:rsid w:val="0054037C"/>
    <w:rsid w:val="00543FAA"/>
    <w:rsid w:val="005A00FD"/>
    <w:rsid w:val="008506D5"/>
    <w:rsid w:val="0088099A"/>
    <w:rsid w:val="00886905"/>
    <w:rsid w:val="009A2054"/>
    <w:rsid w:val="00A87183"/>
    <w:rsid w:val="00AC616D"/>
    <w:rsid w:val="00C31768"/>
    <w:rsid w:val="00CA0050"/>
    <w:rsid w:val="00CF6E43"/>
    <w:rsid w:val="00F92F29"/>
    <w:rsid w:val="00FA2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E2A8"/>
  <w15:chartTrackingRefBased/>
  <w15:docId w15:val="{45E8D1D5-40D9-4933-AB78-D82F0B09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6A3B"/>
    <w:pPr>
      <w:spacing w:before="120" w:after="120" w:line="240" w:lineRule="auto"/>
      <w:jc w:val="both"/>
    </w:pPr>
    <w:rPr>
      <w:rFonts w:ascii="Times New Roman" w:eastAsiaTheme="minorEastAsia" w:hAnsi="Times New Roman" w:cs="Times New Roman"/>
      <w:szCs w:val="24"/>
    </w:rPr>
  </w:style>
  <w:style w:type="paragraph" w:styleId="Nadpis1">
    <w:name w:val="heading 1"/>
    <w:aliases w:val="_Nadpis 1,Hoofdstukkop,Section Heading,H1,h1,Základní kapitola,Článek,No numbers,HTA Überschrift 1,Lev 1,Vertragsgliederung 1,Article Heading,Heading 1 Char"/>
    <w:basedOn w:val="Normln"/>
    <w:next w:val="Zkladntextodsazen"/>
    <w:link w:val="Nadpis1Char"/>
    <w:uiPriority w:val="99"/>
    <w:qFormat/>
    <w:rsid w:val="00CF6E43"/>
    <w:pPr>
      <w:keepNext/>
      <w:numPr>
        <w:numId w:val="2"/>
      </w:numPr>
      <w:spacing w:before="240" w:after="200"/>
      <w:outlineLvl w:val="0"/>
    </w:pPr>
    <w:rPr>
      <w:b/>
      <w:szCs w:val="22"/>
    </w:rPr>
  </w:style>
  <w:style w:type="paragraph" w:styleId="Nadpis2">
    <w:name w:val="heading 2"/>
    <w:basedOn w:val="Nadpis1"/>
    <w:next w:val="Normln"/>
    <w:link w:val="Nadpis2Char"/>
    <w:qFormat/>
    <w:rsid w:val="00CF6E43"/>
    <w:pPr>
      <w:numPr>
        <w:ilvl w:val="1"/>
      </w:numPr>
      <w:outlineLvl w:val="1"/>
    </w:pPr>
  </w:style>
  <w:style w:type="paragraph" w:styleId="Nadpis3">
    <w:name w:val="heading 3"/>
    <w:basedOn w:val="Normln"/>
    <w:next w:val="Normln"/>
    <w:link w:val="Nadpis3Char"/>
    <w:qFormat/>
    <w:rsid w:val="00CF6E43"/>
    <w:pPr>
      <w:keepNext/>
      <w:spacing w:before="200"/>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F6E43"/>
  </w:style>
  <w:style w:type="character" w:customStyle="1" w:styleId="ZkladntextChar">
    <w:name w:val="Základní text Char"/>
    <w:basedOn w:val="Standardnpsmoodstavce"/>
    <w:link w:val="Zkladntext"/>
    <w:rsid w:val="00CF6E43"/>
    <w:rPr>
      <w:rFonts w:ascii="Arial" w:eastAsia="Times New Roman" w:hAnsi="Arial" w:cs="Times New Roman"/>
      <w:szCs w:val="20"/>
      <w:lang w:eastAsia="cs-CZ"/>
    </w:rPr>
  </w:style>
  <w:style w:type="paragraph" w:customStyle="1" w:styleId="Adresa">
    <w:name w:val="Adresa"/>
    <w:basedOn w:val="Zkladntext"/>
    <w:rsid w:val="00CF6E43"/>
    <w:pPr>
      <w:spacing w:after="80"/>
      <w:ind w:left="5103"/>
      <w:jc w:val="left"/>
    </w:pPr>
  </w:style>
  <w:style w:type="paragraph" w:customStyle="1" w:styleId="Adresa2">
    <w:name w:val="Adresa 2"/>
    <w:basedOn w:val="Adresa"/>
    <w:next w:val="Adresa"/>
    <w:rsid w:val="00CF6E43"/>
    <w:pPr>
      <w:pBdr>
        <w:bottom w:val="single" w:sz="4" w:space="6" w:color="auto"/>
      </w:pBdr>
      <w:spacing w:after="120"/>
    </w:pPr>
  </w:style>
  <w:style w:type="character" w:customStyle="1" w:styleId="Nadpis1Char">
    <w:name w:val="Nadpis 1 Char"/>
    <w:aliases w:val="_Nadpis 1 Char,Hoofdstukkop Char,Section Heading Char,H1 Char,h1 Char,Základní kapitola Char,Článek Char,No numbers Char,HTA Überschrift 1 Char,Lev 1 Char,Vertragsgliederung 1 Char,Article Heading Char,Heading 1 Char Char"/>
    <w:basedOn w:val="Standardnpsmoodstavce"/>
    <w:link w:val="Nadpis1"/>
    <w:uiPriority w:val="99"/>
    <w:rsid w:val="00CF6E43"/>
    <w:rPr>
      <w:rFonts w:ascii="Arial" w:eastAsia="Times New Roman" w:hAnsi="Arial" w:cs="Times New Roman"/>
      <w:b/>
      <w:lang w:eastAsia="cs-CZ"/>
    </w:rPr>
  </w:style>
  <w:style w:type="paragraph" w:styleId="Zkladntextodsazen">
    <w:name w:val="Body Text Indent"/>
    <w:basedOn w:val="Zkladntext"/>
    <w:link w:val="ZkladntextodsazenChar"/>
    <w:rsid w:val="00CF6E43"/>
    <w:pPr>
      <w:ind w:firstLine="567"/>
    </w:pPr>
  </w:style>
  <w:style w:type="character" w:customStyle="1" w:styleId="ZkladntextodsazenChar">
    <w:name w:val="Základní text odsazený Char"/>
    <w:basedOn w:val="Standardnpsmoodstavce"/>
    <w:link w:val="Zkladntextodsazen"/>
    <w:rsid w:val="00CF6E43"/>
    <w:rPr>
      <w:rFonts w:ascii="Arial" w:eastAsia="Times New Roman" w:hAnsi="Arial" w:cs="Times New Roman"/>
      <w:szCs w:val="20"/>
      <w:lang w:eastAsia="cs-CZ"/>
    </w:rPr>
  </w:style>
  <w:style w:type="character" w:customStyle="1" w:styleId="Nadpis2Char">
    <w:name w:val="Nadpis 2 Char"/>
    <w:basedOn w:val="Standardnpsmoodstavce"/>
    <w:link w:val="Nadpis2"/>
    <w:rsid w:val="00CF6E43"/>
    <w:rPr>
      <w:rFonts w:ascii="Arial" w:eastAsia="Times New Roman" w:hAnsi="Arial" w:cs="Times New Roman"/>
      <w:b/>
      <w:lang w:eastAsia="cs-CZ"/>
    </w:rPr>
  </w:style>
  <w:style w:type="character" w:customStyle="1" w:styleId="Nadpis3Char">
    <w:name w:val="Nadpis 3 Char"/>
    <w:basedOn w:val="Standardnpsmoodstavce"/>
    <w:link w:val="Nadpis3"/>
    <w:rsid w:val="00CF6E43"/>
    <w:rPr>
      <w:rFonts w:ascii="Arial" w:eastAsia="Times New Roman" w:hAnsi="Arial" w:cs="Times New Roman"/>
      <w:szCs w:val="20"/>
      <w:lang w:eastAsia="cs-CZ"/>
    </w:rPr>
  </w:style>
  <w:style w:type="paragraph" w:styleId="Podpis">
    <w:name w:val="Signature"/>
    <w:basedOn w:val="Zkladntext"/>
    <w:next w:val="Zkladntext"/>
    <w:link w:val="PodpisChar"/>
    <w:rsid w:val="00CF6E43"/>
    <w:pPr>
      <w:tabs>
        <w:tab w:val="center" w:pos="5670"/>
      </w:tabs>
      <w:spacing w:before="800"/>
      <w:jc w:val="left"/>
    </w:pPr>
  </w:style>
  <w:style w:type="character" w:customStyle="1" w:styleId="PodpisChar">
    <w:name w:val="Podpis Char"/>
    <w:basedOn w:val="Standardnpsmoodstavce"/>
    <w:link w:val="Podpis"/>
    <w:rsid w:val="00CF6E43"/>
    <w:rPr>
      <w:rFonts w:ascii="Arial" w:eastAsia="Times New Roman" w:hAnsi="Arial" w:cs="Times New Roman"/>
      <w:szCs w:val="20"/>
      <w:lang w:eastAsia="cs-CZ"/>
    </w:rPr>
  </w:style>
  <w:style w:type="paragraph" w:customStyle="1" w:styleId="Pedmt">
    <w:name w:val="Předmět"/>
    <w:basedOn w:val="Zkladntext"/>
    <w:next w:val="Zkladntext"/>
    <w:rsid w:val="00CF6E43"/>
    <w:pPr>
      <w:spacing w:after="360"/>
      <w:ind w:left="851" w:hanging="851"/>
      <w:jc w:val="left"/>
    </w:pPr>
    <w:rPr>
      <w:b/>
      <w:spacing w:val="10"/>
      <w:szCs w:val="22"/>
    </w:rPr>
  </w:style>
  <w:style w:type="paragraph" w:customStyle="1" w:styleId="Plohy">
    <w:name w:val="Přílohy"/>
    <w:basedOn w:val="Zkladntext"/>
    <w:rsid w:val="00CF6E43"/>
    <w:pPr>
      <w:tabs>
        <w:tab w:val="left" w:pos="1134"/>
        <w:tab w:val="left" w:pos="1418"/>
      </w:tabs>
      <w:spacing w:after="40"/>
    </w:pPr>
  </w:style>
  <w:style w:type="paragraph" w:styleId="Zhlav">
    <w:name w:val="header"/>
    <w:basedOn w:val="Normln"/>
    <w:link w:val="ZhlavChar"/>
    <w:rsid w:val="00CF6E43"/>
  </w:style>
  <w:style w:type="character" w:customStyle="1" w:styleId="ZhlavChar">
    <w:name w:val="Záhlaví Char"/>
    <w:basedOn w:val="Standardnpsmoodstavce"/>
    <w:link w:val="Zhlav"/>
    <w:rsid w:val="00CF6E43"/>
    <w:rPr>
      <w:rFonts w:ascii="Arial" w:eastAsia="Times New Roman" w:hAnsi="Arial" w:cs="Times New Roman"/>
      <w:szCs w:val="20"/>
      <w:lang w:eastAsia="cs-CZ"/>
    </w:rPr>
  </w:style>
  <w:style w:type="paragraph" w:styleId="Zpat">
    <w:name w:val="footer"/>
    <w:basedOn w:val="Normln"/>
    <w:link w:val="ZpatChar"/>
    <w:uiPriority w:val="99"/>
    <w:rsid w:val="00CF6E43"/>
    <w:pPr>
      <w:jc w:val="center"/>
    </w:pPr>
    <w:rPr>
      <w:sz w:val="20"/>
    </w:rPr>
  </w:style>
  <w:style w:type="character" w:customStyle="1" w:styleId="ZpatChar">
    <w:name w:val="Zápatí Char"/>
    <w:basedOn w:val="Standardnpsmoodstavce"/>
    <w:link w:val="Zpat"/>
    <w:uiPriority w:val="99"/>
    <w:rsid w:val="00CF6E43"/>
    <w:rPr>
      <w:rFonts w:ascii="Arial" w:eastAsia="Times New Roman" w:hAnsi="Arial" w:cs="Times New Roman"/>
      <w:sz w:val="20"/>
      <w:szCs w:val="20"/>
      <w:lang w:eastAsia="cs-CZ"/>
    </w:rPr>
  </w:style>
  <w:style w:type="paragraph" w:customStyle="1" w:styleId="Znaka">
    <w:name w:val="Značka"/>
    <w:basedOn w:val="Zkladntext"/>
    <w:next w:val="Adresa"/>
    <w:rsid w:val="00CF6E43"/>
    <w:rPr>
      <w:i/>
      <w:sz w:val="18"/>
      <w:szCs w:val="18"/>
    </w:rPr>
  </w:style>
  <w:style w:type="paragraph" w:customStyle="1" w:styleId="Clanek11">
    <w:name w:val="Clanek 1.1"/>
    <w:basedOn w:val="Nadpis2"/>
    <w:qFormat/>
    <w:rsid w:val="004F6A3B"/>
    <w:pPr>
      <w:keepNext w:val="0"/>
      <w:widowControl w:val="0"/>
      <w:numPr>
        <w:ilvl w:val="0"/>
        <w:numId w:val="0"/>
      </w:numPr>
      <w:tabs>
        <w:tab w:val="num" w:pos="567"/>
      </w:tabs>
      <w:spacing w:before="120" w:after="120"/>
      <w:ind w:left="567" w:hanging="567"/>
    </w:pPr>
    <w:rPr>
      <w:rFonts w:cs="Arial"/>
      <w:b w:val="0"/>
      <w:bCs/>
      <w:iCs/>
      <w:szCs w:val="28"/>
    </w:rPr>
  </w:style>
  <w:style w:type="paragraph" w:customStyle="1" w:styleId="Claneka">
    <w:name w:val="Clanek (a)"/>
    <w:basedOn w:val="Normln"/>
    <w:uiPriority w:val="99"/>
    <w:qFormat/>
    <w:rsid w:val="004F6A3B"/>
    <w:pPr>
      <w:keepLines/>
      <w:widowControl w:val="0"/>
      <w:tabs>
        <w:tab w:val="num" w:pos="992"/>
      </w:tabs>
      <w:ind w:left="992" w:hanging="425"/>
    </w:pPr>
    <w:rPr>
      <w:rFonts w:asciiTheme="minorHAnsi" w:eastAsiaTheme="minorHAnsi" w:hAnsiTheme="minorHAnsi" w:cstheme="minorBidi"/>
    </w:rPr>
  </w:style>
  <w:style w:type="paragraph" w:customStyle="1" w:styleId="Claneki">
    <w:name w:val="Clanek (i)"/>
    <w:basedOn w:val="Normln"/>
    <w:qFormat/>
    <w:rsid w:val="004F6A3B"/>
    <w:pPr>
      <w:keepNext/>
      <w:tabs>
        <w:tab w:val="num" w:pos="1418"/>
      </w:tabs>
      <w:ind w:left="1418" w:hanging="426"/>
    </w:pPr>
    <w:rPr>
      <w:color w:val="000000"/>
    </w:rPr>
  </w:style>
  <w:style w:type="paragraph" w:customStyle="1" w:styleId="Text11">
    <w:name w:val="Text 1.1"/>
    <w:basedOn w:val="Normln"/>
    <w:link w:val="Text11Char"/>
    <w:qFormat/>
    <w:rsid w:val="004F6A3B"/>
    <w:pPr>
      <w:keepNext/>
      <w:ind w:left="561"/>
    </w:pPr>
    <w:rPr>
      <w:szCs w:val="20"/>
    </w:rPr>
  </w:style>
  <w:style w:type="paragraph" w:customStyle="1" w:styleId="Preambule">
    <w:name w:val="Preambule"/>
    <w:basedOn w:val="Normln"/>
    <w:qFormat/>
    <w:rsid w:val="004F6A3B"/>
    <w:pPr>
      <w:widowControl w:val="0"/>
      <w:numPr>
        <w:numId w:val="4"/>
      </w:numPr>
    </w:pPr>
  </w:style>
  <w:style w:type="paragraph" w:styleId="Odstavecseseznamem">
    <w:name w:val="List Paragraph"/>
    <w:basedOn w:val="Normln"/>
    <w:uiPriority w:val="34"/>
    <w:qFormat/>
    <w:rsid w:val="004F6A3B"/>
    <w:pPr>
      <w:ind w:left="720"/>
      <w:contextualSpacing/>
    </w:pPr>
  </w:style>
  <w:style w:type="paragraph" w:customStyle="1" w:styleId="BodyText21">
    <w:name w:val="Body Text 21"/>
    <w:basedOn w:val="Normln"/>
    <w:uiPriority w:val="99"/>
    <w:rsid w:val="004F6A3B"/>
    <w:pPr>
      <w:widowControl w:val="0"/>
      <w:spacing w:before="0" w:after="0"/>
      <w:jc w:val="center"/>
    </w:pPr>
    <w:rPr>
      <w:rFonts w:eastAsia="Times New Roman"/>
      <w:b/>
      <w:bCs/>
      <w:szCs w:val="22"/>
      <w:lang w:eastAsia="cs-CZ"/>
    </w:rPr>
  </w:style>
  <w:style w:type="character" w:customStyle="1" w:styleId="Text11Char">
    <w:name w:val="Text 1.1 Char"/>
    <w:basedOn w:val="Standardnpsmoodstavce"/>
    <w:link w:val="Text11"/>
    <w:locked/>
    <w:rsid w:val="004F6A3B"/>
    <w:rPr>
      <w:rFonts w:ascii="Times New Roman" w:eastAsiaTheme="minorEastAsia" w:hAnsi="Times New Roman" w:cs="Times New Roman"/>
      <w:szCs w:val="20"/>
    </w:rPr>
  </w:style>
  <w:style w:type="paragraph" w:styleId="Textbubliny">
    <w:name w:val="Balloon Text"/>
    <w:basedOn w:val="Normln"/>
    <w:link w:val="TextbublinyChar"/>
    <w:uiPriority w:val="99"/>
    <w:semiHidden/>
    <w:unhideWhenUsed/>
    <w:rsid w:val="00FA2D79"/>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A2D7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1345</Words>
  <Characters>7938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Pekárek (Felix a spol.)</dc:creator>
  <cp:keywords/>
  <dc:description/>
  <cp:lastModifiedBy>Dagmar Kovacova</cp:lastModifiedBy>
  <cp:revision>3</cp:revision>
  <cp:lastPrinted>2022-01-24T12:07:00Z</cp:lastPrinted>
  <dcterms:created xsi:type="dcterms:W3CDTF">2022-01-24T14:25:00Z</dcterms:created>
  <dcterms:modified xsi:type="dcterms:W3CDTF">2022-01-24T14:29:00Z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etorDocumentId">
    <vt:lpwstr>3b022396-fad2-42b8-a713-e058163c0dd4</vt:lpwstr>
  </property>
  <property fmtid="{D5CDD505-2E9C-101B-9397-08002B2CF9AE}" pid="3" name="PraetorDocumentNumber">
    <vt:lpwstr>72462712</vt:lpwstr>
  </property>
  <property fmtid="{D5CDD505-2E9C-101B-9397-08002B2CF9AE}" pid="4" name="PraetorDocumentBarCode">
    <vt:lpwstr>72462712</vt:lpwstr>
  </property>
</Properties>
</file>