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1760" w:line="240" w:lineRule="auto"/>
        <w:ind w:left="660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Smlouva číslo: 1677-2021-14152 Č.j.: MZE-63255/2021-14152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Ministerstvo zemědělství</w:t>
        <w:br/>
        <w:t>Národní agentura pro zemědělský výzkum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poskytnutí podpory na řešení projektu výzkumu</w:t>
        <w:br/>
        <w:t>a vývoje Programu aplikovaného výzkumu Ministerstva</w:t>
        <w:br/>
        <w:t>zemědělství na období 2017-2025, ZEMĚ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POSKYTNUTÍ PODPORY NA ŘEŠENÍ</w:t>
        <w:br/>
        <w:t>PROJEKTU QK22010298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 - Ministerstvo zemědělství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Těšnov 65/17, 110 00 Praha 1 - Nové Město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00020478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ČNB, centrální pobočka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10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Pavel Sekáč, Ph.D., náměstek pro řízení Sekce pro fondy EU, vědu, výzkum a vzdělávání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„poskytovatel“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v.v.i.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VVI - Veřejná výzkumná instituce (zákon č. 341/2005 Sb., o veřejných výzkumných institucích) - Veřejná výzkumná instituce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Drnovská 507/73, 161 00 Praha 6 - 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Česká národní banka, Na Příkopě 28,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 94-13423061/0710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RNDr. Mikuláš Madaras, Ph.D.,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„hlavní příjemce“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 na zaklade výsledku veřejné soutěže vyhlášené poskytovatelem v rámci Programu ZEMĚ, uzavřeli podle ustanovení § 9 odst. 1 až 3 a podle ustanovení § 3 odst. 2 písm. b.) zakona C. 130/2002 Sb., o podpore výzkumu, experimentálního vývoje a inovací z verejných prostredku a o zmene nekterých souvisejících zakonu (zakon o podpore výzkumu, experimentalního vývoje a inovací), ve zn^ní pozdejsích predpisu (dale jen „zakon c. 130/2002 Sb.“), podle ustanovení § 161 odst. 1 zakona c. 500/2004 Sb., správní rad, ve zn^ní pozdejsích predpisu a v souladu s ustanovením § 17 zakona c. 218/2000 Sb., o rozpoctových pravidlech a o zmene nekterých souvisejících zakonu (rozpoctova pravidla), ve zn^ní pozdejsích predpisu (dale jen „zakon c. 218/2000 Sb., o rozpoctových pravidlech“), dale v souladu s cl. 25 Nanzení Komise (EU) c. 651/2014 ze dne 17. cervna 2014, kterým se v souladu s clanký 107 a 108 Smlouvý prohlasují urcite kategorie podporý za slucitelne s vnitrním trhem, Urední věstník EU L 187/1 ze dne 26. 6. 2014 ve zn^ní Nanzení Komise (EU) 2017/1084 ze dne 14. cervna 2017, Urední vestník EU L 156 ze dne 20. 6. 2017 (dale jen „GBER“), v souladu se znaním Ramce pro statní podporu výzkumu, vývoje a inovací, Urední vestník EU ze dne 27. 6. 2014, 2014/C 198/01 (dále jen „Rámec“)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70" w:line="26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poskytnutí podpory</w:t>
        <w:br/>
        <w:t>na řešení projektu QK22010298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5" w:name="bookmark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účel Smlouvy a předmět řešení projektu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after="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3" w:val="left"/>
        </w:tabs>
        <w:bidi w:val="0"/>
        <w:spacing w:before="0" w:after="0" w:line="240" w:lineRule="auto"/>
        <w:ind w:left="122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podpora projektu výzkumu a vývoje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QK22010298 „Aplikace nového přístupu Genomic selection ve šlechtění pšenice“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„projekt“),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jehož předmětem je Cílem projektu je aplikace přístupu Genomic selection ve šlechtění pšenice na kombinovanou rezistenci ke rzím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3" w:val="left"/>
        </w:tabs>
        <w:bidi w:val="0"/>
        <w:spacing w:before="0" w:after="0" w:line="240" w:lineRule="auto"/>
        <w:ind w:left="122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závazek poskytovatele poskytnout hlavnímu příjemci finanční podporu formou dotace za účelem jejího výužití na dosažení deklarovaných výsledků a cílů projektu a současně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3" w:val="left"/>
        </w:tabs>
        <w:bidi w:val="0"/>
        <w:spacing w:before="0" w:after="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zavazek hlavního príjemce resit projekt a použít tuto podporu pouze na rešení projektu v souladu s touto Smlouvou, s pravidly pouzití podpory dle § 8 zákona č. 130/2002 Sb., v souladu s Programem aplikovaného výzkumu Ministerstva zemědělství na období 2017-2025, ZEMĚ (dale jen „Program ZEMĚ“) a se Zavaznymi parametry projektu a Zadávací dokumentací pro veřejnou soutěž vyhlášenou v roce 2021.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3" w:val="left"/>
        </w:tabs>
        <w:bidi w:val="0"/>
        <w:spacing w:before="0" w:after="526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Predmet, cíle a predpokladane vysledky projektu jsou stanoveny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Závazných parametrech řešení projektu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které jsou schvalenym navrhem projektu ve smyslu § 9 odst. 2 zákona o podpore vyzkumu, experimentalního vyvoje a inovací, které tvon pnlohu teto Smlouvy (dale jen „Závazné parametry projektu“) jako její nedílnou součást.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7" w:name="bookmark7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za řešení projektu a další účastníci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7" w:val="left"/>
        </w:tabs>
        <w:bidi w:val="0"/>
        <w:spacing w:before="0" w:after="526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- clen nebo clenka résitelskeho tymu hlavního príjemce, osoba odpovedna hlavnímu příjemci za odbornou úroveň projektu a další účastníci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jsou uvedeni v Zavaznych parametrech projektu. Řešitel musí mít minimální úvazek na řešení projektu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rok.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9" w:name="bookmark9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zahájení a ukončení řešení projektu</w:t>
      </w:r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7" w:val="left"/>
        </w:tabs>
        <w:bidi w:val="0"/>
        <w:spacing w:before="0" w:after="22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Resením projektu se rozumí cinnost hlavního príjemce nebo dalsích ucastníku vedoucí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dosažení cílů a výsledků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zahájení řešení a ukončení projektu jsou stanoveny v Závazných parametrech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Řešení projektu nesmí být zahájeno před termínem zahájení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42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Řešení projektu musí být ukončeno nejpozdeji do termínu ukončeni projektu. V tomto termínu musí být zároveň dosaženo cílů a výsledků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1" w:name="bookmark1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  <w:bookmarkEnd w:id="1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projektu</w:t>
      </w:r>
      <w:bookmarkEnd w:id="12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46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Uznane náklady projektu jsou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15 275 000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patnáct milionu dve ste sedmdesát pet tisíč korun českýčh).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46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Poskytovatel poskytne hlavnímu príjemci podporu az do vyse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12 743 750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dvanáct milionů sedm set čtyřicet tři tisíc sedm set padesát korun českých).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46" w:val="left"/>
        </w:tabs>
        <w:bidi w:val="0"/>
        <w:spacing w:before="0" w:after="506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Intenzita podpory nesmí presahnout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85 %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osmdesat pet procent) z celková uznanych nákladů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3" w:name="bookmark13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  <w:bookmarkEnd w:id="1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Poskytování podpory</w:t>
      </w:r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poskytne hlavnímu príjemci podporu na resení projektu na zaklade teto Smlouvy a za podmínek v ní uvedených, a to včetně podpory určené k využití dalšími účastníky.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poskytne podporu, vcetne podpory urcene dalsím ucastníkum, prevodem z vydajoveho uctu poskytovatele na bankovní ucet hlavního príjemce uvedeny v záhlaví teto Smlouvy.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 poskytnout podporu jednorazove na kazdy príslusny rok resení ve vysi uvedene v Zavaznych parametrech resení projektu, a to ve lhůit^ch stanoveních zakonem č. 130/2002 Sb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si v prípade zavedení rozpoctoveho provizoria nebo v prípade, ze dojde k regulaci cerp^ní státního rozpoctu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dan^m roce resení, vyhrazuje právo zmenit vysi plateb nebo podporu nevyplatit v souladu s regulací a rozpočtovými pravidly.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prípade, kdy hlavní príjemce nebo dalsí ucastník/ucastníci porusí jakykoliv zavazek vyplyvající z teto smlouvy, je poskytovatel oprávnen na zaklade písemného upozornění pozastavit hlavnímu príjemci poskytovaní podpory, a to az do doby, nez dojde ze strany hlavního príjemce nebo dalsího ucastníka/dalsích ucastníku ke splnění vsech povinností vyplyvajících z teto smlouvy. Ustanovením tohoto odstavce nejsou dotcena dalsí práva poskytovatele stanovena Smlouvou. Hlavnímu príjemci nebo dalsímu ucastníku/dalsím ucastníkum nenalezí náhrada skody ci jiné ujmy, která jim vznikne v dusledku prerusení nebo zastavení poskytování podpory.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5" w:name="bookmark1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6</w:t>
      </w:r>
      <w:bookmarkEnd w:id="1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povinnosti hlavního příjemce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je povinen dosáhnout cílu a předpokládaných výsledků projektu stanovených v Závazných parametrech projektu, případně zajistit jejich dosažení dalšími účastníky.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je oprávnen poskytnutou podporu na zaklade Smlouvy převést dalším účastníkům ve výsi stanoveni v Zavazných parametrech projektu, a to za podmínek, ktere zajistí naplnění účelu a podmínek této Smlouvý.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Podporu lze použít výhradne na uhradu nebo pokrýtí zpusobilých nakladu projektu ve smýslu ustanovení § 2 odst. 2 písm. k) zákona c. 130/2002 Sb. uvedených v Zavazných parametrech projektu, Zadávací dokumentaci pro verejnou soutez výhlasenou v roce 2021 a schváleních poskýtovatelem ve veřejné soutěži ve výzkumu, vývoji a inovacích.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Podpora nesmí být pouzita na uhradu nakladu na porízení dlouhodobého hmotného a nehmotného majetku. Dlouhodobým hmotným majetkem se rozumí hmotný majetek, jehoz doba pouzitelnosti je delsí nez jeden rok a vstupní cena prevýsuje castku 80 000 Kč Dlouhodobým nehmotným majetkem se rozumí nehmotný majetek, jehoz doba pouzitelnosti je delší než jeden rok a vstupní cena převýšuje částku 60 000 Kč.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povinen postupovat podle teto Smlouvý a odpovída za pouzití podporý, jakoz i za postup pri resení projektu v souladu s podmínkami teto Smlouvý ze straný resitele a dalších účastníků.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nebo dalsí ucastník/ucastníci, kten vstoupí do likvidace, nebo je proti nim vedeno rízení dle zákona c. 182/2006 Sb., o tipadku a zpťisobech jeho resení (insolvencní zakon), ve zn^ní pozdejsích predpisu, nebo býl vuci nim výdan dosud nesplacený inkasní príkaz po predchazejícím rozhodnutí Komise prohlasujícím, ze podpora je protiprávní a neslucitelna s vnitrním trhem (cl. 1 odst. 4, písm. a) GBER), nebo se stanou podnikem v obtízích ve smýslu cl. 2 odst. 18 GBER, jsou povinni o teto skutecnosti bez zbýtecneho odkladu poskýtovatele písemně informovat.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a dalsí ucastník/ucastníci, podílející se na resení projektu, jsou povinni písemne informovat poskýtovatele o zm^n^ch, která se dotýkají nebo mohou dotýkat plnení podmínek výplývajících z teto Smlouvý, nebo ktere bý mohlý mít vliv na resení projektu, zejména zm^ný dotýkající se jeho právní subjektivitý (osobnosti), udaju k prokazaní zpusobilosti hlavního príjemce, zm^ný v rásitelskem týmu, právod financních prostrádku mezi jednotlivými schváleními polozkami uznaných nakladu, atd., a to s dostatecným casovým prádstihem prád provedením taková zmený, nejpozdeji vsak do 7 (slový: sedmi) kalendarních dnů ode dne, kdý se o takové skutečnosti hlavní příjemce a další účastník/účastníci dozvěděli.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a dalsí ucastník/ucastníci jsou povinni po celou dobu resení projektu splňovat podmínký stanoveni Zadavací dokumentací pro verejnou soutez výhlasenou v roce 2021, která je dostupná na webových stránkách poskýtovatele.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dale povinen postupovat podle Vseobecných podmínek (platných pro verejnou soutez výhlasenou v roce 2021), která jsou dostupne na webových stránkach poskýtovatele (dale jen „Vseobecne podmínký“). Hlavní príjemce prohlasuje, ze jsou mu týto Vseobecne podmínký znamý a je si vedom toho, ze z nich výplývají práva a zavazký pro obe smluvní straný. Obsahuje-li Smlouva ťipravu odlisnou od Vseobecných podmínek ci Zavazných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30" w:line="240" w:lineRule="auto"/>
        <w:ind w:left="60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parametru řešení projektu, použijí se přednostně; ustanovení Smlouvy, dale ustanovení Všeobecných podmínek a dále Závazných parametrů řešení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7" w:name="bookmark17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7</w:t>
      </w:r>
      <w:bookmarkEnd w:id="1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Vykazování způsobilých výdajů projektu</w:t>
      </w:r>
      <w:bookmarkEnd w:id="18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4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Vydaj, ktery lze uznat za vydaj projektu musí skutecne vzniknout, byt vynaložen, zaznamenán na bankovních účtech Ci v pokladní hlavního pnjemce finanční podpory nebo dalsích účastníků, byt identifikovatelný a kontrolovatelný a musí byt dolozitelny originaly ucetních dokladu ve smyslu § 11 zakona c. 563/1991 Sb., o ucetnictví, ve zn^ní pozdejsích predpisu, resp. originaly jinych dokladu ekvivalentní prukazní hodnoty. Kazdy original relevantního ucetního dokladu je hlavní pnjemce povinen oznacit (razítko, text apod.), ze se jedna o vydaj financovaný z projektu QK22010298.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47" w:val="left"/>
        </w:tabs>
        <w:bidi w:val="0"/>
        <w:spacing w:before="0" w:after="526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Podrobnosti vykazovaní a vyuctovaní nakladu projektu jsou stanoveny Vseobecnymi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22" w:line="240" w:lineRule="auto"/>
        <w:ind w:left="0" w:right="0" w:firstLine="0"/>
        <w:jc w:val="left"/>
      </w:pPr>
      <w:bookmarkStart w:id="19" w:name="bookmark19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8</w:t>
      </w:r>
      <w:bookmarkEnd w:id="1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Zveřejňování výsledků a práva k výsledkům projektu</w:t>
      </w:r>
      <w:bookmarkEnd w:id="20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4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pnjemce a dalsí úicastník/úicastníci jsou povinni zverejnovat vysledky vyzkumneho resení v souladu s Programem ZEMĚ. Za splnění teto povinnosti ze strany dalsích uicastníkui projektu odpovídá hlavní příjemce.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47" w:val="left"/>
        </w:tabs>
        <w:bidi w:val="0"/>
        <w:spacing w:before="0" w:after="53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Prístupova práva k vysledkum a vyuzití vysledku z resení projektu je upraveno Vseobecnymi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1" w:name="bookmark2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9</w:t>
      </w:r>
      <w:bookmarkEnd w:id="2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Smlouvy a projektu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muze byt dopl^ov^na, upravována a m^n^na pouze písemnymi po sobe císlovanymi dodatky k této Smlouvě, podepsanými oprávněnými zástupci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Zavazne parametry projektu lze m^nit na zaklade zadosti hlavního pnjemce provedením zmeny v informacním systému ISTA a dorucením novych Zavaznych parametru hlavnímu příjemci.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a Zavazne parametry projektu lze m^nit pouze v oduvodnenych pnpadech. Nad rámec Programu ZEMĚ a nad rámec vysledku verejne souteze na projekty ve vyzkumu, vyvoji a inovacích v rámci Programu ZEMĚ lze vsak Smlouvu m^nit jen z duvodu uvedenych v cl. 5 odst. 5.4.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1" w:val="left"/>
        </w:tabs>
        <w:bidi w:val="0"/>
        <w:spacing w:before="0" w:after="20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Písemny n^vrh na zmeny ke Smlouvá nebo zadost o zmenu Zavaznych parametru projektu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musí být doručeny poskytovateli v dostatečném předstihu před očekávanou realizací žádané změny tak, aby mohl být navrh poskytovatelem naležitě posouzen a v případě jeho akceptace mohla byt zmena provedena, zpravidla do 60 kalendářních dnu před stanoveném a poskytovatelem schvalenym termínem ukoncení řešení projektu, nebo neprodleni po te, co se hlavní příjemce o nutnosti zm^ny dozvedel. Tímto ustanovením není dotcena zakonna povinnost podávat poskytovateli informace o zmen^ch, ktere se dotykají jeho právní subjektivity (osobnosti), udaju k prokazaní způisobilosti, nebo která by mohly mít vliv na řešení projektu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zmena spodv^ ve zmene ci snízení Zavaznych parametru projektu, je poskytovatel oprávněn poměrně snížit částku poskytnuté podpory.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Písemny navrh smlouvy, jakoz i informace o zm^n^ch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podava dalsí ucastník/ucastníci poskytovateli prostřednictvím hlavního příjemce. V případe porusení povinnosti informovat poskytovatele o zm^n^ch projektu ma poskytovatel právo postupovat v souladu s cl. 5 odst. 5.5.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 zmeny nevyzadující vyhotoveni dodatku ke Smlouve, podlehající pouze oznamovací povinnosti poskytovateli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, patří zejmena: administrativní zmeny (zmeny kontaktních udaju), zmena sídla a nazvu organizace, zmena císla uctu, zmena statutárního organu, a jakákoliv dalsí zmena, která nema vliv na řesení projektu, anebo která se nedotyka právní subjektivity (právní osobnosti) hlavního příjemce a dalšího účastníka/dalších účastníků.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Ústní dohody nejsou pro smluvní strany závazné.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3" w:name="bookmark23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10</w:t>
      </w:r>
      <w:bookmarkEnd w:id="2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Kontroly</w:t>
      </w:r>
      <w:bookmarkEnd w:id="24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je oprávnen provadet kontrolu plnění podmínek teto Smlouvy v souladu s ustanovením § 13 zakona c. 130/2002 Sb., dale podle zákona c. 320/2001 Sb., o financní kontrole ve veřejná správe a o zmene nekterych z^konůi (zakon o financní kontrole), ve zn^ní pozdejsích předpisu, podle zakona c. 255/2012 Sb., o kontrole (kontrolní rád), ve zn^ní pozdějších předpisů, a s právními normami s tím souvisejícími.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a další účastník/účastníci jsou povinni umožnit poskytovateli provést kontrolu ve smyslu ustanovení 10.1 tohoto článku.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5" w:val="left"/>
        </w:tabs>
        <w:bidi w:val="0"/>
        <w:spacing w:before="0" w:after="5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Dalsí podmínky provadení kontrol poskytovatelem u hlavního příjemce a dalsího účastníka/dalších účastníků jsou stanoveny Všeobecnými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5" w:name="bookmark2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11</w:t>
      </w:r>
      <w:bookmarkEnd w:id="2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Vyúčtování a finanční vypořádání dotace</w:t>
      </w:r>
      <w:bookmarkEnd w:id="26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5" w:val="left"/>
        </w:tabs>
        <w:bidi w:val="0"/>
        <w:spacing w:before="0" w:after="10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provede za kazdy rok řesení projektu vyuctovaní nakladu a vydaju vynalozenych na řesení projektu, vcetne nakladu a vydaju vynalozenych dalsími ucastníky a vyuctovaní poskytnuté podpory s poskytovatelem, která předlozí spolu s prábeznou zprávou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04" w:val="left"/>
        </w:tabs>
        <w:bidi w:val="0"/>
        <w:spacing w:before="0" w:after="0" w:line="240" w:lineRule="auto"/>
        <w:ind w:left="600" w:right="0" w:hanging="600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vyúčtování nákladů a výdajů projektu, zahrnující finanční vypořádání za celé; období řešení projektu, předloží hlavní příjemce společně se závěrečnou zprávou projektu.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04" w:val="left"/>
        </w:tabs>
        <w:bidi w:val="0"/>
        <w:spacing w:before="0" w:after="5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vypořádáni dotace poskytnuté na základé této Smlouvy se řídí zákonem č. 218/2000 Sb., o rozpočtovýčh pravidlečh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jeho prováděčími předpisy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197" w:line="240" w:lineRule="auto"/>
        <w:ind w:left="0" w:right="0" w:firstLine="0"/>
        <w:jc w:val="left"/>
      </w:pPr>
      <w:bookmarkStart w:id="27" w:name="bookmark27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12</w:t>
      </w:r>
      <w:bookmarkEnd w:id="2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Důsledky porušení podmínek Smlouvy</w:t>
      </w:r>
      <w:bookmarkEnd w:id="28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04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Porušení podmínek teto Smlouvy hlavním příjemcem je neoprávnenym použitím, poskytnutích prostredkU podle ustanovení § 3 písm. e) zákona c. 218/2000 Sb., o rozpoctovych pravidlech, které je porusením rozpoctove kázne podle ustanovení § 44 odst. 1 písm. b), případně písm. j) téhož zákona a bude řešeno podle tohoto zákona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04" w:val="left"/>
        </w:tabs>
        <w:bidi w:val="0"/>
        <w:spacing w:before="0" w:after="55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tato Smlouva nebo zákon zakládá povinnost vrácení poskytnutích prostredkU, nebo pokud na základe teto Smlouvy poskytovatel pozaduje vrácení poskytnutích prostredkU a hlavní príjemce tuto povinnost nesplní, dopustí se zadrzení poskytnutích prostredkU podle ustanovení § 3 písm. f) zákona c. 218/2000 Sb., o rozpoctovych pravidlech, které je porusením rozpoctove kázne podle ustanovení § 44 odst. 1 písm. b), téhoz zákona a bude réseno podle tohoto zákona.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197" w:line="240" w:lineRule="auto"/>
        <w:ind w:left="0" w:right="0" w:firstLine="0"/>
        <w:jc w:val="left"/>
      </w:pPr>
      <w:bookmarkStart w:id="29" w:name="bookmark29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13</w:t>
      </w:r>
      <w:bookmarkEnd w:id="2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Používané právo</w:t>
      </w:r>
      <w:bookmarkEnd w:id="30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04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řídí právem České republiky.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04" w:val="left"/>
        </w:tabs>
        <w:bidi w:val="0"/>
        <w:spacing w:before="0" w:after="506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Vztahy, práva a povinnosti smluvních stran neupraveni touto Smlouvou nebo jejími prílohami se rídí zákonem c. 130/2002 Sb., zákonem c. 218/2000 Sb., o rozpoctovych pravidlech, zákonem c. 500/2004 Sb., správní rád, ve zn^ní pozdejsích prédpisU, zákonem c. 89/2012 Sb., občanský zákoník, Rámcem a GBER.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197" w:line="240" w:lineRule="auto"/>
        <w:ind w:left="0" w:right="0" w:firstLine="0"/>
        <w:jc w:val="left"/>
      </w:pPr>
      <w:bookmarkStart w:id="31" w:name="bookmark3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14</w:t>
      </w:r>
      <w:bookmarkEnd w:id="3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32"/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04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prohlasuje a podpisem teto Smlouvy sveho zástupce nebo zástupcU stvrzuje, ze jím uvedene Udaje, na jejichz základe je uzavréna tato Smlouva a má byt poskytnuta podpora poskytovatelem, jsou pravdivé a odpovídají skutečnosti.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04" w:val="left"/>
        </w:tabs>
        <w:bidi w:val="0"/>
        <w:spacing w:before="0" w:after="22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 GBER zajistí poskytovatel zápis UdajU o rezimech podpory, jednotlivých podporách a Udaje o jejich príjemcích do souhrnného elektronického systému veréjne podpory. Hlavní príjemce a dalsí Ucastník/Ucastníci poskytnou nezbytnou soucinnost a souhlasí se zveréjnéním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údajů v tomto systému.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7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svým podpisem níže potvrzuje, Ze souhlasí s tím, aby obraz Smlouvy včetně; jejich příloh a případných dodatku a metadata k teto Smlouve byla uveřejněna v registru smluv v souladu se zákonem č. 340/2015 Sb., o zvláštních podmínkách účinnosti nekterých smluv, uverejnovaní těchto smluv a o registru smluv (zakon o registru smluv), ve zn^ní pozdejsích predpisu. Smluvní strany se dohodly, ze podklady dle predchozí vety odesle za ucelem jejich zverejnení správci registru poskytovatel, tím není dotceno pravo hlavního pnjemce k jejich odeslání.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7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 uzavrení Smlouvy o ucasti na resení projektu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hlavní pnjemce potvrzuje, ze uverejní obraz Smlouvy vcetne jejích pnloh a prípadnych dodatku a metadata k teto Smlouvá v registru smluv v souladu se zákonem c. 340/2015 Sb., o zvlastních podmínkách ucinnosti nekterych smluv, uverejnovaní těchto smluv a o registru smluv (zakon o registru smluv), ve zn^ní pozdejsích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7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bude obema smluvními stranami podepsana elektronicky, nedohodnou-li smluvní strany jinak.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7" w:val="left"/>
        </w:tabs>
        <w:bidi w:val="0"/>
        <w:spacing w:before="0" w:after="5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příloha „Závazné parametry řešení projektu“.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33" w:name="bookmark33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15</w:t>
      </w:r>
      <w:bookmarkEnd w:id="3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80" w:line="269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 Smlouvy</w:t>
      </w:r>
      <w:bookmarkEnd w:id="34"/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7" w:val="left"/>
        </w:tabs>
        <w:bidi w:val="0"/>
        <w:spacing w:before="0" w:after="530" w:line="269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nabyva ucinnosti dnem jejího zverejnení v Registru smluv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pozbyva ucinnosti splnením zavazku a povinností smluvních stran z ní vyplyvajících. Tím nejsou dotceny povinnosti vyplývající z právních předpisů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35" w:name="bookmark3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POZNÁMKY</w:t>
      </w:r>
      <w:bookmarkEnd w:id="35"/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1 písm. e)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2 odst. 2 písm. j)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10 odst. 1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25 odst. 8 zákona č. 218/2000 Sb. o rozpočtových pravidlech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8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8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4 bod 2 písm. f) Všeobecných podmínek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75 zákona č. 218/2000 Sb., o rozpočtových pravidlech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Vyhlaska c. 367/2015 Sb., o zasadach a lhůtách financního vyporadaní vztahu se statním rozpoctem, statními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finančními aktivy a Národním fondem (vyhláška o finančním vypořádání), ve znění pozdějších předpisů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14 odst. 1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5 Všeobecných podmínek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6 odst. 1 zákona č. 340/2015 Sb., o registru smluv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9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Např. § 44 a § 44a zákona č. 218/2000 Sb., o rozpočtových pravidlech, zákon č. 320/2000 Sb., o finanční kontrole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57" w:line="240" w:lineRule="auto"/>
        <w:ind w:left="0" w:right="0" w:firstLine="0"/>
        <w:jc w:val="left"/>
      </w:pPr>
      <w:bookmarkStart w:id="36" w:name="bookmark36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PODPISY SMLUVNÍCH STRAN</w:t>
      </w:r>
      <w:bookmarkEnd w:id="3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Poskytovatel:</w:t>
      </w:r>
      <w:bookmarkEnd w:id="37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781" w:val="left"/>
        </w:tabs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Praze, dne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Sekáč, Ph.D.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náměstek pro řízení Sekce pro fondy EU,</w:t>
        <w:br/>
        <w:t>vědu, výzkum a vzdělání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příjemce:</w:t>
      </w:r>
      <w:bookmarkEnd w:id="38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227" w:val="left"/>
          <w:tab w:leader="dot" w:pos="4781" w:val="left"/>
          <w:tab w:leader="dot" w:pos="9504" w:val="left"/>
        </w:tabs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, dne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RNDr. Mikuláš Madaras, Ph.D., ředitel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2818" w:left="1116" w:right="1111" w:bottom="185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5294630</wp:posOffset>
              </wp:positionH>
              <wp:positionV relativeFrom="page">
                <wp:posOffset>9872980</wp:posOffset>
              </wp:positionV>
              <wp:extent cx="1563370" cy="3689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63370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F-052-MZE, verze 2, revize 211112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16.89999999999998pt;margin-top:777.39999999999998pt;width:123.09999999999999pt;height:2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F-052-MZE, verze 2, revize 211112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695325</wp:posOffset>
              </wp:positionH>
              <wp:positionV relativeFrom="page">
                <wp:posOffset>859790</wp:posOffset>
              </wp:positionV>
              <wp:extent cx="548640" cy="3778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86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377825"/>
                                <wp:docPr id="2" name="Picutre 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75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1280795</wp:posOffset>
              </wp:positionV>
              <wp:extent cx="1329055" cy="793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4.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6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7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8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9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10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11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12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13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14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15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Nadpis #1_"/>
    <w:basedOn w:val="DefaultParagraphFont"/>
    <w:link w:val="Style11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14">
    <w:name w:val="Nadpis #2_"/>
    <w:basedOn w:val="DefaultParagraphFont"/>
    <w:link w:val="Style13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">
    <w:name w:val="Nadpis #3_"/>
    <w:basedOn w:val="DefaultParagraphFont"/>
    <w:link w:val="Style1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jc w:val="both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760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420"/>
      <w:ind w:left="100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FFFFFF"/>
      <w:spacing w:after="240"/>
      <w:outlineLvl w:val="2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ind w:left="3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