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výměnu osvětlovacích těles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4"/>
                    </w:rPr>
                    <w:t xml:space="preserve">00-00-2023 -201                   VESNA A.S.  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JINDŘIŠSKÁ 2023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  <w:r>
                    <w:rPr>
                      <w:rStyle w:val="Text4"/>
                    </w:rPr>
                    <w:br/>
                    <w:t xml:space="preserve">Jméno:  VESNA A.S.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28.02.2022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96000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21.01.2022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2021/00132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ELREG Pardubice s.r.o.</w:t>
                  </w:r>
                  <w:r>
                    <w:rPr>
                      <w:rStyle w:val="Text4"/>
                    </w:rPr>
                    <w:br/>
                    <w:t xml:space="preserve">Arnošta z Pardubic 2771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2022-01-21T11:18:09Z</dcterms:created>
  <dcterms:modified xsi:type="dcterms:W3CDTF">2022-01-21T11:18:09Z</dcterms:modified>
  <cp:category/>
</cp:coreProperties>
</file>