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83" w:rsidRDefault="002C7C8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12700</wp:posOffset>
            </wp:positionV>
            <wp:extent cx="1195070" cy="4940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19507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298450" distL="64135" distR="0" simplePos="0" relativeHeight="251657728" behindDoc="1" locked="0" layoutInCell="1" allowOverlap="1">
            <wp:simplePos x="0" y="0"/>
            <wp:positionH relativeFrom="page">
              <wp:posOffset>2144395</wp:posOffset>
            </wp:positionH>
            <wp:positionV relativeFrom="paragraph">
              <wp:posOffset>57785</wp:posOffset>
            </wp:positionV>
            <wp:extent cx="4456430" cy="10985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45643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E83" w:rsidRDefault="00BB0E83">
      <w:pPr>
        <w:spacing w:after="404" w:line="14" w:lineRule="exact"/>
      </w:pPr>
    </w:p>
    <w:p w:rsidR="00BB0E83" w:rsidRDefault="00BB0E83">
      <w:pPr>
        <w:spacing w:line="14" w:lineRule="exact"/>
        <w:sectPr w:rsidR="00BB0E83">
          <w:pgSz w:w="11900" w:h="16840"/>
          <w:pgMar w:top="1422" w:right="1083" w:bottom="526" w:left="1049" w:header="994" w:footer="98" w:gutter="0"/>
          <w:pgNumType w:start="1"/>
          <w:cols w:space="720"/>
          <w:noEndnote/>
          <w:docGrid w:linePitch="360"/>
        </w:sectPr>
      </w:pPr>
    </w:p>
    <w:p w:rsidR="00BB0E83" w:rsidRDefault="00BB0E83">
      <w:pPr>
        <w:spacing w:before="63" w:after="63" w:line="240" w:lineRule="exact"/>
        <w:rPr>
          <w:sz w:val="19"/>
          <w:szCs w:val="19"/>
        </w:rPr>
      </w:pPr>
    </w:p>
    <w:p w:rsidR="00BB0E83" w:rsidRDefault="00BB0E83">
      <w:pPr>
        <w:spacing w:line="14" w:lineRule="exact"/>
        <w:sectPr w:rsidR="00BB0E83">
          <w:type w:val="continuous"/>
          <w:pgSz w:w="11900" w:h="16840"/>
          <w:pgMar w:top="1422" w:right="0" w:bottom="526" w:left="0" w:header="0" w:footer="3" w:gutter="0"/>
          <w:cols w:space="720"/>
          <w:noEndnote/>
          <w:docGrid w:linePitch="360"/>
        </w:sectPr>
      </w:pPr>
    </w:p>
    <w:p w:rsidR="00BB0E83" w:rsidRPr="002C7C8F" w:rsidRDefault="002C7C8F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sz w:val="20"/>
          <w:szCs w:val="20"/>
        </w:rPr>
      </w:pPr>
      <w:bookmarkStart w:id="0" w:name="bookmark0"/>
      <w:r w:rsidRPr="002C7C8F">
        <w:rPr>
          <w:sz w:val="20"/>
          <w:szCs w:val="20"/>
        </w:rPr>
        <w:t>Akadamie řemesel Praha - Střední škola technická</w:t>
      </w:r>
      <w:bookmarkEnd w:id="0"/>
    </w:p>
    <w:p w:rsidR="00BB0E83" w:rsidRPr="002C7C8F" w:rsidRDefault="002C7C8F" w:rsidP="002C7C8F">
      <w:pPr>
        <w:pStyle w:val="Nadpis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right="-57"/>
        <w:rPr>
          <w:sz w:val="20"/>
          <w:szCs w:val="20"/>
        </w:rPr>
      </w:pPr>
      <w:bookmarkStart w:id="1" w:name="bookmark1"/>
      <w:r w:rsidRPr="002C7C8F">
        <w:rPr>
          <w:sz w:val="20"/>
          <w:szCs w:val="20"/>
        </w:rPr>
        <w:t>Zelený pruh 1294, Praha 4 - Krč pro: xxxxxxxxxxxxxx</w:t>
      </w:r>
      <w:bookmarkEnd w:id="1"/>
      <w:r w:rsidRPr="002C7C8F">
        <w:rPr>
          <w:sz w:val="20"/>
          <w:szCs w:val="20"/>
        </w:rPr>
        <w:t xml:space="preserve"> </w:t>
      </w:r>
    </w:p>
    <w:p w:rsidR="00BB0E83" w:rsidRPr="002C7C8F" w:rsidRDefault="009B31C3" w:rsidP="002C7C8F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40" w:line="360" w:lineRule="auto"/>
        <w:ind w:left="5103" w:right="-57"/>
        <w:jc w:val="left"/>
        <w:rPr>
          <w:sz w:val="18"/>
          <w:szCs w:val="18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144780</wp:posOffset>
                </wp:positionV>
                <wp:extent cx="2063115" cy="205740"/>
                <wp:effectExtent l="3810" t="3810" r="0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83" w:rsidRPr="002C7C8F" w:rsidRDefault="002C7C8F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2C7C8F">
                              <w:rPr>
                                <w:sz w:val="16"/>
                                <w:szCs w:val="16"/>
                              </w:rPr>
                              <w:t>ref.č. 0014 - 22 - K Praha 18. 01.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.8pt;margin-top:11.4pt;width:162.45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vvrg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" filled="f" stroked="f">
                <v:textbox style="mso-fit-shape-to-text:t" inset="0,0,0,0">
                  <w:txbxContent>
                    <w:p w:rsidR="00BB0E83" w:rsidRPr="002C7C8F" w:rsidRDefault="002C7C8F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 w:rsidRPr="002C7C8F">
                        <w:rPr>
                          <w:sz w:val="16"/>
                          <w:szCs w:val="16"/>
                        </w:rPr>
                        <w:t>ref.č. 0014 - 22 - K Praha 18. 01. 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C7C8F" w:rsidRPr="002C7C8F">
        <w:rPr>
          <w:b w:val="0"/>
          <w:bCs w:val="0"/>
          <w:sz w:val="18"/>
          <w:szCs w:val="18"/>
        </w:rPr>
        <w:t xml:space="preserve">                        gsm: </w:t>
      </w:r>
      <w:r w:rsidR="002C7C8F">
        <w:rPr>
          <w:b w:val="0"/>
          <w:bCs w:val="0"/>
          <w:sz w:val="18"/>
          <w:szCs w:val="18"/>
        </w:rPr>
        <w:t>xxxxxxxxxxxxx</w:t>
      </w:r>
    </w:p>
    <w:p w:rsidR="00BB0E83" w:rsidRPr="002C7C8F" w:rsidRDefault="002C7C8F">
      <w:pPr>
        <w:pStyle w:val="Nadpis10"/>
        <w:keepNext/>
        <w:keepLines/>
        <w:pBdr>
          <w:top w:val="single" w:sz="0" w:space="0" w:color="000090"/>
          <w:left w:val="single" w:sz="0" w:space="0" w:color="000090"/>
          <w:bottom w:val="single" w:sz="0" w:space="0" w:color="000090"/>
          <w:right w:val="single" w:sz="0" w:space="0" w:color="000090"/>
        </w:pBdr>
        <w:shd w:val="clear" w:color="auto" w:fill="000090"/>
        <w:rPr>
          <w:sz w:val="18"/>
          <w:szCs w:val="18"/>
        </w:rPr>
      </w:pPr>
      <w:bookmarkStart w:id="2" w:name="bookmark2"/>
      <w:r w:rsidRPr="002C7C8F">
        <w:rPr>
          <w:color w:val="FFFFFF"/>
          <w:sz w:val="18"/>
          <w:szCs w:val="18"/>
        </w:rPr>
        <w:t>Cenová kalkulace - výměna oken a balkonových dveří</w:t>
      </w:r>
      <w:bookmarkEnd w:id="2"/>
    </w:p>
    <w:p w:rsidR="00BB0E83" w:rsidRPr="002C7C8F" w:rsidRDefault="002C7C8F">
      <w:pPr>
        <w:pStyle w:val="Nadpis20"/>
        <w:keepNext/>
        <w:keepLines/>
        <w:shd w:val="clear" w:color="auto" w:fill="auto"/>
      </w:pPr>
      <w:bookmarkStart w:id="3" w:name="bookmark3"/>
      <w:r w:rsidRPr="002C7C8F">
        <w:t>Výměna oken a balkonových dveří</w:t>
      </w:r>
      <w:bookmarkEnd w:id="3"/>
    </w:p>
    <w:p w:rsidR="00BB0E83" w:rsidRPr="002C7C8F" w:rsidRDefault="002C7C8F">
      <w:pPr>
        <w:pStyle w:val="Titulektabulky0"/>
        <w:shd w:val="clear" w:color="auto" w:fill="auto"/>
        <w:spacing w:line="240" w:lineRule="auto"/>
        <w:ind w:left="5074"/>
        <w:rPr>
          <w:sz w:val="18"/>
          <w:szCs w:val="18"/>
        </w:rPr>
      </w:pPr>
      <w:r w:rsidRPr="002C7C8F">
        <w:rPr>
          <w:color w:val="000000"/>
          <w:sz w:val="18"/>
          <w:szCs w:val="18"/>
        </w:rPr>
        <w:t>množství /</w:t>
      </w:r>
    </w:p>
    <w:p w:rsidR="00BB0E83" w:rsidRPr="002C7C8F" w:rsidRDefault="002C7C8F">
      <w:pPr>
        <w:pStyle w:val="Titulektabulky0"/>
        <w:shd w:val="clear" w:color="auto" w:fill="auto"/>
        <w:spacing w:line="240" w:lineRule="auto"/>
        <w:ind w:left="5074"/>
        <w:rPr>
          <w:sz w:val="18"/>
          <w:szCs w:val="18"/>
        </w:rPr>
      </w:pPr>
      <w:r w:rsidRPr="002C7C8F">
        <w:rPr>
          <w:color w:val="000000"/>
          <w:sz w:val="18"/>
          <w:szCs w:val="18"/>
        </w:rPr>
        <w:t>jednotková cena m2/bm kusy cena 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3398"/>
        <w:gridCol w:w="2218"/>
      </w:tblGrid>
      <w:tr w:rsidR="00BB0E83" w:rsidRPr="002C7C8F">
        <w:trPr>
          <w:trHeight w:hRule="exact" w:val="173"/>
          <w:jc w:val="center"/>
        </w:trPr>
        <w:tc>
          <w:tcPr>
            <w:tcW w:w="9686" w:type="dxa"/>
            <w:gridSpan w:val="3"/>
            <w:shd w:val="clear" w:color="auto" w:fill="FFFFFF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  <w:r w:rsidRPr="002C7C8F">
              <w:rPr>
                <w:b/>
                <w:bCs/>
                <w:sz w:val="18"/>
                <w:szCs w:val="18"/>
              </w:rPr>
              <w:t>Pos. 1 Demontáž stávajících oken a dveří</w:t>
            </w:r>
          </w:p>
        </w:tc>
      </w:tr>
      <w:tr w:rsidR="00BB0E83" w:rsidRPr="002C7C8F">
        <w:trPr>
          <w:trHeight w:hRule="exact" w:val="648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:rsidR="00BB0E83" w:rsidRPr="002C7C8F" w:rsidRDefault="002C7C8F">
            <w:pPr>
              <w:pStyle w:val="Jin0"/>
              <w:shd w:val="clear" w:color="auto" w:fill="auto"/>
              <w:ind w:left="44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Demontáž stávajících oken a dveří</w:t>
            </w:r>
          </w:p>
          <w:p w:rsidR="00BB0E83" w:rsidRPr="002C7C8F" w:rsidRDefault="002C7C8F">
            <w:pPr>
              <w:pStyle w:val="Jin0"/>
              <w:shd w:val="clear" w:color="auto" w:fill="auto"/>
              <w:ind w:left="44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1000 x 1000 mm 2 ks</w:t>
            </w:r>
          </w:p>
          <w:p w:rsidR="00BB0E83" w:rsidRPr="002C7C8F" w:rsidRDefault="002C7C8F">
            <w:pPr>
              <w:pStyle w:val="Jin0"/>
              <w:shd w:val="clear" w:color="auto" w:fill="auto"/>
              <w:ind w:left="44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700 x 2100 mm 2 ks</w:t>
            </w:r>
          </w:p>
          <w:p w:rsidR="00BB0E83" w:rsidRPr="002C7C8F" w:rsidRDefault="002C7C8F">
            <w:pPr>
              <w:pStyle w:val="Jin0"/>
              <w:shd w:val="clear" w:color="auto" w:fill="auto"/>
              <w:ind w:left="44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2000 x 1000 mm 1 ks</w:t>
            </w:r>
          </w:p>
        </w:tc>
        <w:tc>
          <w:tcPr>
            <w:tcW w:w="3398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tabs>
                <w:tab w:val="left" w:pos="2421"/>
                <w:tab w:val="left" w:pos="2862"/>
              </w:tabs>
              <w:ind w:left="1240"/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BB0E83" w:rsidRPr="002C7C8F">
        <w:trPr>
          <w:trHeight w:hRule="exact" w:val="235"/>
          <w:jc w:val="center"/>
        </w:trPr>
        <w:tc>
          <w:tcPr>
            <w:tcW w:w="4070" w:type="dxa"/>
            <w:shd w:val="clear" w:color="auto" w:fill="FFFFFF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44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Ekologická likvidace a odvoz do sběrného dvora</w:t>
            </w:r>
          </w:p>
        </w:tc>
        <w:tc>
          <w:tcPr>
            <w:tcW w:w="3398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tabs>
                <w:tab w:val="left" w:pos="2416"/>
                <w:tab w:val="left" w:pos="2858"/>
              </w:tabs>
              <w:ind w:left="1240"/>
              <w:jc w:val="both"/>
              <w:rPr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</w:tbl>
    <w:p w:rsidR="00BB0E83" w:rsidRPr="002C7C8F" w:rsidRDefault="00BB0E83">
      <w:pPr>
        <w:spacing w:after="226" w:line="14" w:lineRule="exact"/>
        <w:rPr>
          <w:sz w:val="18"/>
          <w:szCs w:val="18"/>
        </w:rPr>
      </w:pPr>
    </w:p>
    <w:p w:rsidR="00BB0E83" w:rsidRPr="002C7C8F" w:rsidRDefault="00BB0E83">
      <w:pPr>
        <w:spacing w:line="14" w:lineRule="exact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89"/>
        <w:gridCol w:w="1546"/>
        <w:gridCol w:w="1709"/>
      </w:tblGrid>
      <w:tr w:rsidR="00BB0E83" w:rsidRPr="002C7C8F">
        <w:trPr>
          <w:trHeight w:hRule="exact" w:val="168"/>
          <w:jc w:val="center"/>
        </w:trPr>
        <w:tc>
          <w:tcPr>
            <w:tcW w:w="9721" w:type="dxa"/>
            <w:gridSpan w:val="4"/>
            <w:shd w:val="clear" w:color="auto" w:fill="FFFFFF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  <w:r w:rsidRPr="002C7C8F">
              <w:rPr>
                <w:b/>
                <w:bCs/>
                <w:sz w:val="18"/>
                <w:szCs w:val="18"/>
              </w:rPr>
              <w:t>Pos. 2 Dodávka nových plastových oken a dveří</w:t>
            </w:r>
          </w:p>
        </w:tc>
      </w:tr>
      <w:tr w:rsidR="00BB0E83" w:rsidRPr="002C7C8F" w:rsidTr="002C7C8F">
        <w:trPr>
          <w:trHeight w:hRule="exact" w:val="449"/>
          <w:jc w:val="center"/>
        </w:trPr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</w:tcPr>
          <w:p w:rsidR="002C7C8F" w:rsidRDefault="002C7C8F">
            <w:pPr>
              <w:pStyle w:val="Jin0"/>
              <w:shd w:val="clear" w:color="auto" w:fill="auto"/>
              <w:spacing w:line="302" w:lineRule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 xml:space="preserve">Sedmikomorový profil Horizont PS penta plus - barva bílá kování celoobvodové Winkhaus </w:t>
            </w:r>
          </w:p>
          <w:p w:rsidR="002C7C8F" w:rsidRDefault="002C7C8F">
            <w:pPr>
              <w:pStyle w:val="Jin0"/>
              <w:shd w:val="clear" w:color="auto" w:fill="auto"/>
              <w:spacing w:line="302" w:lineRule="auto"/>
              <w:ind w:left="480"/>
              <w:rPr>
                <w:sz w:val="18"/>
                <w:szCs w:val="18"/>
              </w:rPr>
            </w:pPr>
          </w:p>
          <w:p w:rsidR="00BB0E83" w:rsidRPr="002C7C8F" w:rsidRDefault="002C7C8F">
            <w:pPr>
              <w:pStyle w:val="Jin0"/>
              <w:shd w:val="clear" w:color="auto" w:fill="auto"/>
              <w:spacing w:line="302" w:lineRule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activPilot</w:t>
            </w:r>
          </w:p>
          <w:p w:rsidR="00BB0E83" w:rsidRPr="002C7C8F" w:rsidRDefault="002C7C8F">
            <w:pPr>
              <w:pStyle w:val="Jin0"/>
              <w:shd w:val="clear" w:color="auto" w:fill="auto"/>
              <w:spacing w:line="302" w:lineRule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Izolační dvojsklo</w:t>
            </w:r>
          </w:p>
          <w:p w:rsidR="00BB0E83" w:rsidRPr="002C7C8F" w:rsidRDefault="002C7C8F">
            <w:pPr>
              <w:pStyle w:val="Jin0"/>
              <w:shd w:val="clear" w:color="auto" w:fill="auto"/>
              <w:spacing w:line="302" w:lineRule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Okno s balkonovými dveřmi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 w:right="520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BB0E83" w:rsidRPr="002C7C8F" w:rsidTr="002C7C8F">
        <w:trPr>
          <w:trHeight w:hRule="exact" w:val="277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BB0E83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dvoukřídlé okno</w:t>
            </w:r>
          </w:p>
          <w:p w:rsidR="002C7C8F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</w:p>
          <w:p w:rsidR="002C7C8F" w:rsidRPr="002C7C8F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 w:right="520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BB0E83" w:rsidRPr="002C7C8F">
        <w:trPr>
          <w:trHeight w:hRule="exact" w:val="149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Parapety vnitřní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 w:right="520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BB0E83" w:rsidRPr="002C7C8F">
        <w:trPr>
          <w:trHeight w:hRule="exact" w:val="288"/>
          <w:jc w:val="center"/>
        </w:trPr>
        <w:tc>
          <w:tcPr>
            <w:tcW w:w="4277" w:type="dxa"/>
            <w:shd w:val="clear" w:color="auto" w:fill="FFFFFF"/>
          </w:tcPr>
          <w:p w:rsidR="00BB0E83" w:rsidRPr="002C7C8F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Parapety vnější</w:t>
            </w:r>
          </w:p>
        </w:tc>
        <w:tc>
          <w:tcPr>
            <w:tcW w:w="2189" w:type="dxa"/>
            <w:shd w:val="clear" w:color="auto" w:fill="FFFFFF"/>
          </w:tcPr>
          <w:p w:rsidR="00BB0E83" w:rsidRPr="002C7C8F" w:rsidRDefault="00BB0E83">
            <w:pPr>
              <w:pStyle w:val="Jin0"/>
              <w:shd w:val="clear" w:color="auto" w:fill="auto"/>
              <w:ind w:left="0" w:right="520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BB0E83" w:rsidRPr="002C7C8F">
        <w:trPr>
          <w:trHeight w:hRule="exact" w:val="302"/>
          <w:jc w:val="center"/>
        </w:trPr>
        <w:tc>
          <w:tcPr>
            <w:tcW w:w="4277" w:type="dxa"/>
            <w:shd w:val="clear" w:color="auto" w:fill="FFFFFF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Montáž oken a dveří, drobný spojovací mateiál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 w:right="520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/>
            <w:vAlign w:val="bottom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</w:tbl>
    <w:p w:rsidR="00BB0E83" w:rsidRPr="002C7C8F" w:rsidRDefault="00BB0E83">
      <w:pPr>
        <w:spacing w:after="246" w:line="14" w:lineRule="exact"/>
        <w:rPr>
          <w:sz w:val="18"/>
          <w:szCs w:val="18"/>
        </w:rPr>
      </w:pPr>
    </w:p>
    <w:p w:rsidR="00BB0E83" w:rsidRPr="002C7C8F" w:rsidRDefault="00BB0E83">
      <w:pPr>
        <w:spacing w:line="14" w:lineRule="exact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3144"/>
        <w:gridCol w:w="2222"/>
      </w:tblGrid>
      <w:tr w:rsidR="00BB0E83" w:rsidRPr="002C7C8F">
        <w:trPr>
          <w:trHeight w:hRule="exact" w:val="154"/>
          <w:jc w:val="center"/>
        </w:trPr>
        <w:tc>
          <w:tcPr>
            <w:tcW w:w="9720" w:type="dxa"/>
            <w:gridSpan w:val="3"/>
            <w:shd w:val="clear" w:color="auto" w:fill="FFFFFF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  <w:r w:rsidRPr="002C7C8F">
              <w:rPr>
                <w:b/>
                <w:bCs/>
                <w:sz w:val="18"/>
                <w:szCs w:val="18"/>
              </w:rPr>
              <w:t>Pos. 3 Zaměření</w:t>
            </w:r>
          </w:p>
        </w:tc>
      </w:tr>
      <w:tr w:rsidR="00BB0E83" w:rsidRPr="002C7C8F">
        <w:trPr>
          <w:trHeight w:hRule="exact" w:val="408"/>
          <w:jc w:val="center"/>
        </w:trPr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:rsidR="00BB0E83" w:rsidRPr="002C7C8F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Zaměření, doprava na zaměření a výkresová dokumentace</w:t>
            </w:r>
          </w:p>
        </w:tc>
        <w:tc>
          <w:tcPr>
            <w:tcW w:w="3144" w:type="dxa"/>
            <w:shd w:val="clear" w:color="auto" w:fill="FFFFFF"/>
          </w:tcPr>
          <w:p w:rsidR="00BB0E83" w:rsidRPr="002C7C8F" w:rsidRDefault="00BB0E83">
            <w:pPr>
              <w:pStyle w:val="Jin0"/>
              <w:shd w:val="clear" w:color="auto" w:fill="auto"/>
              <w:tabs>
                <w:tab w:val="left" w:pos="2161"/>
                <w:tab w:val="left" w:pos="2602"/>
              </w:tabs>
              <w:ind w:left="980"/>
              <w:jc w:val="both"/>
              <w:rPr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FFFFFF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BB0E83" w:rsidRPr="002C7C8F">
        <w:trPr>
          <w:trHeight w:hRule="exact" w:val="168"/>
          <w:jc w:val="center"/>
        </w:trPr>
        <w:tc>
          <w:tcPr>
            <w:tcW w:w="9720" w:type="dxa"/>
            <w:gridSpan w:val="3"/>
            <w:shd w:val="clear" w:color="auto" w:fill="FFFFFF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0"/>
              <w:rPr>
                <w:sz w:val="18"/>
                <w:szCs w:val="18"/>
              </w:rPr>
            </w:pPr>
            <w:r w:rsidRPr="002C7C8F">
              <w:rPr>
                <w:b/>
                <w:bCs/>
                <w:sz w:val="18"/>
                <w:szCs w:val="18"/>
              </w:rPr>
              <w:t>Pos. 4 Dopravapo Praze</w:t>
            </w:r>
          </w:p>
        </w:tc>
      </w:tr>
      <w:tr w:rsidR="00BB0E83" w:rsidRPr="002C7C8F">
        <w:trPr>
          <w:trHeight w:hRule="exact" w:val="173"/>
          <w:jc w:val="center"/>
        </w:trPr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:rsidR="00BB0E83" w:rsidRPr="002C7C8F" w:rsidRDefault="002C7C8F">
            <w:pPr>
              <w:pStyle w:val="Jin0"/>
              <w:shd w:val="clear" w:color="auto" w:fill="auto"/>
              <w:ind w:left="480"/>
              <w:rPr>
                <w:sz w:val="18"/>
                <w:szCs w:val="18"/>
              </w:rPr>
            </w:pPr>
            <w:r w:rsidRPr="002C7C8F">
              <w:rPr>
                <w:sz w:val="18"/>
                <w:szCs w:val="18"/>
              </w:rPr>
              <w:t>Doprava osob a přesun materiálu na stavbu</w:t>
            </w:r>
          </w:p>
        </w:tc>
        <w:tc>
          <w:tcPr>
            <w:tcW w:w="3144" w:type="dxa"/>
            <w:shd w:val="clear" w:color="auto" w:fill="FFFFFF"/>
          </w:tcPr>
          <w:p w:rsidR="00BB0E83" w:rsidRPr="002C7C8F" w:rsidRDefault="00BB0E83">
            <w:pPr>
              <w:pStyle w:val="Jin0"/>
              <w:shd w:val="clear" w:color="auto" w:fill="auto"/>
              <w:tabs>
                <w:tab w:val="left" w:pos="2156"/>
                <w:tab w:val="left" w:pos="2598"/>
              </w:tabs>
              <w:ind w:left="980"/>
              <w:jc w:val="both"/>
              <w:rPr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FFFFFF"/>
          </w:tcPr>
          <w:p w:rsidR="00BB0E83" w:rsidRPr="002C7C8F" w:rsidRDefault="00BB0E83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</w:p>
        </w:tc>
      </w:tr>
    </w:tbl>
    <w:p w:rsidR="00BB0E83" w:rsidRPr="002C7C8F" w:rsidRDefault="00BB0E83">
      <w:pPr>
        <w:spacing w:after="766" w:line="14" w:lineRule="exact"/>
        <w:rPr>
          <w:sz w:val="18"/>
          <w:szCs w:val="18"/>
        </w:rPr>
      </w:pPr>
    </w:p>
    <w:p w:rsidR="00BB0E83" w:rsidRPr="002C7C8F" w:rsidRDefault="00BB0E83">
      <w:pPr>
        <w:spacing w:line="14" w:lineRule="exact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0"/>
        <w:gridCol w:w="2582"/>
      </w:tblGrid>
      <w:tr w:rsidR="00BB0E83" w:rsidRPr="002C7C8F">
        <w:trPr>
          <w:trHeight w:hRule="exact" w:val="994"/>
          <w:jc w:val="center"/>
        </w:trPr>
        <w:tc>
          <w:tcPr>
            <w:tcW w:w="7090" w:type="dxa"/>
            <w:shd w:val="clear" w:color="auto" w:fill="000090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spacing w:after="60"/>
              <w:ind w:left="460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FF"/>
                <w:sz w:val="18"/>
                <w:szCs w:val="18"/>
              </w:rPr>
              <w:t>Cena celkem za výměnu oken a balkonových dveří</w:t>
            </w:r>
          </w:p>
          <w:p w:rsidR="00BB0E83" w:rsidRPr="002C7C8F" w:rsidRDefault="002C7C8F">
            <w:pPr>
              <w:pStyle w:val="Jin0"/>
              <w:shd w:val="clear" w:color="auto" w:fill="auto"/>
              <w:ind w:left="460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FF"/>
                <w:sz w:val="18"/>
                <w:szCs w:val="18"/>
              </w:rPr>
              <w:t>Akademie řemesel Praha - Střední škola technická</w:t>
            </w:r>
          </w:p>
        </w:tc>
        <w:tc>
          <w:tcPr>
            <w:tcW w:w="2582" w:type="dxa"/>
            <w:shd w:val="clear" w:color="auto" w:fill="000090"/>
            <w:vAlign w:val="center"/>
          </w:tcPr>
          <w:p w:rsidR="00BB0E83" w:rsidRPr="002C7C8F" w:rsidRDefault="002C7C8F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FF"/>
                <w:sz w:val="18"/>
                <w:szCs w:val="18"/>
              </w:rPr>
              <w:t>79 823,00 Kč</w:t>
            </w:r>
          </w:p>
        </w:tc>
      </w:tr>
      <w:tr w:rsidR="00BB0E83" w:rsidRPr="002C7C8F">
        <w:trPr>
          <w:trHeight w:hRule="exact" w:val="648"/>
          <w:jc w:val="center"/>
        </w:trPr>
        <w:tc>
          <w:tcPr>
            <w:tcW w:w="7090" w:type="dxa"/>
            <w:shd w:val="clear" w:color="auto" w:fill="000090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460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FF"/>
                <w:sz w:val="18"/>
                <w:szCs w:val="18"/>
              </w:rPr>
              <w:t>Sleva pro klienta 10%</w:t>
            </w:r>
          </w:p>
        </w:tc>
        <w:tc>
          <w:tcPr>
            <w:tcW w:w="2582" w:type="dxa"/>
            <w:shd w:val="clear" w:color="auto" w:fill="000090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FF"/>
                <w:sz w:val="18"/>
                <w:szCs w:val="18"/>
              </w:rPr>
              <w:t>7 982,30 Kč</w:t>
            </w:r>
          </w:p>
        </w:tc>
      </w:tr>
      <w:tr w:rsidR="00BB0E83" w:rsidRPr="002C7C8F">
        <w:trPr>
          <w:trHeight w:hRule="exact" w:val="581"/>
          <w:jc w:val="center"/>
        </w:trPr>
        <w:tc>
          <w:tcPr>
            <w:tcW w:w="7090" w:type="dxa"/>
            <w:shd w:val="clear" w:color="auto" w:fill="000090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460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00"/>
                <w:sz w:val="18"/>
                <w:szCs w:val="18"/>
              </w:rPr>
              <w:t>Cena celkem po slevě</w:t>
            </w:r>
          </w:p>
        </w:tc>
        <w:tc>
          <w:tcPr>
            <w:tcW w:w="2582" w:type="dxa"/>
            <w:shd w:val="clear" w:color="auto" w:fill="000090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0"/>
              <w:jc w:val="right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00"/>
                <w:sz w:val="18"/>
                <w:szCs w:val="18"/>
              </w:rPr>
              <w:t>71 840,70 Kč</w:t>
            </w:r>
          </w:p>
        </w:tc>
      </w:tr>
      <w:tr w:rsidR="00BB0E83" w:rsidRPr="002C7C8F">
        <w:trPr>
          <w:trHeight w:hRule="exact" w:val="288"/>
          <w:jc w:val="center"/>
        </w:trPr>
        <w:tc>
          <w:tcPr>
            <w:tcW w:w="7090" w:type="dxa"/>
            <w:shd w:val="clear" w:color="auto" w:fill="000090"/>
            <w:vAlign w:val="bottom"/>
          </w:tcPr>
          <w:p w:rsidR="00BB0E83" w:rsidRPr="002C7C8F" w:rsidRDefault="002C7C8F">
            <w:pPr>
              <w:pStyle w:val="Jin0"/>
              <w:shd w:val="clear" w:color="auto" w:fill="auto"/>
              <w:ind w:left="460"/>
              <w:rPr>
                <w:sz w:val="18"/>
                <w:szCs w:val="18"/>
              </w:rPr>
            </w:pPr>
            <w:r w:rsidRPr="002C7C8F">
              <w:rPr>
                <w:b/>
                <w:bCs/>
                <w:color w:val="FFFFFF"/>
                <w:sz w:val="18"/>
                <w:szCs w:val="18"/>
              </w:rPr>
              <w:t>Cena je účtována bez DPH, DPH bude účtováno dle platných předpisů ČR</w:t>
            </w:r>
          </w:p>
        </w:tc>
        <w:tc>
          <w:tcPr>
            <w:tcW w:w="2582" w:type="dxa"/>
            <w:shd w:val="clear" w:color="auto" w:fill="000090"/>
          </w:tcPr>
          <w:p w:rsidR="00BB0E83" w:rsidRPr="002C7C8F" w:rsidRDefault="00BB0E83">
            <w:pPr>
              <w:rPr>
                <w:sz w:val="18"/>
                <w:szCs w:val="18"/>
              </w:rPr>
            </w:pPr>
          </w:p>
        </w:tc>
      </w:tr>
    </w:tbl>
    <w:p w:rsidR="00BB0E83" w:rsidRPr="002C7C8F" w:rsidRDefault="002C7C8F">
      <w:pPr>
        <w:pStyle w:val="Titulektabulky0"/>
        <w:shd w:val="clear" w:color="auto" w:fill="auto"/>
        <w:spacing w:line="317" w:lineRule="auto"/>
        <w:ind w:left="10"/>
        <w:rPr>
          <w:sz w:val="18"/>
          <w:szCs w:val="18"/>
        </w:rPr>
      </w:pPr>
      <w:r w:rsidRPr="002C7C8F">
        <w:rPr>
          <w:sz w:val="18"/>
          <w:szCs w:val="18"/>
        </w:rPr>
        <w:t>Platnost nabídky 90 kalendářních dnů. Po té je nutné CN aktualizovat, stejně jako při změně rozměrů nebo počtů skel.</w:t>
      </w:r>
    </w:p>
    <w:p w:rsidR="00BB0E83" w:rsidRPr="002C7C8F" w:rsidRDefault="00BB0E83">
      <w:pPr>
        <w:spacing w:after="86" w:line="14" w:lineRule="exact"/>
        <w:rPr>
          <w:sz w:val="18"/>
          <w:szCs w:val="18"/>
        </w:rPr>
      </w:pPr>
    </w:p>
    <w:p w:rsidR="00BB0E83" w:rsidRPr="002C7C8F" w:rsidRDefault="002C7C8F">
      <w:pPr>
        <w:pStyle w:val="Zkladntext1"/>
        <w:shd w:val="clear" w:color="auto" w:fill="auto"/>
        <w:spacing w:after="940"/>
        <w:ind w:right="3320"/>
        <w:rPr>
          <w:sz w:val="18"/>
          <w:szCs w:val="18"/>
        </w:rPr>
      </w:pPr>
      <w:r w:rsidRPr="002C7C8F">
        <w:rPr>
          <w:sz w:val="18"/>
          <w:szCs w:val="18"/>
        </w:rPr>
        <w:t>Tato cenová nabídka nemusí být definitivní. Případné změny v zadávacích podmínkách anebo jiná technická upřesnění mohou vést ke změně cenové nabídky. Práce provedené nad rámec uvedené cenové nabídky nejsou její součástí a budou oceněny samostatně na základě skutečně vynaložených nákladů.</w:t>
      </w:r>
    </w:p>
    <w:sectPr w:rsidR="00BB0E83" w:rsidRPr="002C7C8F" w:rsidSect="002C7C8F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FF" w:rsidRDefault="00FA51FF" w:rsidP="00BB0E83">
      <w:r>
        <w:separator/>
      </w:r>
    </w:p>
  </w:endnote>
  <w:endnote w:type="continuationSeparator" w:id="0">
    <w:p w:rsidR="00FA51FF" w:rsidRDefault="00FA51FF" w:rsidP="00BB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FF" w:rsidRDefault="00FA51FF"/>
  </w:footnote>
  <w:footnote w:type="continuationSeparator" w:id="0">
    <w:p w:rsidR="00FA51FF" w:rsidRDefault="00FA51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83"/>
    <w:rsid w:val="002C7C8F"/>
    <w:rsid w:val="009B31C3"/>
    <w:rsid w:val="00BB0E83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33C3-7015-45A8-8E9A-12B4CA63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B0E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BB0E83"/>
    <w:rPr>
      <w:rFonts w:ascii="Arial" w:eastAsia="Arial" w:hAnsi="Arial" w:cs="Arial"/>
      <w:b/>
      <w:bCs/>
      <w:i w:val="0"/>
      <w:iCs w:val="0"/>
      <w:smallCaps w:val="0"/>
      <w:strike w:val="0"/>
      <w:color w:val="02017E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sid w:val="00BB0E83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sid w:val="00BB0E83"/>
    <w:rPr>
      <w:rFonts w:ascii="Arial" w:eastAsia="Arial" w:hAnsi="Arial" w:cs="Arial"/>
      <w:b/>
      <w:bCs/>
      <w:i/>
      <w:iCs/>
      <w:smallCaps w:val="0"/>
      <w:strike w:val="0"/>
      <w:color w:val="FF000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sid w:val="00BB0E8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sid w:val="00BB0E8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BB0E8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BB0E8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BB0E83"/>
    <w:rPr>
      <w:rFonts w:ascii="Arial" w:eastAsia="Arial" w:hAnsi="Arial" w:cs="Arial"/>
      <w:b/>
      <w:bCs/>
      <w:i/>
      <w:iCs/>
      <w:smallCaps w:val="0"/>
      <w:strike w:val="0"/>
      <w:color w:val="FF0000"/>
      <w:sz w:val="9"/>
      <w:szCs w:val="9"/>
      <w:u w:val="none"/>
    </w:rPr>
  </w:style>
  <w:style w:type="character" w:customStyle="1" w:styleId="Jin">
    <w:name w:val="Jiné_"/>
    <w:basedOn w:val="Standardnpsmoodstavce"/>
    <w:link w:val="Jin0"/>
    <w:rsid w:val="00BB0E8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Titulekobrzku0">
    <w:name w:val="Titulek obrázku"/>
    <w:basedOn w:val="Normln"/>
    <w:link w:val="Titulekobrzku"/>
    <w:rsid w:val="00BB0E83"/>
    <w:pPr>
      <w:shd w:val="clear" w:color="auto" w:fill="FFFFFF"/>
      <w:jc w:val="both"/>
    </w:pPr>
    <w:rPr>
      <w:rFonts w:ascii="Arial" w:eastAsia="Arial" w:hAnsi="Arial" w:cs="Arial"/>
      <w:b/>
      <w:bCs/>
      <w:color w:val="02017E"/>
      <w:sz w:val="9"/>
      <w:szCs w:val="9"/>
    </w:rPr>
  </w:style>
  <w:style w:type="paragraph" w:customStyle="1" w:styleId="Zkladntext20">
    <w:name w:val="Základní text (2)"/>
    <w:basedOn w:val="Normln"/>
    <w:link w:val="Zkladntext2"/>
    <w:rsid w:val="00BB0E83"/>
    <w:pPr>
      <w:shd w:val="clear" w:color="auto" w:fill="FFFFFF"/>
      <w:spacing w:after="520" w:line="422" w:lineRule="auto"/>
      <w:ind w:left="1860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1">
    <w:name w:val="Základní text1"/>
    <w:basedOn w:val="Normln"/>
    <w:link w:val="Zkladntext"/>
    <w:rsid w:val="00BB0E83"/>
    <w:pPr>
      <w:shd w:val="clear" w:color="auto" w:fill="FFFFFF"/>
      <w:spacing w:after="600" w:line="317" w:lineRule="auto"/>
    </w:pPr>
    <w:rPr>
      <w:rFonts w:ascii="Arial" w:eastAsia="Arial" w:hAnsi="Arial" w:cs="Arial"/>
      <w:b/>
      <w:bCs/>
      <w:i/>
      <w:iCs/>
      <w:color w:val="FF0000"/>
      <w:sz w:val="9"/>
      <w:szCs w:val="9"/>
    </w:rPr>
  </w:style>
  <w:style w:type="paragraph" w:customStyle="1" w:styleId="Nadpis30">
    <w:name w:val="Nadpis #3"/>
    <w:basedOn w:val="Normln"/>
    <w:link w:val="Nadpis3"/>
    <w:rsid w:val="00BB0E83"/>
    <w:pPr>
      <w:shd w:val="clear" w:color="auto" w:fill="FFFFFF"/>
      <w:spacing w:after="40"/>
      <w:ind w:left="5100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40">
    <w:name w:val="Nadpis #4"/>
    <w:basedOn w:val="Normln"/>
    <w:link w:val="Nadpis4"/>
    <w:rsid w:val="00BB0E83"/>
    <w:pPr>
      <w:shd w:val="clear" w:color="auto" w:fill="FFFFFF"/>
      <w:spacing w:line="305" w:lineRule="auto"/>
      <w:ind w:left="5100" w:right="540"/>
      <w:outlineLvl w:val="3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rsid w:val="00BB0E83"/>
    <w:pPr>
      <w:shd w:val="clear" w:color="auto" w:fill="FFFFFF"/>
      <w:spacing w:after="1040"/>
      <w:ind w:left="120"/>
      <w:jc w:val="center"/>
      <w:outlineLvl w:val="0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Nadpis20">
    <w:name w:val="Nadpis #2"/>
    <w:basedOn w:val="Normln"/>
    <w:link w:val="Nadpis2"/>
    <w:rsid w:val="00BB0E83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BB0E83"/>
    <w:pPr>
      <w:shd w:val="clear" w:color="auto" w:fill="FFFFFF"/>
      <w:spacing w:line="278" w:lineRule="auto"/>
      <w:ind w:left="470"/>
    </w:pPr>
    <w:rPr>
      <w:rFonts w:ascii="Arial" w:eastAsia="Arial" w:hAnsi="Arial" w:cs="Arial"/>
      <w:b/>
      <w:bCs/>
      <w:i/>
      <w:iCs/>
      <w:color w:val="FF0000"/>
      <w:sz w:val="9"/>
      <w:szCs w:val="9"/>
    </w:rPr>
  </w:style>
  <w:style w:type="paragraph" w:customStyle="1" w:styleId="Jin0">
    <w:name w:val="Jiné"/>
    <w:basedOn w:val="Normln"/>
    <w:link w:val="Jin"/>
    <w:rsid w:val="00BB0E83"/>
    <w:pPr>
      <w:shd w:val="clear" w:color="auto" w:fill="FFFFFF"/>
      <w:ind w:left="22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0014-22-K Akademie řemesel - ing. Šandera - výměna oken a balkonových dveří - Zelený pruh.xls  [režim kompatibility]</vt:lpstr>
    </vt:vector>
  </TitlesOfParts>
  <Company>Stredni skola technicka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0014-22-K Akademie řemesel - ing. Šandera - výměna oken a balkonových dveří - Zelený pruh.xls  [režim kompatibility]</dc:title>
  <dc:subject/>
  <dc:creator>Viktor Truhlar</dc:creator>
  <cp:keywords/>
  <cp:lastModifiedBy>Zuzana Slámová</cp:lastModifiedBy>
  <cp:revision>2</cp:revision>
  <dcterms:created xsi:type="dcterms:W3CDTF">2022-01-20T08:23:00Z</dcterms:created>
  <dcterms:modified xsi:type="dcterms:W3CDTF">2022-01-20T08:23:00Z</dcterms:modified>
</cp:coreProperties>
</file>