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24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Na vypracování projektové dokumentace</w:t>
      </w:r>
    </w:p>
    <w:p>
      <w:pPr>
        <w:pStyle w:val="Style8"/>
        <w:keepNext/>
        <w:keepLines/>
        <w:widowControl w:val="0"/>
        <w:shd w:val="clear" w:color="auto" w:fill="auto"/>
        <w:bidi w:val="0"/>
        <w:spacing w:before="0" w:after="340" w:line="230" w:lineRule="auto"/>
        <w:ind w:left="0" w:right="0" w:firstLine="0"/>
        <w:jc w:val="center"/>
      </w:pPr>
      <w:r>
        <mc:AlternateContent>
          <mc:Choice Requires="wps">
            <w:drawing>
              <wp:anchor distT="176530" distB="0" distL="6350" distR="0" simplePos="0" relativeHeight="125829378" behindDoc="0" locked="0" layoutInCell="1" allowOverlap="1">
                <wp:simplePos x="0" y="0"/>
                <wp:positionH relativeFrom="page">
                  <wp:posOffset>884555</wp:posOffset>
                </wp:positionH>
                <wp:positionV relativeFrom="paragraph">
                  <wp:posOffset>2373630</wp:posOffset>
                </wp:positionV>
                <wp:extent cx="5632450" cy="384175"/>
                <wp:wrapTopAndBottom/>
                <wp:docPr id="1" name="Shape 1"/>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186.90000000000001pt;width:443.5pt;height:30.25pt;z-index:-125829375;mso-wrap-distance-left:0.5pt;mso-wrap-distance-top:13.9pt;mso-wrap-distance-right:0;mso-position-horizontal-relative:page" filled="f" stroked="f">
                <v:textbox inset="0,0,0,0">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878205</wp:posOffset>
                </wp:positionH>
                <wp:positionV relativeFrom="paragraph">
                  <wp:posOffset>2197100</wp:posOffset>
                </wp:positionV>
                <wp:extent cx="713105" cy="176530"/>
                <wp:wrapNone/>
                <wp:docPr id="3" name="Shape 3"/>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69.150000000000006pt;margin-top:173.pt;width:56.149999999999999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bookmarkStart w:id="2" w:name="bookmark2"/>
      <w:bookmarkStart w:id="3" w:name="bookmark3"/>
      <w:r>
        <w:rPr>
          <w:color w:val="000000"/>
          <w:spacing w:val="0"/>
          <w:w w:val="100"/>
          <w:position w:val="0"/>
          <w:shd w:val="clear" w:color="auto" w:fill="auto"/>
          <w:lang w:val="cs-CZ" w:eastAsia="cs-CZ" w:bidi="cs-CZ"/>
        </w:rPr>
        <w:t>„Rekonstrukce administrativní budovy na cm ZR“</w:t>
      </w:r>
      <w:bookmarkEnd w:id="2"/>
      <w:bookmarkEnd w:id="3"/>
    </w:p>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p>
      <w:pPr>
        <w:pStyle w:val="Style4"/>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z w:val="24"/>
          <w:szCs w:val="24"/>
          <w:shd w:val="clear" w:color="auto" w:fill="auto"/>
          <w:lang w:val="cs-CZ" w:eastAsia="cs-CZ" w:bidi="cs-CZ"/>
        </w:rPr>
        <w:t>Článek 1</w:t>
      </w:r>
    </w:p>
    <w:tbl>
      <w:tblPr>
        <w:tblOverlap w:val="never"/>
        <w:jc w:val="center"/>
        <w:tblLayout w:type="fixed"/>
      </w:tblPr>
      <w:tblGrid>
        <w:gridCol w:w="1954"/>
        <w:gridCol w:w="6922"/>
      </w:tblGrid>
      <w:tr>
        <w:trPr>
          <w:trHeight w:val="331"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tc>
      </w:tr>
      <w:tr>
        <w:trPr>
          <w:trHeight w:val="33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 Necid, ředitelem organizace</w:t>
            </w:r>
          </w:p>
        </w:tc>
      </w:tr>
    </w:tbl>
    <w:p>
      <w:pPr>
        <w:widowControl w:val="0"/>
        <w:spacing w:line="1" w:lineRule="exact"/>
      </w:pPr>
    </w:p>
    <w:tbl>
      <w:tblPr>
        <w:tblOverlap w:val="never"/>
        <w:jc w:val="left"/>
        <w:tblLayout w:type="fixed"/>
      </w:tblPr>
      <w:tblGrid>
        <w:gridCol w:w="1954"/>
        <w:gridCol w:w="6917"/>
      </w:tblGrid>
      <w:tr>
        <w:trPr>
          <w:trHeight w:val="274" w:hRule="exact"/>
        </w:trPr>
        <w:tc>
          <w:tcPr>
            <w:tcBorders/>
            <w:shd w:val="clear" w:color="auto" w:fill="FFFFFF"/>
            <w:vAlign w:val="bottom"/>
          </w:tcPr>
          <w:p>
            <w:pPr>
              <w:pStyle w:val="Style2"/>
              <w:keepNext w:val="0"/>
              <w:keepLines w:val="0"/>
              <w:framePr w:w="8870" w:h="566" w:hSpace="10" w:vSpace="317" w:wrap="notBeside" w:vAnchor="text" w:hAnchor="text" w:x="272"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framePr w:w="8870" w:h="566" w:hSpace="10" w:vSpace="317" w:wrap="notBeside" w:vAnchor="text" w:hAnchor="text" w:x="272" w:y="318"/>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Kamila Pokorná</w:t>
            </w:r>
          </w:p>
        </w:tc>
      </w:tr>
      <w:tr>
        <w:trPr>
          <w:trHeight w:val="293" w:hRule="exact"/>
        </w:trPr>
        <w:tc>
          <w:tcPr>
            <w:tcBorders/>
            <w:shd w:val="clear" w:color="auto" w:fill="FFFFFF"/>
            <w:vAlign w:val="bottom"/>
          </w:tcPr>
          <w:p>
            <w:pPr>
              <w:pStyle w:val="Style2"/>
              <w:keepNext w:val="0"/>
              <w:keepLines w:val="0"/>
              <w:framePr w:w="8870" w:h="566" w:hSpace="10" w:vSpace="317" w:wrap="notBeside" w:vAnchor="text" w:hAnchor="text" w:x="272"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framePr w:w="8870" w:h="566" w:hSpace="10" w:vSpace="317" w:wrap="notBeside" w:vAnchor="text" w:hAnchor="text" w:x="272" w:y="318"/>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pStyle w:val="Style4"/>
        <w:keepNext w:val="0"/>
        <w:keepLines w:val="0"/>
        <w:framePr w:w="5299" w:h="322" w:hSpace="261" w:wrap="notBeside" w:vAnchor="text" w:hAnchor="text" w:x="262"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z w:val="24"/>
          <w:szCs w:val="24"/>
          <w:shd w:val="clear" w:color="auto" w:fill="auto"/>
          <w:lang w:val="cs-CZ" w:eastAsia="cs-CZ" w:bidi="cs-CZ"/>
        </w:rPr>
        <w:t>a</w:t>
      </w:r>
    </w:p>
    <w:tbl>
      <w:tblPr>
        <w:tblOverlap w:val="never"/>
        <w:jc w:val="center"/>
        <w:tblLayout w:type="fixed"/>
      </w:tblPr>
      <w:tblGrid>
        <w:gridCol w:w="1954"/>
        <w:gridCol w:w="6917"/>
      </w:tblGrid>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Leoš Pohanka</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Dolní 35, 592 14 Nové Veselí</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Leošem Pohankou</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právní forma: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Fyzická osoba podnikající dle živnostenského zákona</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45653054</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Zhotovitel</w:t>
      </w:r>
      <w:r>
        <w:rPr>
          <w:color w:val="000000"/>
          <w:spacing w:val="0"/>
          <w:w w:val="100"/>
          <w:position w:val="0"/>
          <w:sz w:val="24"/>
          <w:szCs w:val="24"/>
          <w:shd w:val="clear" w:color="auto" w:fill="auto"/>
          <w:lang w:val="cs-CZ" w:eastAsia="cs-CZ" w:bidi="cs-CZ"/>
        </w:rPr>
        <w:t>“)</w:t>
      </w:r>
    </w:p>
    <w:p>
      <w:pPr>
        <w:widowControl w:val="0"/>
        <w:spacing w:after="479" w:line="1" w:lineRule="exact"/>
      </w:pPr>
    </w:p>
    <w:p>
      <w:pPr>
        <w:pStyle w:val="Style6"/>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2586 a násl. zákona č. 89/2012 Sb., občanského zákoníku, v platném znění (dále jen „OZ“). </w:t>
      </w:r>
      <w:r>
        <w:rPr>
          <w:color w:val="000000"/>
          <w:spacing w:val="0"/>
          <w:w w:val="100"/>
          <w:position w:val="0"/>
          <w:sz w:val="24"/>
          <w:szCs w:val="24"/>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z w:val="24"/>
          <w:szCs w:val="24"/>
          <w:shd w:val="clear" w:color="auto" w:fill="auto"/>
          <w:lang w:val="cs-CZ" w:eastAsia="cs-CZ" w:bidi="cs-CZ"/>
        </w:rPr>
        <w:t>Vypracování projektové dokumentace „Zastřešení skládky inertního posypu střediska Jemnice“</w:t>
      </w:r>
      <w:r>
        <w:rPr>
          <w:color w:val="000000"/>
          <w:spacing w:val="0"/>
          <w:w w:val="100"/>
          <w:position w:val="0"/>
          <w:sz w:val="24"/>
          <w:szCs w:val="24"/>
          <w:shd w:val="clear" w:color="auto" w:fill="auto"/>
          <w:lang w:val="cs-CZ" w:eastAsia="cs-CZ" w:bidi="cs-CZ"/>
        </w:rPr>
        <w:t>, uzavírají níže uvedeného dne, měsíce a roku tuto Smlouvu o dílo (dále jen „smlouva“).</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6"/>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4"/>
          <w:szCs w:val="24"/>
          <w:shd w:val="clear" w:color="auto" w:fill="auto"/>
          <w:lang w:val="cs-CZ" w:eastAsia="cs-CZ" w:bidi="cs-CZ"/>
        </w:rPr>
        <w:t>Předmět smlouvy</w:t>
      </w:r>
    </w:p>
    <w:p>
      <w:pPr>
        <w:pStyle w:val="Style6"/>
        <w:keepNext w:val="0"/>
        <w:keepLines w:val="0"/>
        <w:widowControl w:val="0"/>
        <w:shd w:val="clear" w:color="auto" w:fill="auto"/>
        <w:bidi w:val="0"/>
        <w:spacing w:before="0" w:after="120" w:line="240" w:lineRule="auto"/>
        <w:ind w:left="1140" w:right="0" w:hanging="420"/>
        <w:jc w:val="both"/>
      </w:pPr>
      <w:r>
        <w:rPr>
          <w:b/>
          <w:bCs/>
          <w:color w:val="000000"/>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6"/>
        <w:keepNext w:val="0"/>
        <w:keepLines w:val="0"/>
        <w:widowControl w:val="0"/>
        <w:shd w:val="clear" w:color="auto" w:fill="auto"/>
        <w:bidi w:val="0"/>
        <w:spacing w:before="0" w:line="240" w:lineRule="auto"/>
        <w:ind w:left="1140" w:right="0" w:hanging="420"/>
        <w:jc w:val="both"/>
      </w:pPr>
      <w:r>
        <w:rPr>
          <w:b/>
          <w:bCs/>
          <w:color w:val="000000"/>
          <w:spacing w:val="0"/>
          <w:w w:val="100"/>
          <w:position w:val="0"/>
          <w:sz w:val="24"/>
          <w:szCs w:val="24"/>
          <w:shd w:val="clear" w:color="auto" w:fill="auto"/>
          <w:lang w:val="cs-CZ" w:eastAsia="cs-CZ" w:bidi="cs-CZ"/>
        </w:rPr>
        <w:t xml:space="preserve">b) vypracování samostatné projektové dokumentace (PD) </w:t>
      </w:r>
      <w:r>
        <w:rPr>
          <w:color w:val="000000"/>
          <w:spacing w:val="0"/>
          <w:w w:val="100"/>
          <w:position w:val="0"/>
          <w:sz w:val="24"/>
          <w:szCs w:val="24"/>
          <w:shd w:val="clear" w:color="auto" w:fill="auto"/>
          <w:lang w:val="cs-CZ" w:eastAsia="cs-CZ" w:bidi="cs-CZ"/>
        </w:rPr>
        <w:t xml:space="preserve">dle vyhlášky č. 499/2006 Sb., o dokumentaci staveb v platném znění a vyhlášky č. 146/2008 Sb., o rozsahu a obsahu projektové dokumentace pozemních staveb v platném znění na akci: </w:t>
      </w:r>
      <w:r>
        <w:rPr>
          <w:b/>
          <w:bCs/>
          <w:color w:val="000000"/>
          <w:spacing w:val="0"/>
          <w:w w:val="100"/>
          <w:position w:val="0"/>
          <w:sz w:val="24"/>
          <w:szCs w:val="24"/>
          <w:shd w:val="clear" w:color="auto" w:fill="auto"/>
          <w:lang w:val="cs-CZ" w:eastAsia="cs-CZ" w:bidi="cs-CZ"/>
        </w:rPr>
        <w:t xml:space="preserve">„Rekonstrukce administrativní budovy na cm ZR“ </w:t>
      </w:r>
      <w:r>
        <w:rPr>
          <w:color w:val="000000"/>
          <w:spacing w:val="0"/>
          <w:w w:val="100"/>
          <w:position w:val="0"/>
          <w:sz w:val="24"/>
          <w:szCs w:val="24"/>
          <w:shd w:val="clear" w:color="auto" w:fill="auto"/>
          <w:lang w:val="cs-CZ" w:eastAsia="cs-CZ" w:bidi="cs-CZ"/>
        </w:rPr>
        <w:t xml:space="preserve">a to v souladu s </w:t>
      </w:r>
      <w:r>
        <w:rPr>
          <w:b/>
          <w:bCs/>
          <w:color w:val="000000"/>
          <w:spacing w:val="0"/>
          <w:w w:val="100"/>
          <w:position w:val="0"/>
          <w:sz w:val="24"/>
          <w:szCs w:val="24"/>
          <w:shd w:val="clear" w:color="auto" w:fill="auto"/>
          <w:lang w:val="cs-CZ" w:eastAsia="cs-CZ" w:bidi="cs-CZ"/>
        </w:rPr>
        <w:t xml:space="preserve">nabídkou zhotovitele </w:t>
      </w:r>
      <w:r>
        <w:rPr>
          <w:color w:val="000000"/>
          <w:spacing w:val="0"/>
          <w:w w:val="100"/>
          <w:position w:val="0"/>
          <w:sz w:val="24"/>
          <w:szCs w:val="24"/>
          <w:shd w:val="clear" w:color="auto" w:fill="auto"/>
          <w:lang w:val="cs-CZ" w:eastAsia="cs-CZ" w:bidi="cs-CZ"/>
        </w:rPr>
        <w:t xml:space="preserve">podanou ze dne </w:t>
      </w:r>
      <w:r>
        <w:rPr>
          <w:b/>
          <w:bCs/>
          <w:color w:val="000000"/>
          <w:spacing w:val="0"/>
          <w:w w:val="100"/>
          <w:position w:val="0"/>
          <w:sz w:val="24"/>
          <w:szCs w:val="24"/>
          <w:shd w:val="clear" w:color="auto" w:fill="auto"/>
          <w:lang w:val="cs-CZ" w:eastAsia="cs-CZ" w:bidi="cs-CZ"/>
        </w:rPr>
        <w:t xml:space="preserve">2. 11. 2021, </w:t>
      </w:r>
      <w:r>
        <w:rPr>
          <w:color w:val="000000"/>
          <w:spacing w:val="0"/>
          <w:w w:val="100"/>
          <w:position w:val="0"/>
          <w:sz w:val="24"/>
          <w:szCs w:val="24"/>
          <w:shd w:val="clear" w:color="auto" w:fill="auto"/>
          <w:lang w:val="cs-CZ" w:eastAsia="cs-CZ" w:bidi="cs-CZ"/>
        </w:rPr>
        <w:t>uvedené v příloze této smlouvy.</w:t>
      </w:r>
    </w:p>
    <w:p>
      <w:pPr>
        <w:pStyle w:val="Style6"/>
        <w:keepNext w:val="0"/>
        <w:keepLines w:val="0"/>
        <w:widowControl w:val="0"/>
        <w:numPr>
          <w:ilvl w:val="0"/>
          <w:numId w:val="1"/>
        </w:numPr>
        <w:shd w:val="clear" w:color="auto" w:fill="auto"/>
        <w:tabs>
          <w:tab w:pos="568" w:val="left"/>
        </w:tabs>
        <w:bidi w:val="0"/>
        <w:spacing w:before="0" w:line="240" w:lineRule="auto"/>
        <w:ind w:left="560" w:right="0" w:hanging="560"/>
        <w:jc w:val="left"/>
      </w:pPr>
      <w:r>
        <w:rPr>
          <w:color w:val="000000"/>
          <w:spacing w:val="0"/>
          <w:w w:val="100"/>
          <w:position w:val="0"/>
          <w:sz w:val="24"/>
          <w:szCs w:val="24"/>
          <w:shd w:val="clear" w:color="auto" w:fill="auto"/>
          <w:lang w:val="cs-CZ" w:eastAsia="cs-CZ" w:bidi="cs-CZ"/>
        </w:rPr>
        <w:t>Zhotovitel je povinen provést dílo v nejvyšší kvalitě v souladu s platnými právními předpisy a v souladu požadavků objednatele.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6"/>
        <w:keepNext w:val="0"/>
        <w:keepLines w:val="0"/>
        <w:widowControl w:val="0"/>
        <w:numPr>
          <w:ilvl w:val="0"/>
          <w:numId w:val="1"/>
        </w:numPr>
        <w:shd w:val="clear" w:color="auto" w:fill="auto"/>
        <w:tabs>
          <w:tab w:pos="56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se zavazuje poskytnout zhotoviteli součinnost.</w:t>
      </w:r>
    </w:p>
    <w:p>
      <w:pPr>
        <w:pStyle w:val="Style6"/>
        <w:keepNext w:val="0"/>
        <w:keepLines w:val="0"/>
        <w:widowControl w:val="0"/>
        <w:numPr>
          <w:ilvl w:val="0"/>
          <w:numId w:val="1"/>
        </w:numPr>
        <w:shd w:val="clear" w:color="auto" w:fill="auto"/>
        <w:tabs>
          <w:tab w:pos="568" w:val="left"/>
        </w:tabs>
        <w:bidi w:val="0"/>
        <w:spacing w:before="0" w:after="500" w:line="240" w:lineRule="auto"/>
        <w:ind w:left="560" w:right="0" w:hanging="560"/>
        <w:jc w:val="left"/>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Článek 3</w:t>
        <w:br/>
        <w:t>Doba a místo plnění</w:t>
      </w:r>
      <w:bookmarkEnd w:id="4"/>
      <w:bookmarkEnd w:id="5"/>
    </w:p>
    <w:p>
      <w:pPr>
        <w:pStyle w:val="Style19"/>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 xml:space="preserve">3.1. </w:t>
      </w:r>
      <w:r>
        <w:rPr>
          <w:b w:val="0"/>
          <w:bCs w:val="0"/>
          <w:color w:val="000000"/>
          <w:spacing w:val="0"/>
          <w:w w:val="100"/>
          <w:position w:val="0"/>
          <w:sz w:val="24"/>
          <w:szCs w:val="24"/>
          <w:shd w:val="clear" w:color="auto" w:fill="auto"/>
          <w:lang w:val="cs-CZ" w:eastAsia="cs-CZ" w:bidi="cs-CZ"/>
        </w:rPr>
        <w:t xml:space="preserve">Termíny plnění pro </w:t>
      </w:r>
      <w:r>
        <w:rPr>
          <w:color w:val="000000"/>
          <w:spacing w:val="0"/>
          <w:w w:val="100"/>
          <w:position w:val="0"/>
          <w:sz w:val="24"/>
          <w:szCs w:val="24"/>
          <w:shd w:val="clear" w:color="auto" w:fill="auto"/>
          <w:lang w:val="cs-CZ" w:eastAsia="cs-CZ" w:bidi="cs-CZ"/>
        </w:rPr>
        <w:t>vypracování projektové dokumentace</w:t>
      </w:r>
      <w:r>
        <w:rPr>
          <w:b w:val="0"/>
          <w:bCs w:val="0"/>
          <w:color w:val="000000"/>
          <w:spacing w:val="0"/>
          <w:w w:val="100"/>
          <w:position w:val="0"/>
          <w:sz w:val="24"/>
          <w:szCs w:val="24"/>
          <w:shd w:val="clear" w:color="auto" w:fill="auto"/>
          <w:lang w:val="cs-CZ" w:eastAsia="cs-CZ" w:bidi="cs-CZ"/>
        </w:rPr>
        <w:t>:</w:t>
      </w:r>
      <w:bookmarkEnd w:id="6"/>
      <w:bookmarkEnd w:id="7"/>
    </w:p>
    <w:p>
      <w:pPr>
        <w:pStyle w:val="Style6"/>
        <w:keepNext w:val="0"/>
        <w:keepLines w:val="0"/>
        <w:widowControl w:val="0"/>
        <w:shd w:val="clear" w:color="auto" w:fill="auto"/>
        <w:bidi w:val="0"/>
        <w:spacing w:before="0" w:line="233" w:lineRule="auto"/>
        <w:ind w:left="660" w:right="0" w:firstLine="0"/>
        <w:jc w:val="left"/>
      </w:pPr>
      <w:r>
        <w:rPr>
          <w:color w:val="000000"/>
          <w:spacing w:val="0"/>
          <w:w w:val="100"/>
          <w:position w:val="0"/>
          <w:sz w:val="24"/>
          <w:szCs w:val="24"/>
          <w:shd w:val="clear" w:color="auto" w:fill="auto"/>
          <w:lang w:val="cs-CZ" w:eastAsia="cs-CZ" w:bidi="cs-CZ"/>
        </w:rPr>
        <w:t xml:space="preserve">Zhotovitel se zavazuje odevzdat dílo bez vad a nedodělků nejpozději do </w:t>
      </w:r>
      <w:r>
        <w:rPr>
          <w:b/>
          <w:bCs/>
          <w:color w:val="000000"/>
          <w:spacing w:val="0"/>
          <w:w w:val="100"/>
          <w:position w:val="0"/>
          <w:sz w:val="24"/>
          <w:szCs w:val="24"/>
          <w:shd w:val="clear" w:color="auto" w:fill="auto"/>
          <w:lang w:val="cs-CZ" w:eastAsia="cs-CZ" w:bidi="cs-CZ"/>
        </w:rPr>
        <w:t xml:space="preserve">28. 2. 2022. </w:t>
      </w:r>
      <w:r>
        <w:rPr>
          <w:color w:val="000000"/>
          <w:spacing w:val="0"/>
          <w:w w:val="100"/>
          <w:position w:val="0"/>
          <w:sz w:val="24"/>
          <w:szCs w:val="24"/>
          <w:shd w:val="clear" w:color="auto" w:fill="auto"/>
          <w:lang w:val="cs-CZ" w:eastAsia="cs-CZ" w:bidi="cs-CZ"/>
        </w:rPr>
        <w:t>Dřívější plnění je možné.</w:t>
      </w:r>
    </w:p>
    <w:p>
      <w:pPr>
        <w:pStyle w:val="Style19"/>
        <w:keepNext/>
        <w:keepLines/>
        <w:widowControl w:val="0"/>
        <w:numPr>
          <w:ilvl w:val="1"/>
          <w:numId w:val="1"/>
        </w:numPr>
        <w:shd w:val="clear" w:color="auto" w:fill="auto"/>
        <w:tabs>
          <w:tab w:pos="568" w:val="left"/>
        </w:tabs>
        <w:bidi w:val="0"/>
        <w:spacing w:before="0" w:line="240"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 xml:space="preserve">Místem plnění </w:t>
      </w:r>
      <w:r>
        <w:rPr>
          <w:b w:val="0"/>
          <w:bCs w:val="0"/>
          <w:color w:val="000000"/>
          <w:spacing w:val="0"/>
          <w:w w:val="100"/>
          <w:position w:val="0"/>
          <w:sz w:val="24"/>
          <w:szCs w:val="24"/>
          <w:shd w:val="clear" w:color="auto" w:fill="auto"/>
          <w:lang w:val="cs-CZ" w:eastAsia="cs-CZ" w:bidi="cs-CZ"/>
        </w:rPr>
        <w:t>je:</w:t>
      </w:r>
      <w:bookmarkEnd w:id="8"/>
      <w:bookmarkEnd w:id="9"/>
    </w:p>
    <w:p>
      <w:pPr>
        <w:pStyle w:val="Style6"/>
        <w:keepNext w:val="0"/>
        <w:keepLines w:val="0"/>
        <w:widowControl w:val="0"/>
        <w:shd w:val="clear" w:color="auto" w:fill="auto"/>
        <w:bidi w:val="0"/>
        <w:spacing w:before="0" w:line="240" w:lineRule="auto"/>
        <w:ind w:left="660" w:right="0" w:firstLine="0"/>
        <w:jc w:val="both"/>
      </w:pPr>
      <w:r>
        <w:rPr>
          <w:color w:val="000000"/>
          <w:spacing w:val="0"/>
          <w:w w:val="100"/>
          <w:position w:val="0"/>
          <w:sz w:val="24"/>
          <w:szCs w:val="24"/>
          <w:shd w:val="clear" w:color="auto" w:fill="auto"/>
          <w:lang w:val="cs-CZ" w:eastAsia="cs-CZ" w:bidi="cs-CZ"/>
        </w:rPr>
        <w:t>Krajská správa a údržba silnic Vysočiny, p. o., Cestmistrovství Žďár nad Sázavou, Jihlavská 841/1, 591 01 Žďár nad Sázavou</w:t>
      </w:r>
    </w:p>
    <w:p>
      <w:pPr>
        <w:pStyle w:val="Style6"/>
        <w:keepNext w:val="0"/>
        <w:keepLines w:val="0"/>
        <w:widowControl w:val="0"/>
        <w:shd w:val="clear" w:color="auto" w:fill="auto"/>
        <w:bidi w:val="0"/>
        <w:spacing w:before="0" w:line="240" w:lineRule="auto"/>
        <w:ind w:left="0" w:right="0" w:firstLine="660"/>
        <w:jc w:val="left"/>
      </w:pPr>
      <w:r>
        <w:rPr>
          <w:color w:val="000000"/>
          <w:spacing w:val="0"/>
          <w:w w:val="100"/>
          <w:position w:val="0"/>
          <w:sz w:val="24"/>
          <w:szCs w:val="24"/>
          <w:shd w:val="clear" w:color="auto" w:fill="auto"/>
          <w:lang w:val="cs-CZ" w:eastAsia="cs-CZ" w:bidi="cs-CZ"/>
        </w:rPr>
        <w:t>Místo pro předání projektové dokumentace:</w:t>
      </w:r>
    </w:p>
    <w:p>
      <w:pPr>
        <w:pStyle w:val="Style6"/>
        <w:keepNext w:val="0"/>
        <w:keepLines w:val="0"/>
        <w:widowControl w:val="0"/>
        <w:shd w:val="clear" w:color="auto" w:fill="auto"/>
        <w:bidi w:val="0"/>
        <w:spacing w:before="0" w:after="500" w:line="240" w:lineRule="auto"/>
        <w:ind w:left="0" w:right="0" w:firstLine="660"/>
        <w:jc w:val="left"/>
      </w:pPr>
      <w:r>
        <w:rPr>
          <w:color w:val="000000"/>
          <w:spacing w:val="0"/>
          <w:w w:val="100"/>
          <w:position w:val="0"/>
          <w:sz w:val="24"/>
          <w:szCs w:val="24"/>
          <w:shd w:val="clear" w:color="auto" w:fill="auto"/>
          <w:lang w:val="cs-CZ" w:eastAsia="cs-CZ" w:bidi="cs-CZ"/>
        </w:rPr>
        <w:t>Krajská správa a údržba silnic Vysočiny, p. o., Kosovská 1122/16, 586 01 Jihlava</w:t>
      </w:r>
    </w:p>
    <w:p>
      <w:pPr>
        <w:pStyle w:val="Style1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Článek 4</w:t>
        <w:br/>
        <w:t>Cena díla</w:t>
      </w:r>
      <w:bookmarkEnd w:id="10"/>
      <w:bookmarkEnd w:id="11"/>
    </w:p>
    <w:p>
      <w:pPr>
        <w:pStyle w:val="Style6"/>
        <w:keepNext w:val="0"/>
        <w:keepLines w:val="0"/>
        <w:widowControl w:val="0"/>
        <w:numPr>
          <w:ilvl w:val="0"/>
          <w:numId w:val="3"/>
        </w:numPr>
        <w:shd w:val="clear" w:color="auto" w:fill="auto"/>
        <w:tabs>
          <w:tab w:pos="568"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p>
      <w:pPr>
        <w:pStyle w:val="Style19"/>
        <w:keepNext/>
        <w:keepLines/>
        <w:widowControl w:val="0"/>
        <w:shd w:val="clear" w:color="auto" w:fill="auto"/>
        <w:bidi w:val="0"/>
        <w:spacing w:before="0" w:after="220" w:line="240" w:lineRule="auto"/>
        <w:ind w:left="0" w:right="0" w:firstLine="560"/>
        <w:jc w:val="left"/>
      </w:pPr>
      <w:bookmarkStart w:id="12" w:name="bookmark12"/>
      <w:bookmarkStart w:id="13" w:name="bookmark13"/>
      <w:r>
        <w:rPr>
          <w:color w:val="000000"/>
          <w:spacing w:val="0"/>
          <w:w w:val="100"/>
          <w:position w:val="0"/>
          <w:sz w:val="24"/>
          <w:szCs w:val="24"/>
          <w:shd w:val="clear" w:color="auto" w:fill="auto"/>
          <w:lang w:val="cs-CZ" w:eastAsia="cs-CZ" w:bidi="cs-CZ"/>
        </w:rPr>
        <w:t xml:space="preserve">vypracování projektové dokumentace </w:t>
      </w:r>
      <w:r>
        <w:rPr>
          <w:b w:val="0"/>
          <w:bCs w:val="0"/>
          <w:color w:val="000000"/>
          <w:spacing w:val="0"/>
          <w:w w:val="100"/>
          <w:position w:val="0"/>
          <w:sz w:val="24"/>
          <w:szCs w:val="24"/>
          <w:shd w:val="clear" w:color="auto" w:fill="auto"/>
          <w:lang w:val="cs-CZ" w:eastAsia="cs-CZ" w:bidi="cs-CZ"/>
        </w:rPr>
        <w:t>ve výši:</w:t>
      </w:r>
      <w:bookmarkEnd w:id="12"/>
      <w:bookmarkEnd w:id="13"/>
    </w:p>
    <w:tbl>
      <w:tblPr>
        <w:tblOverlap w:val="never"/>
        <w:jc w:val="right"/>
        <w:tblLayout w:type="fixed"/>
      </w:tblPr>
      <w:tblGrid>
        <w:gridCol w:w="4258"/>
        <w:gridCol w:w="3979"/>
      </w:tblGrid>
      <w:tr>
        <w:trPr>
          <w:trHeight w:val="69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155.000,00 Kč bez DPH</w:t>
            </w:r>
          </w:p>
        </w:tc>
      </w:tr>
      <w:tr>
        <w:trPr>
          <w:trHeight w:val="60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32.550,00 Kč</w:t>
            </w:r>
          </w:p>
        </w:tc>
      </w:tr>
      <w:tr>
        <w:trPr>
          <w:trHeight w:val="53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187.550,00 Kč vč. DPH</w:t>
            </w:r>
          </w:p>
        </w:tc>
      </w:tr>
    </w:tbl>
    <w:p>
      <w:pPr>
        <w:widowControl w:val="0"/>
        <w:spacing w:after="379" w:line="1" w:lineRule="exact"/>
      </w:pPr>
    </w:p>
    <w:p>
      <w:pPr>
        <w:pStyle w:val="Style6"/>
        <w:keepNext w:val="0"/>
        <w:keepLines w:val="0"/>
        <w:widowControl w:val="0"/>
        <w:numPr>
          <w:ilvl w:val="0"/>
          <w:numId w:val="3"/>
        </w:numPr>
        <w:shd w:val="clear" w:color="auto" w:fill="auto"/>
        <w:tabs>
          <w:tab w:pos="568" w:val="left"/>
        </w:tabs>
        <w:bidi w:val="0"/>
        <w:spacing w:before="0" w:line="240" w:lineRule="auto"/>
        <w:ind w:left="560" w:right="0" w:hanging="560"/>
        <w:jc w:val="left"/>
      </w:pPr>
      <w:r>
        <w:rPr>
          <w:color w:val="000000"/>
          <w:spacing w:val="0"/>
          <w:w w:val="100"/>
          <w:position w:val="0"/>
          <w:sz w:val="24"/>
          <w:szCs w:val="24"/>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(Kalkulace projekčních prací), které jsou součástí této smlouvy.</w:t>
      </w:r>
    </w:p>
    <w:p>
      <w:pPr>
        <w:pStyle w:val="Style6"/>
        <w:keepNext w:val="0"/>
        <w:keepLines w:val="0"/>
        <w:widowControl w:val="0"/>
        <w:numPr>
          <w:ilvl w:val="0"/>
          <w:numId w:val="3"/>
        </w:numPr>
        <w:shd w:val="clear" w:color="auto" w:fill="auto"/>
        <w:tabs>
          <w:tab w:pos="56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6"/>
        <w:keepNext w:val="0"/>
        <w:keepLines w:val="0"/>
        <w:widowControl w:val="0"/>
        <w:numPr>
          <w:ilvl w:val="0"/>
          <w:numId w:val="3"/>
        </w:numPr>
        <w:shd w:val="clear" w:color="auto" w:fill="auto"/>
        <w:tabs>
          <w:tab w:pos="568" w:val="left"/>
        </w:tabs>
        <w:bidi w:val="0"/>
        <w:spacing w:before="0" w:line="240" w:lineRule="auto"/>
        <w:ind w:left="560" w:right="0" w:hanging="560"/>
        <w:jc w:val="left"/>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6"/>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6"/>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z w:val="24"/>
          <w:szCs w:val="24"/>
          <w:shd w:val="clear" w:color="auto" w:fill="auto"/>
          <w:lang w:val="cs-CZ" w:eastAsia="cs-CZ" w:bidi="cs-CZ"/>
        </w:rPr>
        <w:t xml:space="preserve">§ 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6"/>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6"/>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4"/>
          <w:szCs w:val="24"/>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w:t>
      </w:r>
      <w:r>
        <w:rPr>
          <w:b/>
          <w:bCs/>
          <w:color w:val="000000"/>
          <w:spacing w:val="0"/>
          <w:w w:val="100"/>
          <w:position w:val="0"/>
          <w:sz w:val="24"/>
          <w:szCs w:val="24"/>
          <w:shd w:val="clear" w:color="auto" w:fill="auto"/>
          <w:lang w:val="cs-CZ" w:eastAsia="cs-CZ" w:bidi="cs-CZ"/>
        </w:rPr>
        <w:t xml:space="preserve">§ 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4"/>
          <w:szCs w:val="24"/>
          <w:shd w:val="clear" w:color="auto" w:fill="auto"/>
          <w:lang w:val="cs-CZ" w:eastAsia="cs-CZ" w:bidi="cs-CZ"/>
        </w:rPr>
        <w:t xml:space="preserve">ZZVZ </w:t>
      </w:r>
      <w:r>
        <w:rPr>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 xml:space="preserve">§ 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4"/>
          <w:szCs w:val="24"/>
          <w:shd w:val="clear" w:color="auto" w:fill="auto"/>
          <w:lang w:val="cs-CZ" w:eastAsia="cs-CZ" w:bidi="cs-CZ"/>
        </w:rPr>
        <w:t>dodatečných služeb.</w:t>
      </w:r>
    </w:p>
    <w:p>
      <w:pPr>
        <w:pStyle w:val="Style6"/>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Veškeré dodatečné služby splňující podmínky stanovené v </w:t>
      </w:r>
      <w:r>
        <w:rPr>
          <w:b/>
          <w:bCs/>
          <w:color w:val="000000"/>
          <w:spacing w:val="0"/>
          <w:w w:val="100"/>
          <w:position w:val="0"/>
          <w:sz w:val="24"/>
          <w:szCs w:val="24"/>
          <w:shd w:val="clear" w:color="auto" w:fill="auto"/>
          <w:lang w:val="cs-CZ" w:eastAsia="cs-CZ" w:bidi="cs-CZ"/>
        </w:rPr>
        <w:t xml:space="preserve">§ 222 ZZVZ, </w:t>
      </w:r>
      <w:r>
        <w:rPr>
          <w:color w:val="000000"/>
          <w:spacing w:val="0"/>
          <w:w w:val="100"/>
          <w:position w:val="0"/>
          <w:sz w:val="24"/>
          <w:szCs w:val="24"/>
          <w:shd w:val="clear" w:color="auto" w:fill="auto"/>
          <w:lang w:val="cs-CZ" w:eastAsia="cs-CZ" w:bidi="cs-CZ"/>
        </w:rPr>
        <w:t>které jsou nezbytné pro dokončení díla, musí být písemně dohodnuty osobami oprávněnými jednat ve věcech smlouvy a v souladu se ZZVZ.</w:t>
      </w:r>
    </w:p>
    <w:p>
      <w:pPr>
        <w:pStyle w:val="Style6"/>
        <w:keepNext w:val="0"/>
        <w:keepLines w:val="0"/>
        <w:widowControl w:val="0"/>
        <w:numPr>
          <w:ilvl w:val="0"/>
          <w:numId w:val="3"/>
        </w:numPr>
        <w:shd w:val="clear" w:color="auto" w:fill="auto"/>
        <w:tabs>
          <w:tab w:pos="620"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Způsob provádění díla a dodání díla</w:t>
      </w:r>
      <w:bookmarkEnd w:id="14"/>
      <w:bookmarkEnd w:id="15"/>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Není-li v </w:t>
      </w:r>
      <w:r>
        <w:rPr>
          <w:b/>
          <w:bCs/>
          <w:color w:val="000000"/>
          <w:spacing w:val="0"/>
          <w:w w:val="100"/>
          <w:position w:val="0"/>
          <w:sz w:val="24"/>
          <w:szCs w:val="24"/>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 xml:space="preserve">stanoveno jinak, bude projektová dokumentace předána i v elektronické podobě a zhotovitel se zavazuje předat příslušné soubory projektové dokumentace ve formátu - .dwg, a .pdf. Pokud je předmětem plnění rovněž zpracování </w:t>
      </w:r>
      <w:r>
        <w:rPr>
          <w:color w:val="000000"/>
          <w:spacing w:val="0"/>
          <w:w w:val="100"/>
          <w:position w:val="0"/>
          <w:sz w:val="24"/>
          <w:szCs w:val="24"/>
          <w:shd w:val="clear" w:color="auto" w:fill="auto"/>
          <w:lang w:val="cs-CZ" w:eastAsia="cs-CZ" w:bidi="cs-CZ"/>
        </w:rPr>
        <w:t>geodetického zaměření, zavazuje se zhotovitel předat toto zaměření v tištěné podobě a v digitální podobě ve formátu .dwg, resp. .dgn, případně odevzdat vytyčovací síť stavby a vytyčované body ve formátu .doc, nebo .xls.</w:t>
      </w:r>
    </w:p>
    <w:p>
      <w:pPr>
        <w:pStyle w:val="Style19"/>
        <w:keepNext/>
        <w:keepLines/>
        <w:widowControl w:val="0"/>
        <w:numPr>
          <w:ilvl w:val="0"/>
          <w:numId w:val="5"/>
        </w:numPr>
        <w:shd w:val="clear" w:color="auto" w:fill="auto"/>
        <w:tabs>
          <w:tab w:pos="566" w:val="left"/>
        </w:tabs>
        <w:bidi w:val="0"/>
        <w:spacing w:before="0" w:line="240" w:lineRule="auto"/>
        <w:ind w:left="0" w:right="0" w:firstLine="0"/>
        <w:jc w:val="left"/>
      </w:pPr>
      <w:bookmarkStart w:id="16" w:name="bookmark16"/>
      <w:bookmarkStart w:id="17" w:name="bookmark17"/>
      <w:r>
        <w:rPr>
          <w:color w:val="000000"/>
          <w:spacing w:val="0"/>
          <w:w w:val="100"/>
          <w:position w:val="0"/>
          <w:sz w:val="24"/>
          <w:szCs w:val="24"/>
          <w:shd w:val="clear" w:color="auto" w:fill="auto"/>
          <w:lang w:val="cs-CZ" w:eastAsia="cs-CZ" w:bidi="cs-CZ"/>
        </w:rPr>
        <w:t>Kontaktní osoby objednatele a osoby pověřené provedením díla:</w:t>
      </w:r>
      <w:bookmarkEnd w:id="16"/>
      <w:bookmarkEnd w:id="17"/>
    </w:p>
    <w:p>
      <w:pPr>
        <w:pStyle w:val="Style6"/>
        <w:keepNext w:val="0"/>
        <w:keepLines w:val="0"/>
        <w:widowControl w:val="0"/>
        <w:numPr>
          <w:ilvl w:val="0"/>
          <w:numId w:val="7"/>
        </w:numPr>
        <w:shd w:val="clear" w:color="auto" w:fill="auto"/>
        <w:tabs>
          <w:tab w:pos="1435" w:val="left"/>
        </w:tabs>
        <w:bidi w:val="0"/>
        <w:spacing w:before="0" w:after="500" w:line="240" w:lineRule="auto"/>
        <w:ind w:left="0" w:right="0" w:firstLine="580"/>
        <w:jc w:val="both"/>
      </w:pPr>
      <w:r>
        <w:rPr>
          <w:color w:val="000000"/>
          <w:spacing w:val="0"/>
          <w:w w:val="100"/>
          <w:position w:val="0"/>
          <w:sz w:val="24"/>
          <w:szCs w:val="24"/>
          <w:shd w:val="clear" w:color="auto" w:fill="auto"/>
          <w:lang w:val="cs-CZ" w:eastAsia="cs-CZ" w:bidi="cs-CZ"/>
        </w:rPr>
        <w:t>Zástupci zhotovitele ve věcech technických:</w:t>
      </w:r>
    </w:p>
    <w:p>
      <w:pPr>
        <w:pStyle w:val="Style6"/>
        <w:keepNext w:val="0"/>
        <w:keepLines w:val="0"/>
        <w:widowControl w:val="0"/>
        <w:numPr>
          <w:ilvl w:val="0"/>
          <w:numId w:val="7"/>
        </w:numPr>
        <w:shd w:val="clear" w:color="auto" w:fill="auto"/>
        <w:tabs>
          <w:tab w:pos="1435" w:val="left"/>
        </w:tabs>
        <w:bidi w:val="0"/>
        <w:spacing w:before="0" w:after="500" w:line="240" w:lineRule="auto"/>
        <w:ind w:left="0" w:right="0" w:firstLine="580"/>
        <w:jc w:val="both"/>
      </w:pPr>
      <w:r>
        <w:rPr>
          <w:color w:val="000000"/>
          <w:spacing w:val="0"/>
          <w:w w:val="100"/>
          <w:position w:val="0"/>
          <w:sz w:val="24"/>
          <w:szCs w:val="24"/>
          <w:shd w:val="clear" w:color="auto" w:fill="auto"/>
          <w:lang w:val="cs-CZ" w:eastAsia="cs-CZ" w:bidi="cs-CZ"/>
        </w:rPr>
        <w:t>Zástupce objednatele ve věcech technických:</w:t>
      </w:r>
    </w:p>
    <w:p>
      <w:pPr>
        <w:pStyle w:val="Style6"/>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této smlouvy.</w:t>
      </w:r>
    </w:p>
    <w:p>
      <w:pPr>
        <w:pStyle w:val="Style6"/>
        <w:keepNext w:val="0"/>
        <w:keepLines w:val="0"/>
        <w:widowControl w:val="0"/>
        <w:numPr>
          <w:ilvl w:val="0"/>
          <w:numId w:val="5"/>
        </w:numPr>
        <w:shd w:val="clear" w:color="auto" w:fill="auto"/>
        <w:tabs>
          <w:tab w:pos="566" w:val="left"/>
        </w:tabs>
        <w:bidi w:val="0"/>
        <w:spacing w:before="0" w:after="380" w:line="240" w:lineRule="auto"/>
        <w:ind w:left="580" w:right="0" w:hanging="58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19"/>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Článek 6</w:t>
        <w:br/>
        <w:t>Placení a fakturace</w:t>
      </w:r>
      <w:bookmarkEnd w:id="18"/>
      <w:bookmarkEnd w:id="19"/>
    </w:p>
    <w:p>
      <w:pPr>
        <w:pStyle w:val="Style6"/>
        <w:keepNext w:val="0"/>
        <w:keepLines w:val="0"/>
        <w:widowControl w:val="0"/>
        <w:numPr>
          <w:ilvl w:val="0"/>
          <w:numId w:val="9"/>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Nárok na zaplacení ceny a právo vystavení faktury vzniká:</w:t>
      </w:r>
    </w:p>
    <w:p>
      <w:pPr>
        <w:pStyle w:val="Style6"/>
        <w:keepNext w:val="0"/>
        <w:keepLines w:val="0"/>
        <w:widowControl w:val="0"/>
        <w:numPr>
          <w:ilvl w:val="0"/>
          <w:numId w:val="11"/>
        </w:numPr>
        <w:shd w:val="clear" w:color="auto" w:fill="auto"/>
        <w:tabs>
          <w:tab w:pos="1435" w:val="left"/>
        </w:tabs>
        <w:bidi w:val="0"/>
        <w:spacing w:before="0" w:line="240" w:lineRule="auto"/>
        <w:ind w:left="1420" w:right="0" w:hanging="680"/>
        <w:jc w:val="both"/>
      </w:pPr>
      <w:r>
        <w:rPr>
          <w:color w:val="000000"/>
          <w:spacing w:val="0"/>
          <w:w w:val="100"/>
          <w:position w:val="0"/>
          <w:sz w:val="24"/>
          <w:szCs w:val="24"/>
          <w:shd w:val="clear" w:color="auto" w:fill="auto"/>
          <w:lang w:val="cs-CZ" w:eastAsia="cs-CZ" w:bidi="cs-CZ"/>
        </w:rPr>
        <w:t>Předáním kompletní dokumentace odsouhlasené objednatelem bez výhrad ve formě a v počtu sjednaném v této smlouvě; strany se dohodly, že objednatel zaplatí cenu za dílo na základě daňového dokladu vystaveného zhotovitelem ve lhůtě splatnosti 30 dnů od doručení.</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6"/>
        <w:keepNext w:val="0"/>
        <w:keepLines w:val="0"/>
        <w:widowControl w:val="0"/>
        <w:numPr>
          <w:ilvl w:val="0"/>
          <w:numId w:val="9"/>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nebude zhotoviteli poskytovat zálohy.</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z w:val="24"/>
          <w:szCs w:val="24"/>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Článek 7</w:t>
        <w:br/>
        <w:t>Smluvní pokuty</w:t>
      </w:r>
      <w:bookmarkEnd w:id="20"/>
      <w:bookmarkEnd w:id="21"/>
    </w:p>
    <w:p>
      <w:pPr>
        <w:pStyle w:val="Style6"/>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6"/>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PD 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z w:val="24"/>
          <w:szCs w:val="24"/>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6"/>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6"/>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24"/>
          <w:szCs w:val="24"/>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4"/>
          <w:szCs w:val="24"/>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6"/>
        <w:keepNext w:val="0"/>
        <w:keepLines w:val="0"/>
        <w:widowControl w:val="0"/>
        <w:numPr>
          <w:ilvl w:val="1"/>
          <w:numId w:val="9"/>
        </w:numPr>
        <w:shd w:val="clear" w:color="auto" w:fill="auto"/>
        <w:tabs>
          <w:tab w:pos="560" w:val="left"/>
        </w:tabs>
        <w:bidi w:val="0"/>
        <w:spacing w:before="0" w:after="0" w:line="346" w:lineRule="auto"/>
        <w:ind w:left="560" w:right="0" w:hanging="560"/>
        <w:jc w:val="both"/>
      </w:pPr>
      <w:r>
        <w:rPr>
          <w:color w:val="000000"/>
          <w:spacing w:val="0"/>
          <w:w w:val="100"/>
          <w:position w:val="0"/>
          <w:sz w:val="24"/>
          <w:szCs w:val="24"/>
          <w:shd w:val="clear" w:color="auto" w:fill="auto"/>
          <w:lang w:val="cs-CZ" w:eastAsia="cs-CZ" w:bidi="cs-CZ"/>
        </w:rPr>
        <w:t>Objednatel je povinen zaplatit zhotoviteli úrok z prodlení v zákonné výši z fakturované částky za každý započatý den prodlení se zaplacením faktury.</w:t>
      </w:r>
    </w:p>
    <w:p>
      <w:pPr>
        <w:pStyle w:val="Style6"/>
        <w:keepNext w:val="0"/>
        <w:keepLines w:val="0"/>
        <w:widowControl w:val="0"/>
        <w:numPr>
          <w:ilvl w:val="1"/>
          <w:numId w:val="9"/>
        </w:numPr>
        <w:shd w:val="clear" w:color="auto" w:fill="auto"/>
        <w:tabs>
          <w:tab w:pos="560" w:val="left"/>
        </w:tabs>
        <w:bidi w:val="0"/>
        <w:spacing w:before="0" w:after="900" w:line="240" w:lineRule="auto"/>
        <w:ind w:left="560" w:right="0" w:hanging="56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9"/>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Další ujednání</w:t>
      </w:r>
      <w:bookmarkEnd w:id="22"/>
      <w:bookmarkEnd w:id="23"/>
    </w:p>
    <w:p>
      <w:pPr>
        <w:pStyle w:val="Style6"/>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6"/>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xml:space="preserve">§ 2 písm. e) zákona č. 320/2001 Sb., o finanční kontrole </w:t>
      </w:r>
      <w:r>
        <w:rPr>
          <w:color w:val="000000"/>
          <w:spacing w:val="0"/>
          <w:w w:val="100"/>
          <w:position w:val="0"/>
          <w:sz w:val="24"/>
          <w:szCs w:val="24"/>
          <w:shd w:val="clear" w:color="auto" w:fill="auto"/>
          <w:lang w:val="cs-CZ" w:eastAsia="cs-CZ" w:bidi="cs-CZ"/>
        </w:rPr>
        <w:t>ve veřejné správě v platném znění.</w:t>
      </w:r>
    </w:p>
    <w:p>
      <w:pPr>
        <w:pStyle w:val="Style6"/>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6"/>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6"/>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6"/>
        <w:keepNext w:val="0"/>
        <w:keepLines w:val="0"/>
        <w:widowControl w:val="0"/>
        <w:numPr>
          <w:ilvl w:val="0"/>
          <w:numId w:val="13"/>
        </w:numPr>
        <w:shd w:val="clear" w:color="auto" w:fill="auto"/>
        <w:tabs>
          <w:tab w:pos="56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Nebezpečí škody na zhotovovaném díle přechází na objednatele předáním díla. </w:t>
      </w:r>
      <w:r>
        <w:rPr>
          <w:color w:val="000000"/>
          <w:spacing w:val="0"/>
          <w:w w:val="100"/>
          <w:position w:val="0"/>
          <w:sz w:val="24"/>
          <w:szCs w:val="24"/>
          <w:shd w:val="clear" w:color="auto" w:fill="auto"/>
          <w:lang w:val="cs-CZ" w:eastAsia="cs-CZ" w:bidi="cs-CZ"/>
        </w:rPr>
        <w:t>Vlastnické právo na zhotovované věci nabývá objednatel úplným zaplacením ceny za dílo.</w:t>
      </w:r>
    </w:p>
    <w:p>
      <w:pPr>
        <w:pStyle w:val="Style6"/>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6"/>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 celou dobu trvání smlouvy v rámci realizace díla až do jeho ukončení povinen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6"/>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6"/>
        <w:keepNext w:val="0"/>
        <w:keepLines w:val="0"/>
        <w:widowControl w:val="0"/>
        <w:shd w:val="clear" w:color="auto" w:fill="auto"/>
        <w:bidi w:val="0"/>
        <w:spacing w:before="0" w:after="780" w:line="240" w:lineRule="auto"/>
        <w:ind w:left="580" w:right="0" w:hanging="580"/>
        <w:jc w:val="both"/>
      </w:pPr>
      <w:r>
        <w:rPr>
          <w:b/>
          <w:bCs/>
          <w:color w:val="000000"/>
          <w:spacing w:val="0"/>
          <w:w w:val="100"/>
          <w:position w:val="0"/>
          <w:sz w:val="24"/>
          <w:szCs w:val="24"/>
          <w:shd w:val="clear" w:color="auto" w:fill="auto"/>
          <w:lang w:val="cs-CZ" w:eastAsia="cs-CZ" w:bidi="cs-CZ"/>
        </w:rPr>
        <w:t xml:space="preserve">8.10 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4"/>
          <w:szCs w:val="24"/>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4"/>
          <w:szCs w:val="24"/>
          <w:shd w:val="clear" w:color="auto" w:fill="auto"/>
          <w:lang w:val="cs-CZ" w:eastAsia="cs-CZ" w:bidi="cs-CZ"/>
        </w:rPr>
        <w:t>150.000,-- Kč</w:t>
      </w:r>
      <w:r>
        <w:rPr>
          <w:color w:val="000000"/>
          <w:spacing w:val="0"/>
          <w:w w:val="100"/>
          <w:position w:val="0"/>
          <w:sz w:val="24"/>
          <w:szCs w:val="24"/>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9"/>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Zvláštní ujednání</w:t>
      </w:r>
      <w:bookmarkEnd w:id="24"/>
      <w:bookmarkEnd w:id="25"/>
    </w:p>
    <w:p>
      <w:pPr>
        <w:pStyle w:val="Style6"/>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6"/>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6"/>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6"/>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 xml:space="preserve">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w:t>
      </w:r>
      <w:r>
        <w:rPr>
          <w:color w:val="000000"/>
          <w:spacing w:val="0"/>
          <w:w w:val="100"/>
          <w:position w:val="0"/>
          <w:sz w:val="24"/>
          <w:szCs w:val="24"/>
          <w:shd w:val="clear" w:color="auto" w:fill="auto"/>
          <w:lang w:val="cs-CZ" w:eastAsia="cs-CZ" w:bidi="cs-CZ"/>
        </w:rPr>
        <w:t>smlouvy i před uplynutím lhůty dodatečného plnění, poté, co prohlášení druhé smluvní strany obdržela.</w:t>
      </w:r>
    </w:p>
    <w:p>
      <w:pPr>
        <w:pStyle w:val="Style6"/>
        <w:keepNext w:val="0"/>
        <w:keepLines w:val="0"/>
        <w:widowControl w:val="0"/>
        <w:numPr>
          <w:ilvl w:val="1"/>
          <w:numId w:val="13"/>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6"/>
        <w:keepNext w:val="0"/>
        <w:keepLines w:val="0"/>
        <w:widowControl w:val="0"/>
        <w:numPr>
          <w:ilvl w:val="0"/>
          <w:numId w:val="15"/>
        </w:numPr>
        <w:shd w:val="clear" w:color="auto" w:fill="auto"/>
        <w:tabs>
          <w:tab w:pos="14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6"/>
        <w:keepNext w:val="0"/>
        <w:keepLines w:val="0"/>
        <w:widowControl w:val="0"/>
        <w:numPr>
          <w:ilvl w:val="0"/>
          <w:numId w:val="15"/>
        </w:numPr>
        <w:shd w:val="clear" w:color="auto" w:fill="auto"/>
        <w:tabs>
          <w:tab w:pos="1442" w:val="left"/>
          <w:tab w:pos="9030" w:val="left"/>
        </w:tabs>
        <w:bidi w:val="0"/>
        <w:spacing w:before="0" w:after="0" w:line="240" w:lineRule="auto"/>
        <w:ind w:left="1100" w:right="0" w:firstLine="0"/>
        <w:jc w:val="both"/>
      </w:pPr>
      <w:r>
        <w:rPr>
          <w:color w:val="000000"/>
          <w:spacing w:val="0"/>
          <w:w w:val="100"/>
          <w:position w:val="0"/>
          <w:sz w:val="24"/>
          <w:szCs w:val="24"/>
          <w:shd w:val="clear" w:color="auto" w:fill="auto"/>
          <w:lang w:val="cs-CZ" w:eastAsia="cs-CZ" w:bidi="cs-CZ"/>
        </w:rPr>
        <w:t>při zjištění, že dílo neodpovídají požadavkům objednatele stanoveným</w:t>
        <w:tab/>
        <w:t>v</w:t>
      </w:r>
    </w:p>
    <w:p>
      <w:pPr>
        <w:pStyle w:val="Style6"/>
        <w:keepNext w:val="0"/>
        <w:keepLines w:val="0"/>
        <w:widowControl w:val="0"/>
        <w:shd w:val="clear" w:color="auto" w:fill="auto"/>
        <w:bidi w:val="0"/>
        <w:spacing w:before="0" w:line="240" w:lineRule="auto"/>
        <w:ind w:left="1460" w:right="0" w:firstLine="0"/>
        <w:jc w:val="both"/>
      </w:pPr>
      <w:r>
        <w:rPr>
          <w:color w:val="000000"/>
          <w:spacing w:val="0"/>
          <w:w w:val="100"/>
          <w:position w:val="0"/>
          <w:sz w:val="24"/>
          <w:szCs w:val="24"/>
          <w:shd w:val="clear" w:color="auto" w:fill="auto"/>
          <w:lang w:val="cs-CZ" w:eastAsia="cs-CZ" w:bidi="cs-CZ"/>
        </w:rPr>
        <w:t>zadávací dokumentaci; a nebo</w:t>
      </w:r>
    </w:p>
    <w:p>
      <w:pPr>
        <w:pStyle w:val="Style6"/>
        <w:keepNext w:val="0"/>
        <w:keepLines w:val="0"/>
        <w:widowControl w:val="0"/>
        <w:numPr>
          <w:ilvl w:val="0"/>
          <w:numId w:val="15"/>
        </w:numPr>
        <w:shd w:val="clear" w:color="auto" w:fill="auto"/>
        <w:tabs>
          <w:tab w:pos="14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6"/>
        <w:keepNext w:val="0"/>
        <w:keepLines w:val="0"/>
        <w:widowControl w:val="0"/>
        <w:numPr>
          <w:ilvl w:val="0"/>
          <w:numId w:val="15"/>
        </w:numPr>
        <w:shd w:val="clear" w:color="auto" w:fill="auto"/>
        <w:tabs>
          <w:tab w:pos="14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6"/>
        <w:keepNext w:val="0"/>
        <w:keepLines w:val="0"/>
        <w:widowControl w:val="0"/>
        <w:numPr>
          <w:ilvl w:val="1"/>
          <w:numId w:val="13"/>
        </w:numPr>
        <w:shd w:val="clear" w:color="auto" w:fill="auto"/>
        <w:tabs>
          <w:tab w:pos="566" w:val="left"/>
        </w:tabs>
        <w:bidi w:val="0"/>
        <w:spacing w:before="0" w:after="90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9"/>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Článek 10</w:t>
        <w:br/>
        <w:t>Závěrečná ujednání</w:t>
      </w:r>
      <w:bookmarkEnd w:id="26"/>
      <w:bookmarkEnd w:id="27"/>
    </w:p>
    <w:p>
      <w:pPr>
        <w:pStyle w:val="Style6"/>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pPr>
        <w:pStyle w:val="Style6"/>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6"/>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6"/>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w:t>
      </w:r>
      <w:r>
        <w:br w:type="page"/>
      </w:r>
    </w:p>
    <w:p>
      <w:pPr>
        <w:pStyle w:val="Style6"/>
        <w:keepNext w:val="0"/>
        <w:keepLines w:val="0"/>
        <w:widowControl w:val="0"/>
        <w:shd w:val="clear" w:color="auto" w:fill="auto"/>
        <w:bidi w:val="0"/>
        <w:spacing w:before="0" w:after="120" w:line="240" w:lineRule="auto"/>
        <w:ind w:left="0" w:right="0" w:firstLine="740"/>
        <w:jc w:val="both"/>
      </w:pPr>
      <w:r>
        <w:rPr>
          <w:color w:val="000000"/>
          <w:spacing w:val="0"/>
          <w:w w:val="100"/>
          <w:position w:val="0"/>
          <w:sz w:val="24"/>
          <w:szCs w:val="24"/>
          <w:shd w:val="clear" w:color="auto" w:fill="auto"/>
          <w:lang w:val="cs-CZ" w:eastAsia="cs-CZ" w:bidi="cs-CZ"/>
        </w:rPr>
        <w:t>smlouvě musí být uzavřen v souladu s § 222 ZZVZ.</w:t>
      </w:r>
    </w:p>
    <w:p>
      <w:pPr>
        <w:pStyle w:val="Style6"/>
        <w:keepNext w:val="0"/>
        <w:keepLines w:val="0"/>
        <w:widowControl w:val="0"/>
        <w:numPr>
          <w:ilvl w:val="0"/>
          <w:numId w:val="17"/>
        </w:numPr>
        <w:shd w:val="clear" w:color="auto" w:fill="auto"/>
        <w:tabs>
          <w:tab w:pos="7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6"/>
        <w:keepNext w:val="0"/>
        <w:keepLines w:val="0"/>
        <w:widowControl w:val="0"/>
        <w:numPr>
          <w:ilvl w:val="0"/>
          <w:numId w:val="17"/>
        </w:numPr>
        <w:shd w:val="clear" w:color="auto" w:fill="auto"/>
        <w:tabs>
          <w:tab w:pos="710" w:val="left"/>
        </w:tabs>
        <w:bidi w:val="0"/>
        <w:spacing w:before="0" w:after="120" w:line="233" w:lineRule="auto"/>
        <w:ind w:left="740" w:right="0" w:hanging="740"/>
        <w:jc w:val="both"/>
      </w:pPr>
      <w:r>
        <w:rPr>
          <w:color w:val="000000"/>
          <w:spacing w:val="0"/>
          <w:w w:val="100"/>
          <w:position w:val="0"/>
          <w:sz w:val="24"/>
          <w:szCs w:val="24"/>
          <w:shd w:val="clear" w:color="auto" w:fill="auto"/>
          <w:lang w:val="cs-CZ" w:eastAsia="cs-CZ" w:bidi="cs-CZ"/>
        </w:rPr>
        <w:t>Smlouva je vyhotovena v elektronické podobě, přičemž obě smluvní strany obdrží její elektronický originál.</w:t>
      </w:r>
    </w:p>
    <w:p>
      <w:pPr>
        <w:pStyle w:val="Style6"/>
        <w:keepNext w:val="0"/>
        <w:keepLines w:val="0"/>
        <w:widowControl w:val="0"/>
        <w:numPr>
          <w:ilvl w:val="0"/>
          <w:numId w:val="17"/>
        </w:numPr>
        <w:shd w:val="clear" w:color="auto" w:fill="auto"/>
        <w:tabs>
          <w:tab w:pos="710" w:val="left"/>
        </w:tabs>
        <w:bidi w:val="0"/>
        <w:spacing w:before="0" w:after="120" w:line="240" w:lineRule="auto"/>
        <w:ind w:left="740" w:right="0" w:hanging="74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6"/>
        <w:keepNext w:val="0"/>
        <w:keepLines w:val="0"/>
        <w:widowControl w:val="0"/>
        <w:numPr>
          <w:ilvl w:val="0"/>
          <w:numId w:val="17"/>
        </w:numPr>
        <w:shd w:val="clear" w:color="auto" w:fill="auto"/>
        <w:tabs>
          <w:tab w:pos="710" w:val="left"/>
        </w:tabs>
        <w:bidi w:val="0"/>
        <w:spacing w:before="0" w:after="120" w:line="240" w:lineRule="auto"/>
        <w:ind w:left="740" w:right="0" w:hanging="740"/>
        <w:jc w:val="both"/>
      </w:pPr>
      <w:r>
        <w:rPr>
          <w:color w:val="000000"/>
          <w:spacing w:val="0"/>
          <w:w w:val="100"/>
          <w:position w:val="0"/>
          <w:sz w:val="24"/>
          <w:szCs w:val="24"/>
          <w:shd w:val="clear" w:color="auto" w:fill="auto"/>
          <w:lang w:val="cs-CZ" w:eastAsia="cs-CZ" w:bidi="cs-CZ"/>
        </w:rPr>
        <w:t>Tato 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a účinnosti dnem uveřejnění v informačním systému veřejné správy - Registru smluv.</w:t>
      </w:r>
    </w:p>
    <w:p>
      <w:pPr>
        <w:pStyle w:val="Style6"/>
        <w:keepNext w:val="0"/>
        <w:keepLines w:val="0"/>
        <w:widowControl w:val="0"/>
        <w:numPr>
          <w:ilvl w:val="0"/>
          <w:numId w:val="17"/>
        </w:numPr>
        <w:shd w:val="clear" w:color="auto" w:fill="auto"/>
        <w:tabs>
          <w:tab w:pos="710" w:val="left"/>
        </w:tabs>
        <w:bidi w:val="0"/>
        <w:spacing w:before="0" w:after="120" w:line="240" w:lineRule="auto"/>
        <w:ind w:left="740" w:right="0" w:hanging="740"/>
        <w:jc w:val="both"/>
      </w:pPr>
      <w:r>
        <w:rPr>
          <w:color w:val="000000"/>
          <w:spacing w:val="0"/>
          <w:w w:val="100"/>
          <w:position w:val="0"/>
          <w:sz w:val="24"/>
          <w:szCs w:val="24"/>
          <w:shd w:val="clear" w:color="auto" w:fill="auto"/>
          <w:lang w:val="cs-CZ" w:eastAsia="cs-CZ" w:bidi="cs-CZ"/>
        </w:rPr>
        <w:t>Účastnící se dohodli, že zákonnou povinnost dle § 5 odst. 2 zákona č. 340/2015 Sb., v platném znění (zákon o registru smluv) splní objednatel.</w:t>
      </w:r>
    </w:p>
    <w:p>
      <w:pPr>
        <w:pStyle w:val="Style6"/>
        <w:keepNext w:val="0"/>
        <w:keepLines w:val="0"/>
        <w:widowControl w:val="0"/>
        <w:numPr>
          <w:ilvl w:val="0"/>
          <w:numId w:val="17"/>
        </w:numPr>
        <w:shd w:val="clear" w:color="auto" w:fill="auto"/>
        <w:tabs>
          <w:tab w:pos="765" w:val="left"/>
        </w:tabs>
        <w:bidi w:val="0"/>
        <w:spacing w:before="0" w:after="500" w:line="240" w:lineRule="auto"/>
        <w:ind w:left="740" w:right="0" w:hanging="74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w:t>
      </w:r>
    </w:p>
    <w:p>
      <w:pPr>
        <w:pStyle w:val="Style19"/>
        <w:keepNext/>
        <w:keepLines/>
        <w:widowControl w:val="0"/>
        <w:shd w:val="clear" w:color="auto" w:fill="auto"/>
        <w:bidi w:val="0"/>
        <w:spacing w:before="0" w:after="120" w:line="240" w:lineRule="auto"/>
        <w:ind w:left="0" w:right="0" w:firstLine="0"/>
        <w:jc w:val="both"/>
      </w:pPr>
      <w:bookmarkStart w:id="28" w:name="bookmark28"/>
      <w:bookmarkStart w:id="29" w:name="bookmark29"/>
      <w:r>
        <w:rPr>
          <w:color w:val="000000"/>
          <w:spacing w:val="0"/>
          <w:w w:val="100"/>
          <w:position w:val="0"/>
          <w:sz w:val="24"/>
          <w:szCs w:val="24"/>
          <w:u w:val="single"/>
          <w:shd w:val="clear" w:color="auto" w:fill="auto"/>
          <w:lang w:val="cs-CZ" w:eastAsia="cs-CZ" w:bidi="cs-CZ"/>
        </w:rPr>
        <w:t>Přílohy:</w:t>
      </w:r>
      <w:bookmarkEnd w:id="28"/>
      <w:bookmarkEnd w:id="29"/>
    </w:p>
    <w:p>
      <w:pPr>
        <w:pStyle w:val="Style6"/>
        <w:keepNext w:val="0"/>
        <w:keepLines w:val="0"/>
        <w:widowControl w:val="0"/>
        <w:shd w:val="clear" w:color="auto" w:fill="auto"/>
        <w:bidi w:val="0"/>
        <w:spacing w:before="0" w:after="560" w:line="240" w:lineRule="auto"/>
        <w:ind w:left="0" w:right="0" w:firstLine="0"/>
        <w:jc w:val="both"/>
      </w:pPr>
      <w:r>
        <w:rPr>
          <w:color w:val="000000"/>
          <w:spacing w:val="0"/>
          <w:w w:val="100"/>
          <w:position w:val="0"/>
          <w:sz w:val="24"/>
          <w:szCs w:val="24"/>
          <w:shd w:val="clear" w:color="auto" w:fill="auto"/>
          <w:lang w:val="cs-CZ" w:eastAsia="cs-CZ" w:bidi="cs-CZ"/>
        </w:rPr>
        <w:t>Příloha č. 1 - Cenová nabídka ze dne 2. 11. 2021.</w:t>
      </w:r>
    </w:p>
    <w:p>
      <w:pPr>
        <w:pStyle w:val="Style2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ELETRONICKÉ TRANSAKCE, VE ZNĚNÍ POZDĚJŠÍCH PŘEDPISŮ.</w:t>
      </w:r>
    </w:p>
    <w:p>
      <w:pPr>
        <w:pStyle w:val="Style6"/>
        <w:keepNext w:val="0"/>
        <w:keepLines w:val="0"/>
        <w:widowControl w:val="0"/>
        <w:shd w:val="clear" w:color="auto" w:fill="auto"/>
        <w:bidi w:val="0"/>
        <w:spacing w:before="0" w:after="500" w:line="240" w:lineRule="auto"/>
        <w:ind w:left="0" w:right="0" w:firstLine="740"/>
        <w:jc w:val="left"/>
      </w:pPr>
      <w:r>
        <mc:AlternateContent>
          <mc:Choice Requires="wps">
            <w:drawing>
              <wp:anchor distT="0" distB="502920" distL="114300" distR="1891665" simplePos="0" relativeHeight="125829380" behindDoc="0" locked="0" layoutInCell="1" allowOverlap="1">
                <wp:simplePos x="0" y="0"/>
                <wp:positionH relativeFrom="page">
                  <wp:posOffset>869315</wp:posOffset>
                </wp:positionH>
                <wp:positionV relativeFrom="paragraph">
                  <wp:posOffset>12700</wp:posOffset>
                </wp:positionV>
                <wp:extent cx="725170" cy="201295"/>
                <wp:wrapSquare wrapText="right"/>
                <wp:docPr id="5" name="Shape 5"/>
                <a:graphic xmlns:a="http://schemas.openxmlformats.org/drawingml/2006/main">
                  <a:graphicData uri="http://schemas.microsoft.com/office/word/2010/wordprocessingShape">
                    <wps:wsp>
                      <wps:cNvSpPr txBox="1"/>
                      <wps:spPr>
                        <a:xfrm>
                          <a:ext cx="72517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1" type="#_x0000_t202" style="position:absolute;margin-left:68.450000000000003pt;margin-top:1.pt;width:57.100000000000001pt;height:15.85pt;z-index:-125829373;mso-wrap-distance-left:9.pt;mso-wrap-distance-right:148.94999999999999pt;mso-wrap-distance-bottom:39.60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mc:AlternateContent>
          <mc:Choice Requires="wps">
            <w:drawing>
              <wp:anchor distT="502920" distB="0" distL="153670" distR="114935" simplePos="0" relativeHeight="125829382" behindDoc="0" locked="0" layoutInCell="1" allowOverlap="1">
                <wp:simplePos x="0" y="0"/>
                <wp:positionH relativeFrom="page">
                  <wp:posOffset>908685</wp:posOffset>
                </wp:positionH>
                <wp:positionV relativeFrom="paragraph">
                  <wp:posOffset>515620</wp:posOffset>
                </wp:positionV>
                <wp:extent cx="2462530" cy="201295"/>
                <wp:wrapSquare wrapText="right"/>
                <wp:docPr id="7" name="Shape 7"/>
                <a:graphic xmlns:a="http://schemas.openxmlformats.org/drawingml/2006/main">
                  <a:graphicData uri="http://schemas.microsoft.com/office/word/2010/wordprocessingShape">
                    <wps:wsp>
                      <wps:cNvSpPr txBox="1"/>
                      <wps:spPr>
                        <a:xfrm>
                          <a:ext cx="2462530" cy="201295"/>
                        </a:xfrm>
                        <a:prstGeom prst="rect"/>
                        <a:noFill/>
                      </wps:spPr>
                      <wps:txbx>
                        <w:txbxContent>
                          <w:p>
                            <w:pPr>
                              <w:pStyle w:val="Style6"/>
                              <w:keepNext w:val="0"/>
                              <w:keepLines w:val="0"/>
                              <w:widowControl w:val="0"/>
                              <w:shd w:val="clear" w:color="auto" w:fill="auto"/>
                              <w:tabs>
                                <w:tab w:leader="dot" w:pos="380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Novém Veselí dne: </w:t>
                              <w:tab/>
                            </w:r>
                          </w:p>
                        </w:txbxContent>
                      </wps:txbx>
                      <wps:bodyPr wrap="none" lIns="0" tIns="0" rIns="0" bIns="0">
                        <a:noAutoFit/>
                      </wps:bodyPr>
                    </wps:wsp>
                  </a:graphicData>
                </a:graphic>
              </wp:anchor>
            </w:drawing>
          </mc:Choice>
          <mc:Fallback>
            <w:pict>
              <v:shape id="_x0000_s1033" type="#_x0000_t202" style="position:absolute;margin-left:71.549999999999997pt;margin-top:40.600000000000001pt;width:193.90000000000001pt;height:15.85pt;z-index:-125829371;mso-wrap-distance-left:12.1pt;mso-wrap-distance-top:39.600000000000001pt;mso-wrap-distance-right:9.0500000000000007pt;mso-position-horizontal-relative:page" filled="f" stroked="f">
                <v:textbox inset="0,0,0,0">
                  <w:txbxContent>
                    <w:p>
                      <w:pPr>
                        <w:pStyle w:val="Style6"/>
                        <w:keepNext w:val="0"/>
                        <w:keepLines w:val="0"/>
                        <w:widowControl w:val="0"/>
                        <w:shd w:val="clear" w:color="auto" w:fill="auto"/>
                        <w:tabs>
                          <w:tab w:leader="dot" w:pos="380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Novém Veselí dne: </w:t>
                        <w:tab/>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Objednatel:</w:t>
      </w:r>
    </w:p>
    <w:p>
      <w:pPr>
        <w:pStyle w:val="Style6"/>
        <w:keepNext w:val="0"/>
        <w:keepLines w:val="0"/>
        <w:widowControl w:val="0"/>
        <w:shd w:val="clear" w:color="auto" w:fill="auto"/>
        <w:tabs>
          <w:tab w:leader="dot" w:pos="3130" w:val="left"/>
        </w:tabs>
        <w:bidi w:val="0"/>
        <w:spacing w:before="0" w:after="0" w:line="240" w:lineRule="auto"/>
        <w:ind w:left="0" w:right="480" w:firstLine="0"/>
        <w:jc w:val="right"/>
        <w:sectPr>
          <w:footerReference w:type="default" r:id="rId5"/>
          <w:footnotePr>
            <w:pos w:val="pageBottom"/>
            <w:numFmt w:val="decimal"/>
            <w:numRestart w:val="continuous"/>
          </w:footnotePr>
          <w:pgSz w:w="11900" w:h="16840"/>
          <w:pgMar w:top="975" w:left="1330" w:right="1166" w:bottom="1092" w:header="547"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75" w:left="0" w:right="0" w:bottom="975"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Leoš Pohanka</w:t>
        <w:br/>
        <w:t>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Radovan Necid</w:t>
      </w:r>
    </w:p>
    <w:p>
      <w:pPr>
        <w:pStyle w:val="Style6"/>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975" w:left="2760" w:right="2559" w:bottom="975" w:header="0" w:footer="3" w:gutter="0"/>
          <w:cols w:num="2" w:space="2578"/>
          <w:noEndnote/>
          <w:rtlGutter w:val="0"/>
          <w:docGrid w:linePitch="360"/>
        </w:sectPr>
      </w:pPr>
      <w:r>
        <w:rPr>
          <w:color w:val="000000"/>
          <w:spacing w:val="0"/>
          <w:w w:val="100"/>
          <w:position w:val="0"/>
          <w:sz w:val="24"/>
          <w:szCs w:val="24"/>
          <w:shd w:val="clear" w:color="auto" w:fill="auto"/>
          <w:lang w:val="cs-CZ" w:eastAsia="cs-CZ" w:bidi="cs-CZ"/>
        </w:rPr>
        <w:t>Ředitel organizace</w:t>
      </w:r>
    </w:p>
    <w:sectPr>
      <w:footnotePr>
        <w:pos w:val="pageBottom"/>
        <w:numFmt w:val="decimal"/>
        <w:numRestart w:val="continuous"/>
      </w:footnotePr>
      <w:type w:val="continuous"/>
      <w:pgSz w:w="11900" w:h="16840"/>
      <w:pgMar w:top="975" w:left="2760" w:right="2559" w:bottom="975" w:header="0" w:footer="3" w:gutter="0"/>
      <w:cols w:num="2" w:space="257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902335</wp:posOffset>
              </wp:positionH>
              <wp:positionV relativeFrom="page">
                <wp:posOffset>10214610</wp:posOffset>
              </wp:positionV>
              <wp:extent cx="3215640" cy="109855"/>
              <wp:wrapNone/>
              <wp:docPr id="9" name="Shape 9"/>
              <a:graphic xmlns:a="http://schemas.openxmlformats.org/drawingml/2006/main">
                <a:graphicData uri="http://schemas.microsoft.com/office/word/2010/wordprocessingShape">
                  <wps:wsp>
                    <wps:cNvSpPr txBox="1"/>
                    <wps:spPr>
                      <a:xfrm>
                        <a:ext cx="3215640" cy="109855"/>
                      </a:xfrm>
                      <a:prstGeom prst="rect"/>
                      <a:noFill/>
                    </wps:spPr>
                    <wps:txbx>
                      <w:txbxContent>
                        <w:p>
                          <w:pPr>
                            <w:pStyle w:val="Style10"/>
                            <w:keepNext w:val="0"/>
                            <w:keepLines w:val="0"/>
                            <w:widowControl w:val="0"/>
                            <w:shd w:val="clear" w:color="auto" w:fill="auto"/>
                            <w:tabs>
                              <w:tab w:pos="5064" w:val="right"/>
                            </w:tabs>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Rekonstrukce administrativní budovy na cm ZR</w:t>
                            <w:tab/>
                          </w: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txbxContent>
                    </wps:txbx>
                    <wps:bodyPr lIns="0" tIns="0" rIns="0" bIns="0">
                      <a:spAutoFit/>
                    </wps:bodyPr>
                  </wps:wsp>
                </a:graphicData>
              </a:graphic>
            </wp:anchor>
          </w:drawing>
        </mc:Choice>
        <mc:Fallback>
          <w:pict>
            <v:shape id="_x0000_s1035" type="#_x0000_t202" style="position:absolute;margin-left:71.049999999999997pt;margin-top:804.29999999999995pt;width:253.19999999999999pt;height:8.6500000000000004pt;z-index:-18874406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5064" w:val="right"/>
                      </w:tabs>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Rekonstrukce administrativní budovy na cm ZR</w:t>
                      <w:tab/>
                    </w: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884555</wp:posOffset>
              </wp:positionH>
              <wp:positionV relativeFrom="page">
                <wp:posOffset>10170160</wp:posOffset>
              </wp:positionV>
              <wp:extent cx="5891530" cy="0"/>
              <wp:wrapNone/>
              <wp:docPr id="11" name="Shape 11"/>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650000000000006pt;margin-top:800.79999999999995pt;width:463.89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2"/>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32"/>
      <w:szCs w:val="32"/>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2_"/>
    <w:basedOn w:val="DefaultParagraphFont"/>
    <w:link w:val="Style19"/>
    <w:rPr>
      <w:rFonts w:ascii="Times New Roman" w:eastAsia="Times New Roman" w:hAnsi="Times New Roman" w:cs="Times New Roman"/>
      <w:b/>
      <w:bCs/>
      <w:i w:val="0"/>
      <w:iCs w:val="0"/>
      <w:smallCaps w:val="0"/>
      <w:strike w:val="0"/>
      <w:u w:val="none"/>
    </w:rPr>
  </w:style>
  <w:style w:type="character" w:customStyle="1" w:styleId="CharStyle24">
    <w:name w:val="Základní text (2)_"/>
    <w:basedOn w:val="DefaultParagraphFont"/>
    <w:link w:val="Style23"/>
    <w:rPr>
      <w:rFonts w:ascii="Calibri" w:eastAsia="Calibri" w:hAnsi="Calibri" w:cs="Calibri"/>
      <w:b w:val="0"/>
      <w:bCs w:val="0"/>
      <w:i w:val="0"/>
      <w:iCs w:val="0"/>
      <w:smallCaps w:val="0"/>
      <w:strike w:val="0"/>
      <w:sz w:val="24"/>
      <w:szCs w:val="24"/>
      <w:u w:val="none"/>
    </w:rPr>
  </w:style>
  <w:style w:type="paragraph" w:customStyle="1" w:styleId="Style2">
    <w:name w:val="Jiné"/>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6">
    <w:name w:val="Základní text"/>
    <w:basedOn w:val="Normal"/>
    <w:link w:val="CharStyle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8">
    <w:name w:val="Nadpis #1"/>
    <w:basedOn w:val="Normal"/>
    <w:link w:val="CharStyle9"/>
    <w:pPr>
      <w:widowControl w:val="0"/>
      <w:shd w:val="clear" w:color="auto" w:fill="FFFFFF"/>
      <w:spacing w:after="290" w:line="235" w:lineRule="auto"/>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100"/>
      <w:jc w:val="center"/>
      <w:outlineLvl w:val="1"/>
    </w:pPr>
    <w:rPr>
      <w:rFonts w:ascii="Times New Roman" w:eastAsia="Times New Roman" w:hAnsi="Times New Roman" w:cs="Times New Roman"/>
      <w:b/>
      <w:bCs/>
      <w:i w:val="0"/>
      <w:iCs w:val="0"/>
      <w:smallCaps w:val="0"/>
      <w:strike w:val="0"/>
      <w:u w:val="none"/>
    </w:rPr>
  </w:style>
  <w:style w:type="paragraph" w:customStyle="1" w:styleId="Style23">
    <w:name w:val="Základní text (2)"/>
    <w:basedOn w:val="Normal"/>
    <w:link w:val="CharStyle24"/>
    <w:pPr>
      <w:widowControl w:val="0"/>
      <w:shd w:val="clear" w:color="auto" w:fill="FFFFFF"/>
      <w:spacing w:after="1300" w:line="276" w:lineRule="auto"/>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Miluše</dc:creator>
  <cp:keywords/>
</cp:coreProperties>
</file>