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bookmarkStart w:id="0" w:name="_GoBack"/>
      <w:bookmarkEnd w:id="0"/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792A08">
        <w:rPr>
          <w:b/>
        </w:rPr>
        <w:t>FATO Hlaváč, s.r.o.</w:t>
      </w:r>
    </w:p>
    <w:p w:rsidR="0021496D" w:rsidRPr="00A80C36" w:rsidRDefault="00792A08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Palackého 57, Moravský Krumlov, 672 01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792A08">
        <w:t>26939681</w:t>
      </w:r>
      <w:r w:rsidR="00676211" w:rsidRPr="00A80C36">
        <w:tab/>
      </w:r>
      <w:r w:rsidRPr="00A80C36">
        <w:t>DIČ: CZ</w:t>
      </w:r>
      <w:r w:rsidR="00792A08">
        <w:t>26939681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792A08">
        <w:t>168513328/0600</w:t>
      </w:r>
      <w:r w:rsidRPr="00A80C36">
        <w:t xml:space="preserve">  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792A08">
        <w:t>František Hlaváč, jednatel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proofErr w:type="spellStart"/>
      <w:r w:rsidR="00792A08">
        <w:rPr>
          <w:b/>
        </w:rPr>
        <w:t>vodoinstalační</w:t>
      </w:r>
      <w:proofErr w:type="spellEnd"/>
      <w:r w:rsidR="00792A08">
        <w:rPr>
          <w:b/>
        </w:rPr>
        <w:t xml:space="preserve"> práce, instalatérství a topenářství, dodání </w:t>
      </w:r>
      <w:proofErr w:type="spellStart"/>
      <w:r w:rsidR="00792A08">
        <w:rPr>
          <w:b/>
        </w:rPr>
        <w:t>vodoinstalatérského</w:t>
      </w:r>
      <w:proofErr w:type="spellEnd"/>
      <w:r w:rsidR="00792A08">
        <w:rPr>
          <w:b/>
        </w:rPr>
        <w:t xml:space="preserve"> materiálu</w:t>
      </w:r>
      <w:r w:rsidR="00296C1E" w:rsidRPr="00A80C36">
        <w:rPr>
          <w:b/>
        </w:rPr>
        <w:t xml:space="preserve">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r w:rsidR="0072601C">
        <w:t>23</w:t>
      </w:r>
      <w:r w:rsidR="008F50D2">
        <w:t>.12.</w:t>
      </w:r>
      <w:r w:rsidRPr="00A80C36">
        <w:t>2021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792A08" w:rsidP="00D2151E">
      <w:pPr>
        <w:autoSpaceDE w:val="0"/>
        <w:autoSpaceDN w:val="0"/>
        <w:adjustRightInd w:val="0"/>
        <w:spacing w:line="276" w:lineRule="auto"/>
      </w:pPr>
      <w:r>
        <w:t>František Hlaváč</w:t>
      </w:r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BF" w:rsidRDefault="00CA13BF" w:rsidP="003F7C62">
      <w:r>
        <w:separator/>
      </w:r>
    </w:p>
  </w:endnote>
  <w:endnote w:type="continuationSeparator" w:id="0">
    <w:p w:rsidR="00CA13BF" w:rsidRDefault="00CA13BF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F4320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F432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BF" w:rsidRDefault="00CA13BF" w:rsidP="003F7C62">
      <w:r>
        <w:separator/>
      </w:r>
    </w:p>
  </w:footnote>
  <w:footnote w:type="continuationSeparator" w:id="0">
    <w:p w:rsidR="00CA13BF" w:rsidRDefault="00CA13BF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91A52"/>
    <w:rsid w:val="001F4320"/>
    <w:rsid w:val="0021496D"/>
    <w:rsid w:val="00296C1E"/>
    <w:rsid w:val="003F7C62"/>
    <w:rsid w:val="00495FF1"/>
    <w:rsid w:val="005359C8"/>
    <w:rsid w:val="005C12E9"/>
    <w:rsid w:val="00676211"/>
    <w:rsid w:val="006B516C"/>
    <w:rsid w:val="0072601C"/>
    <w:rsid w:val="007904CF"/>
    <w:rsid w:val="00792A08"/>
    <w:rsid w:val="007D7C90"/>
    <w:rsid w:val="008F50D2"/>
    <w:rsid w:val="00A237EA"/>
    <w:rsid w:val="00A80C36"/>
    <w:rsid w:val="00B00159"/>
    <w:rsid w:val="00CA13BF"/>
    <w:rsid w:val="00CC0999"/>
    <w:rsid w:val="00D2151E"/>
    <w:rsid w:val="00D242F1"/>
    <w:rsid w:val="00E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DE12-4D24-4BC8-8BC0-7AD891A9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Leikepová</dc:creator>
  <cp:keywords/>
  <dc:description/>
  <cp:lastModifiedBy>Květa Leikepová</cp:lastModifiedBy>
  <cp:revision>17</cp:revision>
  <cp:lastPrinted>2022-01-19T08:15:00Z</cp:lastPrinted>
  <dcterms:created xsi:type="dcterms:W3CDTF">2021-10-11T08:39:00Z</dcterms:created>
  <dcterms:modified xsi:type="dcterms:W3CDTF">2022-01-19T08:16:00Z</dcterms:modified>
</cp:coreProperties>
</file>