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982"/>
        <w:gridCol w:w="7282"/>
      </w:tblGrid>
      <w:tr>
        <w:trPr>
          <w:trHeight w:val="181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5"/>
              <w:keepNext w:val="0"/>
              <w:keepLines w:val="0"/>
              <w:widowControl w:val="0"/>
              <w:shd w:val="clear" w:color="auto" w:fill="auto"/>
              <w:bidi w:val="0"/>
              <w:spacing w:before="0" w:after="640" w:line="240" w:lineRule="auto"/>
              <w:ind w:left="0" w:right="0" w:firstLine="960"/>
              <w:jc w:val="left"/>
              <w:rPr>
                <w:sz w:val="32"/>
                <w:szCs w:val="32"/>
              </w:rPr>
            </w:pPr>
            <w:r>
              <w:rPr>
                <w:b/>
                <w:bCs/>
                <w:color w:val="000000"/>
                <w:spacing w:val="0"/>
                <w:w w:val="100"/>
                <w:position w:val="0"/>
                <w:sz w:val="32"/>
                <w:szCs w:val="32"/>
                <w:shd w:val="clear" w:color="auto" w:fill="auto"/>
                <w:lang w:val="cs-CZ" w:eastAsia="cs-CZ" w:bidi="cs-CZ"/>
              </w:rPr>
              <w:t>S M L O U V A O D Í L O</w:t>
            </w:r>
          </w:p>
          <w:p>
            <w:pPr>
              <w:pStyle w:val="Style5"/>
              <w:keepNext w:val="0"/>
              <w:keepLines w:val="0"/>
              <w:widowControl w:val="0"/>
              <w:shd w:val="clear" w:color="auto" w:fill="auto"/>
              <w:bidi w:val="0"/>
              <w:spacing w:before="0" w:after="0" w:line="334" w:lineRule="auto"/>
              <w:ind w:left="0" w:right="0" w:firstLine="0"/>
              <w:jc w:val="center"/>
            </w:pPr>
            <w:r>
              <w:rPr>
                <w:b/>
                <w:bCs/>
                <w:color w:val="000000"/>
                <w:spacing w:val="0"/>
                <w:w w:val="100"/>
                <w:position w:val="0"/>
                <w:shd w:val="clear" w:color="auto" w:fill="auto"/>
                <w:lang w:val="cs-CZ" w:eastAsia="cs-CZ" w:bidi="cs-CZ"/>
              </w:rPr>
              <w:t>Článek 1 Smluvní strany</w:t>
            </w:r>
          </w:p>
        </w:tc>
      </w:tr>
      <w:tr>
        <w:trPr>
          <w:trHeight w:val="41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after="99" w:line="1" w:lineRule="exact"/>
      </w:pPr>
    </w:p>
    <w:p>
      <w:pPr>
        <w:widowControl w:val="0"/>
        <w:spacing w:line="1" w:lineRule="exact"/>
      </w:pPr>
    </w:p>
    <w:p>
      <w:pPr>
        <w:pStyle w:val="Style14"/>
        <w:keepNext w:val="0"/>
        <w:keepLines w:val="0"/>
        <w:widowControl w:val="0"/>
        <w:shd w:val="clear" w:color="auto" w:fill="auto"/>
        <w:bidi w:val="0"/>
        <w:spacing w:before="0" w:after="0" w:line="240" w:lineRule="auto"/>
        <w:ind w:left="0" w:right="0" w:firstLine="0"/>
        <w:jc w:val="left"/>
        <w:rPr>
          <w:sz w:val="24"/>
          <w:szCs w:val="24"/>
        </w:rPr>
      </w:pPr>
      <w:r>
        <w:rPr>
          <w:i w:val="0"/>
          <w:iCs w:val="0"/>
          <w:color w:val="000000"/>
          <w:spacing w:val="0"/>
          <w:w w:val="100"/>
          <w:position w:val="0"/>
          <w:sz w:val="24"/>
          <w:szCs w:val="24"/>
          <w:shd w:val="clear" w:color="auto" w:fill="auto"/>
          <w:lang w:val="cs-CZ" w:eastAsia="cs-CZ" w:bidi="cs-CZ"/>
        </w:rPr>
        <w:t>Osoba pověřená jednat jménem objednatele ve věcech</w:t>
      </w:r>
    </w:p>
    <w:tbl>
      <w:tblPr>
        <w:tblOverlap w:val="never"/>
        <w:jc w:val="center"/>
        <w:tblLayout w:type="fixed"/>
      </w:tblPr>
      <w:tblGrid>
        <w:gridCol w:w="1982"/>
        <w:gridCol w:w="7282"/>
      </w:tblGrid>
      <w:tr>
        <w:trPr>
          <w:trHeight w:val="322"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organizace</w:t>
            </w:r>
          </w:p>
        </w:tc>
      </w:tr>
      <w:tr>
        <w:trPr>
          <w:trHeight w:val="41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00090450</w:t>
            </w:r>
          </w:p>
        </w:tc>
      </w:tr>
      <w:tr>
        <w:trPr>
          <w:trHeight w:val="41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CZ00090450</w:t>
            </w:r>
          </w:p>
        </w:tc>
      </w:tr>
      <w:tr>
        <w:trPr>
          <w:trHeight w:val="355"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 Vysočina</w:t>
            </w:r>
          </w:p>
        </w:tc>
      </w:tr>
    </w:tbl>
    <w:p>
      <w:pPr>
        <w:widowControl w:val="0"/>
        <w:spacing w:after="99" w:line="1" w:lineRule="exact"/>
      </w:pPr>
    </w:p>
    <w:p>
      <w:pPr>
        <w:pStyle w:val="Style2"/>
        <w:keepNext w:val="0"/>
        <w:keepLines w:val="0"/>
        <w:widowControl w:val="0"/>
        <w:shd w:val="clear" w:color="auto" w:fill="auto"/>
        <w:bidi w:val="0"/>
        <w:spacing w:before="0" w:after="0" w:line="338" w:lineRule="auto"/>
        <w:ind w:left="0" w:right="0" w:firstLine="0"/>
        <w:jc w:val="both"/>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p>
    <w:tbl>
      <w:tblPr>
        <w:tblOverlap w:val="never"/>
        <w:jc w:val="center"/>
        <w:tblLayout w:type="fixed"/>
      </w:tblPr>
      <w:tblGrid>
        <w:gridCol w:w="1982"/>
        <w:gridCol w:w="7282"/>
      </w:tblGrid>
      <w:tr>
        <w:trPr>
          <w:trHeight w:val="322"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MIDAKON s.r.o.</w:t>
            </w:r>
          </w:p>
        </w:tc>
      </w:tr>
      <w:tr>
        <w:trPr>
          <w:trHeight w:val="41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Na Návsi 18/4, 620 00 Brno</w:t>
            </w:r>
          </w:p>
        </w:tc>
      </w:tr>
      <w:tr>
        <w:trPr>
          <w:trHeight w:val="355"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Ing. Milanem Sedlákem, jednatelem</w:t>
            </w:r>
          </w:p>
        </w:tc>
      </w:tr>
    </w:tbl>
    <w:p>
      <w:pPr>
        <w:widowControl w:val="0"/>
        <w:spacing w:after="99" w:line="1" w:lineRule="exact"/>
      </w:pPr>
    </w:p>
    <w:p>
      <w:pPr>
        <w:pStyle w:val="Style2"/>
        <w:keepNext w:val="0"/>
        <w:keepLines w:val="0"/>
        <w:widowControl w:val="0"/>
        <w:shd w:val="clear" w:color="auto" w:fill="auto"/>
        <w:bidi w:val="0"/>
        <w:spacing w:before="0" w:after="0" w:line="334" w:lineRule="auto"/>
        <w:ind w:left="0" w:right="0" w:firstLine="0"/>
        <w:jc w:val="both"/>
      </w:pPr>
      <w:r>
        <w:rPr>
          <w:color w:val="000000"/>
          <w:spacing w:val="0"/>
          <w:w w:val="100"/>
          <w:position w:val="0"/>
          <w:shd w:val="clear" w:color="auto" w:fill="auto"/>
          <w:lang w:val="cs-CZ" w:eastAsia="cs-CZ" w:bidi="cs-CZ"/>
        </w:rPr>
        <w:t>zapsán v obchodním rejstříku Krajským/městským soudem v Brně pod sp. zn. Oddíl C vložka 116217</w:t>
      </w:r>
    </w:p>
    <w:p>
      <w:pPr>
        <w:pStyle w:val="Style2"/>
        <w:keepNext w:val="0"/>
        <w:keepLines w:val="0"/>
        <w:widowControl w:val="0"/>
        <w:shd w:val="clear" w:color="auto" w:fill="auto"/>
        <w:bidi w:val="0"/>
        <w:spacing w:before="0" w:after="0" w:line="334" w:lineRule="auto"/>
        <w:ind w:left="0" w:right="0" w:firstLine="0"/>
        <w:jc w:val="both"/>
      </w:pPr>
      <w:r>
        <w:rPr>
          <w:color w:val="000000"/>
          <w:spacing w:val="0"/>
          <w:w w:val="100"/>
          <w:position w:val="0"/>
          <w:shd w:val="clear" w:color="auto" w:fill="auto"/>
          <w:lang w:val="cs-CZ" w:eastAsia="cs-CZ" w:bidi="cs-CZ"/>
        </w:rPr>
        <w:t>Osoba pověřená jednat jménem zhotovitele ve věcech smluvních:</w:t>
      </w:r>
    </w:p>
    <w:tbl>
      <w:tblPr>
        <w:tblOverlap w:val="never"/>
        <w:jc w:val="center"/>
        <w:tblLayout w:type="fixed"/>
      </w:tblPr>
      <w:tblGrid>
        <w:gridCol w:w="1982"/>
        <w:gridCol w:w="7282"/>
      </w:tblGrid>
      <w:tr>
        <w:trPr>
          <w:trHeight w:val="31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08927677</w:t>
            </w:r>
          </w:p>
        </w:tc>
      </w:tr>
      <w:tr>
        <w:trPr>
          <w:trHeight w:val="31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CZ08927677</w:t>
            </w:r>
          </w:p>
        </w:tc>
      </w:tr>
    </w:tbl>
    <w:p>
      <w:pPr>
        <w:widowControl w:val="0"/>
        <w:spacing w:after="13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 xml:space="preserve">Za účelem realizace díla definovaného v této smlouvě o dílo navazující na výběr nejvhodnější nabídky v rámci veřejné zakázky s názvem </w:t>
      </w:r>
      <w:r>
        <w:rPr>
          <w:b/>
          <w:bCs/>
          <w:color w:val="000000"/>
          <w:spacing w:val="0"/>
          <w:w w:val="100"/>
          <w:position w:val="0"/>
          <w:shd w:val="clear" w:color="auto" w:fill="auto"/>
          <w:lang w:val="cs-CZ" w:eastAsia="cs-CZ" w:bidi="cs-CZ"/>
        </w:rPr>
        <w:t xml:space="preserve">„Vypracování projektové dokumentace II/390 Kamenná - most ev. č. 390-008 “, </w:t>
      </w:r>
      <w:r>
        <w:rPr>
          <w:color w:val="000000"/>
          <w:spacing w:val="0"/>
          <w:w w:val="100"/>
          <w:position w:val="0"/>
          <w:shd w:val="clear" w:color="auto" w:fill="auto"/>
          <w:lang w:val="cs-CZ" w:eastAsia="cs-CZ" w:bidi="cs-CZ"/>
        </w:rPr>
        <w:t>uzavírají níže uvedeného dne, měsíce a roku tuto Smlouvu o dílo (dále jen „smlouva“).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59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hd w:val="clear" w:color="auto" w:fill="auto"/>
          <w:lang w:val="cs-CZ" w:eastAsia="cs-CZ" w:bidi="cs-CZ"/>
        </w:rPr>
        <w:t xml:space="preserve">vypracování samostatné projektové dokumentace (PD) a zajištění výkonu autorského dozoru (AD) </w:t>
      </w: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II/390 Kamenná - most ev. č. 390-008,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mají přednost před ujednáními v této smlouvě.</w:t>
      </w:r>
    </w:p>
    <w:p>
      <w:pPr>
        <w:pStyle w:val="Style2"/>
        <w:keepNext w:val="0"/>
        <w:keepLines w:val="0"/>
        <w:widowControl w:val="0"/>
        <w:numPr>
          <w:ilvl w:val="0"/>
          <w:numId w:val="1"/>
        </w:numPr>
        <w:shd w:val="clear" w:color="auto" w:fill="auto"/>
        <w:tabs>
          <w:tab w:pos="596"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9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součástí této smlouvy.</w:t>
      </w:r>
    </w:p>
    <w:p>
      <w:pPr>
        <w:pStyle w:val="Style2"/>
        <w:keepNext w:val="0"/>
        <w:keepLines w:val="0"/>
        <w:widowControl w:val="0"/>
        <w:numPr>
          <w:ilvl w:val="0"/>
          <w:numId w:val="1"/>
        </w:numPr>
        <w:shd w:val="clear" w:color="auto" w:fill="auto"/>
        <w:tabs>
          <w:tab w:pos="596" w:val="left"/>
        </w:tabs>
        <w:bidi w:val="0"/>
        <w:spacing w:before="0" w:after="94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2"/>
        <w:keepNext w:val="0"/>
        <w:keepLines w:val="0"/>
        <w:widowControl w:val="0"/>
        <w:numPr>
          <w:ilvl w:val="0"/>
          <w:numId w:val="3"/>
        </w:numPr>
        <w:shd w:val="clear" w:color="auto" w:fill="auto"/>
        <w:tabs>
          <w:tab w:pos="596"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nedílnou součástí této smlouvy.</w:t>
      </w:r>
    </w:p>
    <w:p>
      <w:pPr>
        <w:pStyle w:val="Style2"/>
        <w:keepNext w:val="0"/>
        <w:keepLines w:val="0"/>
        <w:widowControl w:val="0"/>
        <w:numPr>
          <w:ilvl w:val="0"/>
          <w:numId w:val="3"/>
        </w:numPr>
        <w:shd w:val="clear" w:color="auto" w:fill="auto"/>
        <w:tabs>
          <w:tab w:pos="596"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2"/>
        <w:keepNext w:val="0"/>
        <w:keepLines w:val="0"/>
        <w:widowControl w:val="0"/>
        <w:numPr>
          <w:ilvl w:val="0"/>
          <w:numId w:val="3"/>
        </w:numPr>
        <w:shd w:val="clear" w:color="auto" w:fill="auto"/>
        <w:tabs>
          <w:tab w:pos="596" w:val="left"/>
        </w:tabs>
        <w:bidi w:val="0"/>
        <w:spacing w:before="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2"/>
        <w:keepNext w:val="0"/>
        <w:keepLines w:val="0"/>
        <w:widowControl w:val="0"/>
        <w:numPr>
          <w:ilvl w:val="0"/>
          <w:numId w:val="3"/>
        </w:numPr>
        <w:shd w:val="clear" w:color="auto" w:fill="auto"/>
        <w:tabs>
          <w:tab w:pos="596" w:val="left"/>
        </w:tabs>
        <w:bidi w:val="0"/>
        <w:spacing w:before="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2"/>
        <w:keepNext w:val="0"/>
        <w:keepLines w:val="0"/>
        <w:widowControl w:val="0"/>
        <w:numPr>
          <w:ilvl w:val="0"/>
          <w:numId w:val="3"/>
        </w:numPr>
        <w:shd w:val="clear" w:color="auto" w:fill="auto"/>
        <w:tabs>
          <w:tab w:pos="596" w:val="left"/>
        </w:tabs>
        <w:bidi w:val="0"/>
        <w:spacing w:before="0" w:line="240" w:lineRule="auto"/>
        <w:ind w:left="0" w:right="0" w:firstLine="0"/>
        <w:jc w:val="left"/>
      </w:pPr>
      <w:r>
        <w:rPr>
          <w:color w:val="000000"/>
          <w:spacing w:val="0"/>
          <w:w w:val="100"/>
          <w:position w:val="0"/>
          <w:shd w:val="clear" w:color="auto" w:fill="auto"/>
          <w:lang w:val="cs-CZ" w:eastAsia="cs-CZ" w:bidi="cs-CZ"/>
        </w:rPr>
        <w:t>Nevysloví-li zástupce objednatele souhlas se stavěním lhůty, lhůta běží bez přerušení.</w:t>
      </w:r>
    </w:p>
    <w:p>
      <w:pPr>
        <w:pStyle w:val="Style2"/>
        <w:keepNext w:val="0"/>
        <w:keepLines w:val="0"/>
        <w:widowControl w:val="0"/>
        <w:numPr>
          <w:ilvl w:val="0"/>
          <w:numId w:val="3"/>
        </w:numPr>
        <w:shd w:val="clear" w:color="auto" w:fill="auto"/>
        <w:tabs>
          <w:tab w:pos="585"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2"/>
        <w:keepNext w:val="0"/>
        <w:keepLines w:val="0"/>
        <w:widowControl w:val="0"/>
        <w:numPr>
          <w:ilvl w:val="0"/>
          <w:numId w:val="3"/>
        </w:numPr>
        <w:shd w:val="clear" w:color="auto" w:fill="auto"/>
        <w:tabs>
          <w:tab w:pos="585" w:val="left"/>
        </w:tabs>
        <w:bidi w:val="0"/>
        <w:spacing w:before="0" w:after="520" w:line="240" w:lineRule="auto"/>
        <w:ind w:left="660" w:right="0" w:hanging="66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u w:val="single"/>
          <w:shd w:val="clear" w:color="auto" w:fill="auto"/>
          <w:lang w:val="cs-CZ" w:eastAsia="cs-CZ" w:bidi="cs-CZ"/>
        </w:rPr>
        <w:t>vypovědět</w:t>
      </w:r>
      <w:r>
        <w:rPr>
          <w:b/>
          <w:bCs/>
          <w:color w:val="000000"/>
          <w:spacing w:val="0"/>
          <w:w w:val="100"/>
          <w:position w:val="0"/>
          <w:shd w:val="clear" w:color="auto" w:fill="auto"/>
          <w:lang w:val="cs-CZ" w:eastAsia="cs-CZ" w:bidi="cs-CZ"/>
        </w:rPr>
        <w:t xml:space="preserve"> plnění výkonu autorského dozoru</w:t>
      </w:r>
      <w:r>
        <w:rPr>
          <w:color w:val="000000"/>
          <w:spacing w:val="0"/>
          <w:w w:val="100"/>
          <w:position w:val="0"/>
          <w:shd w:val="clear" w:color="auto" w:fill="auto"/>
          <w:lang w:val="cs-CZ" w:eastAsia="cs-CZ" w:bidi="cs-CZ"/>
        </w:rPr>
        <w:t xml:space="preserve">, pokud objednatel neuzavře smlouvu na veřejnou zakázku na stavební práce </w:t>
      </w:r>
      <w:r>
        <w:rPr>
          <w:b/>
          <w:bCs/>
          <w:color w:val="000000"/>
          <w:spacing w:val="0"/>
          <w:w w:val="100"/>
          <w:position w:val="0"/>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pro provedení stavby (PDPS) v souladu s touto smlouvou bez vad a ve sjednaném termínu.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díla</w:t>
      </w:r>
    </w:p>
    <w:p>
      <w:pPr>
        <w:pStyle w:val="Style2"/>
        <w:keepNext w:val="0"/>
        <w:keepLines w:val="0"/>
        <w:widowControl w:val="0"/>
        <w:numPr>
          <w:ilvl w:val="0"/>
          <w:numId w:val="5"/>
        </w:numPr>
        <w:shd w:val="clear" w:color="auto" w:fill="auto"/>
        <w:tabs>
          <w:tab w:pos="58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Cena díla 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2"/>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258"/>
        <w:gridCol w:w="3979"/>
      </w:tblGrid>
      <w:tr>
        <w:trPr>
          <w:trHeight w:val="54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360 000,00 Kč bez DPH</w:t>
            </w:r>
          </w:p>
        </w:tc>
      </w:tr>
      <w:tr>
        <w:trPr>
          <w:trHeight w:val="61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75 600,00 Kč</w:t>
            </w:r>
          </w:p>
        </w:tc>
      </w:tr>
      <w:tr>
        <w:trPr>
          <w:trHeight w:val="552"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435 600,00 Kč včetně DPH</w:t>
            </w:r>
          </w:p>
        </w:tc>
      </w:tr>
    </w:tbl>
    <w:p>
      <w:pPr>
        <w:widowControl w:val="0"/>
        <w:spacing w:after="399" w:line="1" w:lineRule="exact"/>
      </w:pPr>
    </w:p>
    <w:p>
      <w:pPr>
        <w:pStyle w:val="Style2"/>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zajištění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402"/>
        <w:gridCol w:w="3835"/>
      </w:tblGrid>
      <w:tr>
        <w:trPr>
          <w:trHeight w:val="84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350,00 Kč bez DPH</w:t>
            </w:r>
          </w:p>
        </w:tc>
      </w:tr>
      <w:tr>
        <w:trPr>
          <w:trHeight w:val="845"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2 500,00 Kč bez DPH</w:t>
            </w:r>
          </w:p>
        </w:tc>
      </w:tr>
    </w:tbl>
    <w:p>
      <w:pPr>
        <w:widowControl w:val="0"/>
        <w:spacing w:after="399" w:line="1" w:lineRule="exact"/>
      </w:pP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C1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Ke sjednané ceně bez DPH za zajištění AD bude u plátce daně z přidané hodnoty účtována daň z přidané hodnoty v zákonné výši.</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2"/>
        <w:keepNext w:val="0"/>
        <w:keepLines w:val="0"/>
        <w:widowControl w:val="0"/>
        <w:numPr>
          <w:ilvl w:val="0"/>
          <w:numId w:val="5"/>
        </w:numPr>
        <w:shd w:val="clear" w:color="auto" w:fill="auto"/>
        <w:tabs>
          <w:tab w:pos="58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dohodly, že dojde-li v průběhu plnění předmětu této smlouvy ke </w:t>
      </w:r>
      <w:r>
        <w:rPr>
          <w:color w:val="000000"/>
          <w:spacing w:val="0"/>
          <w:w w:val="100"/>
          <w:position w:val="0"/>
          <w:shd w:val="clear" w:color="auto" w:fill="auto"/>
          <w:lang w:val="cs-CZ" w:eastAsia="cs-CZ" w:bidi="cs-CZ"/>
        </w:rPr>
        <w:t>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hd w:val="clear" w:color="auto" w:fill="auto"/>
          <w:lang w:val="cs-CZ" w:eastAsia="cs-CZ" w:bidi="cs-CZ"/>
        </w:rPr>
        <w:t>§ 222 zákona č. 134/2016 Sb., o zadávání veřejných zakázek, v platném znění (dále jen „ZZVZ“)</w:t>
      </w:r>
      <w:r>
        <w:rPr>
          <w:color w:val="000000"/>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color w:val="000000"/>
          <w:spacing w:val="0"/>
          <w:w w:val="100"/>
          <w:position w:val="0"/>
          <w:shd w:val="clear" w:color="auto" w:fill="auto"/>
          <w:lang w:val="cs-CZ" w:eastAsia="cs-CZ" w:bidi="cs-CZ"/>
        </w:rPr>
        <w:t>ZZVZ</w:t>
      </w:r>
      <w:r>
        <w:rPr>
          <w:color w:val="000000"/>
          <w:spacing w:val="0"/>
          <w:w w:val="100"/>
          <w:position w:val="0"/>
          <w:shd w:val="clear" w:color="auto" w:fill="auto"/>
          <w:lang w:val="cs-CZ" w:eastAsia="cs-CZ" w:bidi="cs-CZ"/>
        </w:rPr>
        <w:t>, jinak je uzavřený dodatek neplatný a zhotovitel nemá právo na úhradu ceny díla sjednané v tomto dodatku.</w:t>
      </w:r>
    </w:p>
    <w:p>
      <w:pPr>
        <w:pStyle w:val="Style2"/>
        <w:keepNext w:val="0"/>
        <w:keepLines w:val="0"/>
        <w:widowControl w:val="0"/>
        <w:shd w:val="clear" w:color="auto" w:fill="auto"/>
        <w:bidi w:val="0"/>
        <w:spacing w:before="0" w:line="240" w:lineRule="auto"/>
        <w:ind w:left="580" w:right="0" w:hanging="580"/>
        <w:jc w:val="both"/>
      </w:pPr>
      <w:r>
        <w:rPr>
          <w:b/>
          <w:bCs/>
          <w:color w:val="000000"/>
          <w:spacing w:val="0"/>
          <w:w w:val="100"/>
          <w:position w:val="0"/>
          <w:shd w:val="clear" w:color="auto" w:fill="auto"/>
          <w:lang w:val="cs-CZ" w:eastAsia="cs-CZ" w:bidi="cs-CZ"/>
        </w:rPr>
        <w:t xml:space="preserve">4.10. </w:t>
      </w: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2"/>
        <w:keepNext w:val="0"/>
        <w:keepLines w:val="0"/>
        <w:widowControl w:val="0"/>
        <w:shd w:val="clear" w:color="auto" w:fill="auto"/>
        <w:bidi w:val="0"/>
        <w:spacing w:before="0" w:line="240" w:lineRule="auto"/>
        <w:ind w:left="580" w:right="0" w:hanging="580"/>
        <w:jc w:val="both"/>
      </w:pPr>
      <w:r>
        <w:rPr>
          <w:b/>
          <w:bCs/>
          <w:color w:val="000000"/>
          <w:spacing w:val="0"/>
          <w:w w:val="100"/>
          <w:position w:val="0"/>
          <w:shd w:val="clear" w:color="auto" w:fill="auto"/>
          <w:lang w:val="cs-CZ" w:eastAsia="cs-CZ" w:bidi="cs-CZ"/>
        </w:rPr>
        <w:t xml:space="preserve">4.11. </w:t>
      </w:r>
      <w:r>
        <w:rPr>
          <w:color w:val="000000"/>
          <w:spacing w:val="0"/>
          <w:w w:val="100"/>
          <w:position w:val="0"/>
          <w:shd w:val="clear" w:color="auto" w:fill="auto"/>
          <w:lang w:val="cs-CZ" w:eastAsia="cs-CZ" w:bidi="cs-CZ"/>
        </w:rPr>
        <w:t xml:space="preserve">Veškeré dodatečné služby splňující podmínky stanovené v </w:t>
      </w:r>
      <w:r>
        <w:rPr>
          <w:b/>
          <w:bCs/>
          <w:color w:val="000000"/>
          <w:spacing w:val="0"/>
          <w:w w:val="100"/>
          <w:position w:val="0"/>
          <w:shd w:val="clear" w:color="auto" w:fill="auto"/>
          <w:lang w:val="cs-CZ" w:eastAsia="cs-CZ" w:bidi="cs-CZ"/>
        </w:rPr>
        <w:t xml:space="preserve">§ 222 ZZVZ, </w:t>
      </w:r>
      <w:r>
        <w:rPr>
          <w:color w:val="000000"/>
          <w:spacing w:val="0"/>
          <w:w w:val="100"/>
          <w:position w:val="0"/>
          <w:shd w:val="clear" w:color="auto" w:fill="auto"/>
          <w:lang w:val="cs-CZ" w:eastAsia="cs-CZ" w:bidi="cs-CZ"/>
        </w:rPr>
        <w:t xml:space="preserve">které jsou nezbytné pro dokončení díla, musí být písemně dohodnuty osobami oprávněnými jednat ve věcech smlouvy a v souladu se </w:t>
      </w:r>
      <w:r>
        <w:rPr>
          <w:b/>
          <w:bCs/>
          <w:color w:val="000000"/>
          <w:spacing w:val="0"/>
          <w:w w:val="100"/>
          <w:position w:val="0"/>
          <w:shd w:val="clear" w:color="auto" w:fill="auto"/>
          <w:lang w:val="cs-CZ" w:eastAsia="cs-CZ" w:bidi="cs-CZ"/>
        </w:rPr>
        <w:t>ZZVZ.</w:t>
      </w:r>
    </w:p>
    <w:p>
      <w:pPr>
        <w:pStyle w:val="Style2"/>
        <w:keepNext w:val="0"/>
        <w:keepLines w:val="0"/>
        <w:widowControl w:val="0"/>
        <w:shd w:val="clear" w:color="auto" w:fill="auto"/>
        <w:bidi w:val="0"/>
        <w:spacing w:before="0" w:after="520" w:line="240" w:lineRule="auto"/>
        <w:ind w:left="580" w:right="0" w:hanging="580"/>
        <w:jc w:val="both"/>
      </w:pPr>
      <w:r>
        <w:rPr>
          <w:b/>
          <w:bCs/>
          <w:color w:val="000000"/>
          <w:spacing w:val="0"/>
          <w:w w:val="100"/>
          <w:position w:val="0"/>
          <w:shd w:val="clear" w:color="auto" w:fill="auto"/>
          <w:lang w:val="cs-CZ" w:eastAsia="cs-CZ" w:bidi="cs-CZ"/>
        </w:rPr>
        <w:t xml:space="preserve">4.12. </w:t>
      </w: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Způsob provádění díla a dodání díla</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2"/>
        <w:keepNext w:val="0"/>
        <w:keepLines w:val="0"/>
        <w:widowControl w:val="0"/>
        <w:numPr>
          <w:ilvl w:val="0"/>
          <w:numId w:val="7"/>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hd w:val="clear" w:color="auto" w:fill="auto"/>
          <w:lang w:val="cs-CZ" w:eastAsia="cs-CZ" w:bidi="cs-CZ"/>
        </w:rPr>
        <w:t>příloze B1.</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A1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7"/>
        </w:numPr>
        <w:shd w:val="clear" w:color="auto" w:fill="auto"/>
        <w:tabs>
          <w:tab w:pos="653"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hd w:val="clear" w:color="auto" w:fill="auto"/>
          <w:lang w:val="cs-CZ" w:eastAsia="cs-CZ" w:bidi="cs-CZ"/>
        </w:rPr>
        <w:t>příloze B1</w:t>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653" w:val="left"/>
        </w:tabs>
        <w:bidi w:val="0"/>
        <w:spacing w:before="0" w:line="240" w:lineRule="auto"/>
        <w:ind w:left="0" w:right="0" w:firstLine="0"/>
        <w:jc w:val="left"/>
      </w:pPr>
      <w:r>
        <w:rPr>
          <w:color w:val="000000"/>
          <w:spacing w:val="0"/>
          <w:w w:val="100"/>
          <w:position w:val="0"/>
          <w:shd w:val="clear" w:color="auto" w:fill="auto"/>
          <w:lang w:val="cs-CZ" w:eastAsia="cs-CZ" w:bidi="cs-CZ"/>
        </w:rPr>
        <w:t>Místem plnění je:</w:t>
      </w:r>
    </w:p>
    <w:p>
      <w:pPr>
        <w:pStyle w:val="Style2"/>
        <w:keepNext w:val="0"/>
        <w:keepLines w:val="0"/>
        <w:widowControl w:val="0"/>
        <w:numPr>
          <w:ilvl w:val="0"/>
          <w:numId w:val="9"/>
        </w:numPr>
        <w:shd w:val="clear" w:color="auto" w:fill="auto"/>
        <w:tabs>
          <w:tab w:pos="1390" w:val="left"/>
        </w:tabs>
        <w:bidi w:val="0"/>
        <w:spacing w:before="0" w:line="240" w:lineRule="auto"/>
        <w:ind w:left="0" w:right="0" w:firstLine="960"/>
        <w:jc w:val="left"/>
      </w:pPr>
      <w:r>
        <w:rPr>
          <w:color w:val="000000"/>
          <w:spacing w:val="0"/>
          <w:w w:val="100"/>
          <w:position w:val="0"/>
          <w:shd w:val="clear" w:color="auto" w:fill="auto"/>
          <w:lang w:val="cs-CZ" w:eastAsia="cs-CZ" w:bidi="cs-CZ"/>
        </w:rPr>
        <w:t>pro předání dokumentace</w:t>
      </w:r>
    </w:p>
    <w:p>
      <w:pPr>
        <w:pStyle w:val="Style2"/>
        <w:keepNext w:val="0"/>
        <w:keepLines w:val="0"/>
        <w:widowControl w:val="0"/>
        <w:shd w:val="clear" w:color="auto" w:fill="auto"/>
        <w:bidi w:val="0"/>
        <w:spacing w:before="0" w:line="240" w:lineRule="auto"/>
        <w:ind w:left="130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line="240" w:lineRule="auto"/>
        <w:ind w:left="1300" w:right="0" w:firstLine="0"/>
        <w:jc w:val="left"/>
      </w:pPr>
      <w:r>
        <w:rPr>
          <w:color w:val="000000"/>
          <w:spacing w:val="0"/>
          <w:w w:val="100"/>
          <w:position w:val="0"/>
          <w:shd w:val="clear" w:color="auto" w:fill="auto"/>
          <w:lang w:val="cs-CZ" w:eastAsia="cs-CZ" w:bidi="cs-CZ"/>
        </w:rPr>
        <w:t>Kosovská 1122/16, Jihlava, PSČ 586 01</w:t>
      </w:r>
    </w:p>
    <w:p>
      <w:pPr>
        <w:pStyle w:val="Style2"/>
        <w:keepNext w:val="0"/>
        <w:keepLines w:val="0"/>
        <w:widowControl w:val="0"/>
        <w:numPr>
          <w:ilvl w:val="0"/>
          <w:numId w:val="9"/>
        </w:numPr>
        <w:shd w:val="clear" w:color="auto" w:fill="auto"/>
        <w:tabs>
          <w:tab w:pos="1390" w:val="left"/>
        </w:tabs>
        <w:bidi w:val="0"/>
        <w:spacing w:before="0" w:line="240" w:lineRule="auto"/>
        <w:ind w:left="0" w:right="0" w:firstLine="960"/>
        <w:jc w:val="left"/>
      </w:pPr>
      <w:r>
        <w:rPr>
          <w:color w:val="000000"/>
          <w:spacing w:val="0"/>
          <w:w w:val="100"/>
          <w:position w:val="0"/>
          <w:shd w:val="clear" w:color="auto" w:fill="auto"/>
          <w:lang w:val="cs-CZ" w:eastAsia="cs-CZ" w:bidi="cs-CZ"/>
        </w:rPr>
        <w:t>pro práce spojené s vypracováním PD a výkonem AD</w:t>
      </w:r>
    </w:p>
    <w:p>
      <w:pPr>
        <w:pStyle w:val="Style2"/>
        <w:keepNext w:val="0"/>
        <w:keepLines w:val="0"/>
        <w:widowControl w:val="0"/>
        <w:shd w:val="clear" w:color="auto" w:fill="auto"/>
        <w:bidi w:val="0"/>
        <w:spacing w:before="0" w:line="240" w:lineRule="auto"/>
        <w:ind w:left="1300" w:right="0" w:firstLine="0"/>
        <w:jc w:val="left"/>
      </w:pPr>
      <w:r>
        <w:rPr>
          <w:b/>
          <w:bCs/>
          <w:color w:val="000000"/>
          <w:spacing w:val="0"/>
          <w:w w:val="100"/>
          <w:position w:val="0"/>
          <w:shd w:val="clear" w:color="auto" w:fill="auto"/>
          <w:lang w:val="cs-CZ" w:eastAsia="cs-CZ" w:bidi="cs-CZ"/>
        </w:rPr>
        <w:t>místo stavby uvedené v příloze A1</w:t>
      </w:r>
    </w:p>
    <w:p>
      <w:pPr>
        <w:pStyle w:val="Style2"/>
        <w:keepNext w:val="0"/>
        <w:keepLines w:val="0"/>
        <w:widowControl w:val="0"/>
        <w:numPr>
          <w:ilvl w:val="0"/>
          <w:numId w:val="7"/>
        </w:numPr>
        <w:shd w:val="clear" w:color="auto" w:fill="auto"/>
        <w:tabs>
          <w:tab w:pos="653"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Další ujednání provádění díla </w:t>
      </w:r>
      <w:r>
        <w:rPr>
          <w:b/>
          <w:bCs/>
          <w:color w:val="000000"/>
          <w:spacing w:val="0"/>
          <w:w w:val="100"/>
          <w:position w:val="0"/>
          <w:shd w:val="clear" w:color="auto" w:fill="auto"/>
          <w:lang w:val="cs-CZ" w:eastAsia="cs-CZ" w:bidi="cs-CZ"/>
        </w:rPr>
        <w:t>při výkonu autorského dozoru:</w:t>
      </w:r>
    </w:p>
    <w:p>
      <w:pPr>
        <w:pStyle w:val="Style2"/>
        <w:keepNext w:val="0"/>
        <w:keepLines w:val="0"/>
        <w:widowControl w:val="0"/>
        <w:numPr>
          <w:ilvl w:val="0"/>
          <w:numId w:val="11"/>
        </w:numPr>
        <w:shd w:val="clear" w:color="auto" w:fill="auto"/>
        <w:tabs>
          <w:tab w:pos="1431" w:val="left"/>
        </w:tabs>
        <w:bidi w:val="0"/>
        <w:spacing w:before="0" w:line="240" w:lineRule="auto"/>
        <w:ind w:left="1440" w:right="0" w:hanging="84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
        <w:keepNext w:val="0"/>
        <w:keepLines w:val="0"/>
        <w:widowControl w:val="0"/>
        <w:numPr>
          <w:ilvl w:val="0"/>
          <w:numId w:val="11"/>
        </w:numPr>
        <w:shd w:val="clear" w:color="auto" w:fill="auto"/>
        <w:tabs>
          <w:tab w:pos="1431" w:val="left"/>
        </w:tabs>
        <w:bidi w:val="0"/>
        <w:spacing w:before="0" w:line="240" w:lineRule="auto"/>
        <w:ind w:left="1440" w:right="0" w:hanging="840"/>
        <w:jc w:val="both"/>
      </w:pPr>
      <w:r>
        <w:rPr>
          <w:color w:val="000000"/>
          <w:spacing w:val="0"/>
          <w:w w:val="100"/>
          <w:position w:val="0"/>
          <w:shd w:val="clear" w:color="auto" w:fill="auto"/>
          <w:lang w:val="cs-CZ" w:eastAsia="cs-CZ" w:bidi="cs-CZ"/>
        </w:rPr>
        <w:t xml:space="preserve">Zhotovitel je povinen při plnění AD poskytnout svoji součinnost vždy bezodkladně poté, kdy bude k tomu objednatelem vyzván nebo poté, kdy </w:t>
      </w:r>
      <w:r>
        <w:rPr>
          <w:color w:val="000000"/>
          <w:spacing w:val="0"/>
          <w:w w:val="100"/>
          <w:position w:val="0"/>
          <w:shd w:val="clear" w:color="auto" w:fill="auto"/>
          <w:lang w:val="cs-CZ" w:eastAsia="cs-CZ" w:bidi="cs-CZ"/>
        </w:rPr>
        <w:t>takovou potřebu sám zjistí.</w:t>
      </w:r>
    </w:p>
    <w:p>
      <w:pPr>
        <w:pStyle w:val="Style2"/>
        <w:keepNext w:val="0"/>
        <w:keepLines w:val="0"/>
        <w:widowControl w:val="0"/>
        <w:numPr>
          <w:ilvl w:val="0"/>
          <w:numId w:val="11"/>
        </w:numPr>
        <w:shd w:val="clear" w:color="auto" w:fill="auto"/>
        <w:tabs>
          <w:tab w:pos="1430" w:val="left"/>
        </w:tabs>
        <w:bidi w:val="0"/>
        <w:spacing w:before="0" w:line="240" w:lineRule="auto"/>
        <w:ind w:left="1440" w:right="0" w:hanging="86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2"/>
        <w:keepNext w:val="0"/>
        <w:keepLines w:val="0"/>
        <w:widowControl w:val="0"/>
        <w:numPr>
          <w:ilvl w:val="0"/>
          <w:numId w:val="11"/>
        </w:numPr>
        <w:shd w:val="clear" w:color="auto" w:fill="auto"/>
        <w:tabs>
          <w:tab w:pos="1430" w:val="left"/>
        </w:tabs>
        <w:bidi w:val="0"/>
        <w:spacing w:before="0" w:after="520" w:line="240" w:lineRule="auto"/>
        <w:ind w:left="1440" w:right="0" w:hanging="86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Placení a fakturace</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Nárok na zaplacení ceny a právo vystavení faktury vzniká:</w:t>
      </w:r>
    </w:p>
    <w:p>
      <w:pPr>
        <w:pStyle w:val="Style2"/>
        <w:keepNext w:val="0"/>
        <w:keepLines w:val="0"/>
        <w:widowControl w:val="0"/>
        <w:numPr>
          <w:ilvl w:val="0"/>
          <w:numId w:val="15"/>
        </w:numPr>
        <w:shd w:val="clear" w:color="auto" w:fill="auto"/>
        <w:tabs>
          <w:tab w:pos="1430" w:val="left"/>
        </w:tabs>
        <w:bidi w:val="0"/>
        <w:spacing w:before="0" w:line="240" w:lineRule="auto"/>
        <w:ind w:left="1440" w:right="0" w:hanging="860"/>
        <w:jc w:val="both"/>
      </w:pPr>
      <w:r>
        <w:rPr>
          <w:color w:val="000000"/>
          <w:spacing w:val="0"/>
          <w:w w:val="100"/>
          <w:position w:val="0"/>
          <w:shd w:val="clear" w:color="auto" w:fill="auto"/>
          <w:lang w:val="cs-CZ" w:eastAsia="cs-CZ" w:bidi="cs-CZ"/>
        </w:rPr>
        <w:t>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2"/>
        <w:keepNext w:val="0"/>
        <w:keepLines w:val="0"/>
        <w:widowControl w:val="0"/>
        <w:numPr>
          <w:ilvl w:val="0"/>
          <w:numId w:val="15"/>
        </w:numPr>
        <w:shd w:val="clear" w:color="auto" w:fill="auto"/>
        <w:tabs>
          <w:tab w:pos="1430" w:val="left"/>
        </w:tabs>
        <w:bidi w:val="0"/>
        <w:spacing w:before="0" w:line="240" w:lineRule="auto"/>
        <w:ind w:left="1440" w:right="0" w:hanging="86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5"/>
        </w:numPr>
        <w:shd w:val="clear" w:color="auto" w:fill="auto"/>
        <w:tabs>
          <w:tab w:pos="1430" w:val="left"/>
        </w:tabs>
        <w:bidi w:val="0"/>
        <w:spacing w:before="0" w:line="240" w:lineRule="auto"/>
        <w:ind w:left="1440" w:right="0" w:hanging="86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2"/>
        <w:keepNext w:val="0"/>
        <w:keepLines w:val="0"/>
        <w:widowControl w:val="0"/>
        <w:shd w:val="clear" w:color="auto" w:fill="auto"/>
        <w:bidi w:val="0"/>
        <w:spacing w:before="0" w:line="240" w:lineRule="auto"/>
        <w:ind w:left="580" w:right="0" w:hanging="580"/>
        <w:jc w:val="both"/>
      </w:pPr>
      <w:r>
        <w:rPr>
          <w:b/>
          <w:bCs/>
          <w:color w:val="000000"/>
          <w:spacing w:val="0"/>
          <w:w w:val="100"/>
          <w:position w:val="0"/>
          <w:shd w:val="clear" w:color="auto" w:fill="auto"/>
          <w:lang w:val="cs-CZ" w:eastAsia="cs-CZ" w:bidi="cs-CZ"/>
        </w:rPr>
        <w:t xml:space="preserve">6.2. </w:t>
      </w: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p>
    <w:p>
      <w:pPr>
        <w:pStyle w:val="Style2"/>
        <w:keepNext w:val="0"/>
        <w:keepLines w:val="0"/>
        <w:widowControl w:val="0"/>
        <w:numPr>
          <w:ilvl w:val="0"/>
          <w:numId w:val="17"/>
        </w:numPr>
        <w:shd w:val="clear" w:color="auto" w:fill="auto"/>
        <w:tabs>
          <w:tab w:pos="56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7"/>
        </w:numPr>
        <w:shd w:val="clear" w:color="auto" w:fill="auto"/>
        <w:tabs>
          <w:tab w:pos="564"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7</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pokuty</w:t>
      </w:r>
    </w:p>
    <w:p>
      <w:pPr>
        <w:pStyle w:val="Style2"/>
        <w:keepNext w:val="0"/>
        <w:keepLines w:val="0"/>
        <w:widowControl w:val="0"/>
        <w:numPr>
          <w:ilvl w:val="0"/>
          <w:numId w:val="1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2"/>
        <w:keepNext w:val="0"/>
        <w:keepLines w:val="0"/>
        <w:widowControl w:val="0"/>
        <w:numPr>
          <w:ilvl w:val="0"/>
          <w:numId w:val="1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DUSP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9"/>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v souhrnu za všechny takové případy. Jedním </w:t>
      </w:r>
      <w:r>
        <w:rPr>
          <w:color w:val="000000"/>
          <w:spacing w:val="0"/>
          <w:w w:val="100"/>
          <w:position w:val="0"/>
          <w:shd w:val="clear" w:color="auto" w:fill="auto"/>
          <w:lang w:val="cs-CZ" w:eastAsia="cs-CZ" w:bidi="cs-CZ"/>
        </w:rPr>
        <w:t>případem se rozumí i chyba ve více vzájemně provázaných položkách soupisu stavebních prací, dodávek a služeb s výkazem výměr.</w:t>
      </w:r>
    </w:p>
    <w:p>
      <w:pPr>
        <w:pStyle w:val="Style2"/>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hd w:val="clear" w:color="auto" w:fill="auto"/>
          <w:lang w:val="cs-CZ" w:eastAsia="cs-CZ" w:bidi="cs-CZ"/>
        </w:rPr>
        <w:t>příloze A1</w:t>
      </w:r>
      <w:r>
        <w:rPr>
          <w:color w:val="000000"/>
          <w:spacing w:val="0"/>
          <w:w w:val="100"/>
          <w:position w:val="0"/>
          <w:shd w:val="clear" w:color="auto" w:fill="auto"/>
          <w:lang w:val="cs-CZ" w:eastAsia="cs-CZ" w:bidi="cs-CZ"/>
        </w:rPr>
        <w:t xml:space="preserve">, je zhotovitel povinen uhradit objednateli smluvní pokutu ve výši </w:t>
      </w:r>
      <w:r>
        <w:rPr>
          <w:b/>
          <w:bCs/>
          <w:color w:val="000000"/>
          <w:spacing w:val="0"/>
          <w:w w:val="100"/>
          <w:position w:val="0"/>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2"/>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2"/>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2"/>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0"/>
          <w:numId w:val="19"/>
        </w:numPr>
        <w:shd w:val="clear" w:color="auto" w:fill="auto"/>
        <w:tabs>
          <w:tab w:pos="574"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8</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21"/>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21"/>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hd w:val="clear" w:color="auto" w:fill="auto"/>
          <w:lang w:val="cs-CZ" w:eastAsia="cs-CZ" w:bidi="cs-CZ"/>
        </w:rPr>
        <w:t>§ 2 písm. e) zákona č. 320/2001 Sb., o finanční kontrole ve veřejné správě a o změně některých zákonů (zákon o finanční kontrole) v platném znění</w:t>
      </w:r>
      <w:r>
        <w:rPr>
          <w:color w:val="000000"/>
          <w:spacing w:val="0"/>
          <w:w w:val="100"/>
          <w:position w:val="0"/>
          <w:shd w:val="clear" w:color="auto" w:fill="auto"/>
          <w:lang w:val="cs-CZ" w:eastAsia="cs-CZ" w:bidi="cs-CZ"/>
        </w:rPr>
        <w:t>.</w:t>
      </w:r>
    </w:p>
    <w:p>
      <w:pPr>
        <w:pStyle w:val="Style2"/>
        <w:keepNext w:val="0"/>
        <w:keepLines w:val="0"/>
        <w:widowControl w:val="0"/>
        <w:numPr>
          <w:ilvl w:val="0"/>
          <w:numId w:val="21"/>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21"/>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2"/>
        <w:keepNext w:val="0"/>
        <w:keepLines w:val="0"/>
        <w:widowControl w:val="0"/>
        <w:numPr>
          <w:ilvl w:val="0"/>
          <w:numId w:val="21"/>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21"/>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0"/>
          <w:numId w:val="21"/>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zákona č. 121/2000 Sb., o právu autorském, o právech souvisejících s právem </w:t>
      </w:r>
      <w:r>
        <w:rPr>
          <w:b/>
          <w:bCs/>
          <w:color w:val="000000"/>
          <w:spacing w:val="0"/>
          <w:w w:val="100"/>
          <w:position w:val="0"/>
          <w:shd w:val="clear" w:color="auto" w:fill="auto"/>
          <w:lang w:val="cs-CZ" w:eastAsia="cs-CZ" w:bidi="cs-CZ"/>
        </w:rPr>
        <w:t>autorským a o změně některých zákonů (autorský zákon)</w:t>
      </w:r>
      <w:r>
        <w:rPr>
          <w:color w:val="000000"/>
          <w:spacing w:val="0"/>
          <w:w w:val="100"/>
          <w:position w:val="0"/>
          <w:shd w:val="clear" w:color="auto" w:fill="auto"/>
          <w:lang w:val="cs-CZ" w:eastAsia="cs-CZ" w:bidi="cs-CZ"/>
        </w:rP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shd w:val="clear" w:color="auto" w:fill="auto"/>
        <w:bidi w:val="0"/>
        <w:spacing w:before="0" w:after="520" w:line="240" w:lineRule="auto"/>
        <w:ind w:left="580" w:right="0" w:hanging="580"/>
        <w:jc w:val="both"/>
      </w:pPr>
      <w:r>
        <w:rPr>
          <w:b/>
          <w:bCs/>
          <w:color w:val="000000"/>
          <w:spacing w:val="0"/>
          <w:w w:val="100"/>
          <w:position w:val="0"/>
          <w:shd w:val="clear" w:color="auto" w:fill="auto"/>
          <w:lang w:val="cs-CZ" w:eastAsia="cs-CZ" w:bidi="cs-CZ"/>
        </w:rPr>
        <w:t xml:space="preserve">8.10 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500.000,-- Kč</w:t>
      </w:r>
      <w:r>
        <w:rPr>
          <w:color w:val="000000"/>
          <w:spacing w:val="0"/>
          <w:w w:val="100"/>
          <w:position w:val="0"/>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Zvláštní ujednání</w:t>
      </w:r>
    </w:p>
    <w:p>
      <w:pPr>
        <w:pStyle w:val="Style2"/>
        <w:keepNext w:val="0"/>
        <w:keepLines w:val="0"/>
        <w:widowControl w:val="0"/>
        <w:numPr>
          <w:ilvl w:val="1"/>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1"/>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1"/>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 xml:space="preserve">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w:t>
      </w:r>
      <w:r>
        <w:rPr>
          <w:color w:val="000000"/>
          <w:spacing w:val="0"/>
          <w:w w:val="100"/>
          <w:position w:val="0"/>
          <w:shd w:val="clear" w:color="auto" w:fill="auto"/>
          <w:lang w:val="cs-CZ" w:eastAsia="cs-CZ" w:bidi="cs-CZ"/>
        </w:rPr>
        <w:t>odstoupit od smlouvy i před uplynutím lhůty dodatečného plnění, poté, co prohlášení druhé smluvní strany obdržela.</w:t>
      </w:r>
    </w:p>
    <w:p>
      <w:pPr>
        <w:pStyle w:val="Style2"/>
        <w:keepNext w:val="0"/>
        <w:keepLines w:val="0"/>
        <w:widowControl w:val="0"/>
        <w:numPr>
          <w:ilvl w:val="1"/>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23"/>
        </w:numPr>
        <w:shd w:val="clear" w:color="auto" w:fill="auto"/>
        <w:tabs>
          <w:tab w:pos="902" w:val="left"/>
        </w:tabs>
        <w:bidi w:val="0"/>
        <w:spacing w:before="0" w:line="240" w:lineRule="auto"/>
        <w:ind w:left="860" w:right="0" w:hanging="28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23"/>
        </w:numPr>
        <w:shd w:val="clear" w:color="auto" w:fill="auto"/>
        <w:tabs>
          <w:tab w:pos="917" w:val="left"/>
        </w:tabs>
        <w:bidi w:val="0"/>
        <w:spacing w:before="0" w:line="240" w:lineRule="auto"/>
        <w:ind w:left="860" w:right="0" w:hanging="28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2"/>
        <w:keepNext w:val="0"/>
        <w:keepLines w:val="0"/>
        <w:widowControl w:val="0"/>
        <w:numPr>
          <w:ilvl w:val="0"/>
          <w:numId w:val="23"/>
        </w:numPr>
        <w:shd w:val="clear" w:color="auto" w:fill="auto"/>
        <w:tabs>
          <w:tab w:pos="888" w:val="left"/>
        </w:tabs>
        <w:bidi w:val="0"/>
        <w:spacing w:before="0" w:line="240" w:lineRule="auto"/>
        <w:ind w:left="860" w:right="0" w:hanging="28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23"/>
        </w:numPr>
        <w:shd w:val="clear" w:color="auto" w:fill="auto"/>
        <w:tabs>
          <w:tab w:pos="917" w:val="left"/>
        </w:tabs>
        <w:bidi w:val="0"/>
        <w:spacing w:before="0" w:line="240" w:lineRule="auto"/>
        <w:ind w:left="860" w:right="0" w:hanging="28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2"/>
        <w:keepNext w:val="0"/>
        <w:keepLines w:val="0"/>
        <w:widowControl w:val="0"/>
        <w:numPr>
          <w:ilvl w:val="1"/>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pPr>
        <w:pStyle w:val="Style2"/>
        <w:keepNext w:val="0"/>
        <w:keepLines w:val="0"/>
        <w:widowControl w:val="0"/>
        <w:shd w:val="clear" w:color="auto" w:fill="auto"/>
        <w:bidi w:val="0"/>
        <w:spacing w:before="0" w:after="520" w:line="240" w:lineRule="auto"/>
        <w:ind w:left="580" w:right="0" w:firstLine="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2"/>
        <w:keepNext w:val="0"/>
        <w:keepLines w:val="0"/>
        <w:widowControl w:val="0"/>
        <w:shd w:val="clear" w:color="auto" w:fill="auto"/>
        <w:bidi w:val="0"/>
        <w:spacing w:before="0" w:line="240" w:lineRule="auto"/>
        <w:ind w:left="580" w:right="0" w:hanging="580"/>
        <w:jc w:val="both"/>
      </w:pPr>
      <w:r>
        <w:rPr>
          <w:b/>
          <w:bCs/>
          <w:color w:val="000000"/>
          <w:spacing w:val="0"/>
          <w:w w:val="100"/>
          <w:position w:val="0"/>
          <w:shd w:val="clear" w:color="auto" w:fill="auto"/>
          <w:lang w:val="cs-CZ" w:eastAsia="cs-CZ" w:bidi="cs-CZ"/>
        </w:rPr>
        <w:t xml:space="preserve">10.1. </w:t>
      </w:r>
      <w:r>
        <w:rPr>
          <w:color w:val="000000"/>
          <w:spacing w:val="0"/>
          <w:w w:val="100"/>
          <w:position w:val="0"/>
          <w:shd w:val="clear" w:color="auto" w:fill="auto"/>
          <w:lang w:val="cs-CZ" w:eastAsia="cs-CZ" w:bidi="cs-CZ"/>
        </w:rPr>
        <w:t xml:space="preserve">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w:t>
      </w:r>
      <w:r>
        <w:rPr>
          <w:color w:val="000000"/>
          <w:spacing w:val="0"/>
          <w:w w:val="100"/>
          <w:position w:val="0"/>
          <w:shd w:val="clear" w:color="auto" w:fill="auto"/>
          <w:lang w:val="cs-CZ" w:eastAsia="cs-CZ" w:bidi="cs-CZ"/>
        </w:rPr>
        <w:t>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2"/>
        <w:keepNext w:val="0"/>
        <w:keepLines w:val="0"/>
        <w:widowControl w:val="0"/>
        <w:numPr>
          <w:ilvl w:val="0"/>
          <w:numId w:val="25"/>
        </w:numPr>
        <w:shd w:val="clear" w:color="auto" w:fill="auto"/>
        <w:tabs>
          <w:tab w:pos="61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5"/>
        </w:numPr>
        <w:shd w:val="clear" w:color="auto" w:fill="auto"/>
        <w:tabs>
          <w:tab w:pos="615"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2"/>
        <w:keepNext w:val="0"/>
        <w:keepLines w:val="0"/>
        <w:widowControl w:val="0"/>
        <w:numPr>
          <w:ilvl w:val="0"/>
          <w:numId w:val="25"/>
        </w:numPr>
        <w:shd w:val="clear" w:color="auto" w:fill="auto"/>
        <w:tabs>
          <w:tab w:pos="615" w:val="left"/>
        </w:tabs>
        <w:bidi w:val="0"/>
        <w:spacing w:before="0" w:line="240" w:lineRule="auto"/>
        <w:ind w:left="580" w:right="0" w:hanging="5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5"/>
        </w:numPr>
        <w:shd w:val="clear" w:color="auto" w:fill="auto"/>
        <w:tabs>
          <w:tab w:pos="615"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p>
    <w:p>
      <w:pPr>
        <w:pStyle w:val="Style2"/>
        <w:keepNext w:val="0"/>
        <w:keepLines w:val="0"/>
        <w:widowControl w:val="0"/>
        <w:numPr>
          <w:ilvl w:val="0"/>
          <w:numId w:val="25"/>
        </w:numPr>
        <w:shd w:val="clear" w:color="auto" w:fill="auto"/>
        <w:tabs>
          <w:tab w:pos="615"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případné spory vzniklé ze závazků sjednaných touto</w:t>
      </w:r>
      <w:r>
        <w:br w:type="page"/>
      </w:r>
    </w:p>
    <w:p>
      <w:pPr>
        <w:pStyle w:val="Style2"/>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smlouvou budou přednostně řešit smírnou cestou.</w:t>
      </w:r>
    </w:p>
    <w:p>
      <w:pPr>
        <w:pStyle w:val="Style2"/>
        <w:keepNext w:val="0"/>
        <w:keepLines w:val="0"/>
        <w:widowControl w:val="0"/>
        <w:numPr>
          <w:ilvl w:val="0"/>
          <w:numId w:val="25"/>
        </w:numPr>
        <w:shd w:val="clear" w:color="auto" w:fill="auto"/>
        <w:tabs>
          <w:tab w:pos="670" w:val="left"/>
        </w:tabs>
        <w:bidi w:val="0"/>
        <w:spacing w:before="0" w:line="240" w:lineRule="auto"/>
        <w:ind w:left="580" w:right="0" w:hanging="580"/>
        <w:jc w:val="left"/>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25"/>
        </w:numPr>
        <w:shd w:val="clear" w:color="auto" w:fill="auto"/>
        <w:tabs>
          <w:tab w:pos="670"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Změny a doplňky této smlouvy lze provádět pouze písemnými oboustranně dohodnutými dodatky, které se stanou nedílnou součástí této smlouvy. Dodatek ke smlouvě musí být uzavřen v souladu s </w:t>
      </w:r>
      <w:r>
        <w:rPr>
          <w:b/>
          <w:bCs/>
          <w:color w:val="000000"/>
          <w:spacing w:val="0"/>
          <w:w w:val="100"/>
          <w:position w:val="0"/>
          <w:shd w:val="clear" w:color="auto" w:fill="auto"/>
          <w:lang w:val="cs-CZ" w:eastAsia="cs-CZ" w:bidi="cs-CZ"/>
        </w:rPr>
        <w:t>§ 222 ZZVZ</w:t>
      </w:r>
      <w:r>
        <w:rPr>
          <w:color w:val="000000"/>
          <w:spacing w:val="0"/>
          <w:w w:val="100"/>
          <w:position w:val="0"/>
          <w:shd w:val="clear" w:color="auto" w:fill="auto"/>
          <w:lang w:val="cs-CZ" w:eastAsia="cs-CZ" w:bidi="cs-CZ"/>
        </w:rPr>
        <w:t>.</w:t>
      </w:r>
    </w:p>
    <w:p>
      <w:pPr>
        <w:pStyle w:val="Style2"/>
        <w:keepNext w:val="0"/>
        <w:keepLines w:val="0"/>
        <w:widowControl w:val="0"/>
        <w:numPr>
          <w:ilvl w:val="0"/>
          <w:numId w:val="25"/>
        </w:numPr>
        <w:shd w:val="clear" w:color="auto" w:fill="auto"/>
        <w:tabs>
          <w:tab w:pos="670"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hd w:val="clear" w:color="auto" w:fill="auto"/>
          <w:lang w:val="cs-CZ" w:eastAsia="cs-CZ" w:bidi="cs-CZ"/>
        </w:rPr>
        <w:t>zákonem č. 89/2012 Sb., občanský zákoník, v platném znění</w:t>
      </w:r>
      <w:r>
        <w:rPr>
          <w:color w:val="000000"/>
          <w:spacing w:val="0"/>
          <w:w w:val="100"/>
          <w:position w:val="0"/>
          <w:shd w:val="clear" w:color="auto" w:fill="auto"/>
          <w:lang w:val="cs-CZ" w:eastAsia="cs-CZ" w:bidi="cs-CZ"/>
        </w:rPr>
        <w:t>.</w:t>
      </w:r>
    </w:p>
    <w:p>
      <w:pPr>
        <w:pStyle w:val="Style2"/>
        <w:keepNext w:val="0"/>
        <w:keepLines w:val="0"/>
        <w:widowControl w:val="0"/>
        <w:numPr>
          <w:ilvl w:val="0"/>
          <w:numId w:val="25"/>
        </w:numPr>
        <w:shd w:val="clear" w:color="auto" w:fill="auto"/>
        <w:tabs>
          <w:tab w:pos="790" w:val="left"/>
        </w:tabs>
        <w:bidi w:val="0"/>
        <w:spacing w:before="0" w:after="940" w:line="240" w:lineRule="auto"/>
        <w:ind w:left="580" w:right="0" w:hanging="58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A1 - Technické podmínky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2"/>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cs-CZ" w:eastAsia="cs-CZ" w:bidi="cs-CZ"/>
        </w:rPr>
        <w:t>Příloha C1 - Kalkulace projekčních prací</w:t>
      </w:r>
    </w:p>
    <w:p>
      <w:pPr>
        <w:pStyle w:val="Style2"/>
        <w:keepNext w:val="0"/>
        <w:keepLines w:val="0"/>
        <w:widowControl w:val="0"/>
        <w:shd w:val="clear" w:color="auto" w:fill="auto"/>
        <w:bidi w:val="0"/>
        <w:spacing w:before="0" w:after="240" w:line="276" w:lineRule="auto"/>
        <w:ind w:left="0" w:right="0" w:firstLine="0"/>
        <w:jc w:val="both"/>
        <w:rPr>
          <w:sz w:val="22"/>
          <w:szCs w:val="22"/>
        </w:r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tabs>
          <w:tab w:pos="5104" w:val="left"/>
        </w:tabs>
        <w:bidi w:val="0"/>
        <w:spacing w:before="0" w:after="1220" w:line="257" w:lineRule="auto"/>
        <w:ind w:left="0" w:right="0" w:firstLine="760"/>
        <w:jc w:val="left"/>
        <w:rPr>
          <w:sz w:val="22"/>
          <w:szCs w:val="22"/>
        </w:rPr>
      </w:pPr>
      <w:r>
        <w:rPr>
          <w:color w:val="000000"/>
          <w:spacing w:val="0"/>
          <w:w w:val="100"/>
          <w:position w:val="0"/>
          <w:sz w:val="22"/>
          <w:szCs w:val="22"/>
          <w:shd w:val="clear" w:color="auto" w:fill="auto"/>
          <w:lang w:val="cs-CZ" w:eastAsia="cs-CZ" w:bidi="cs-CZ"/>
        </w:rPr>
        <w:t>V Brně</w:t>
        <w:tab/>
        <w:t>V Jihlavě</w:t>
      </w:r>
    </w:p>
    <w:p>
      <w:pPr>
        <w:pStyle w:val="Style2"/>
        <w:keepNext w:val="0"/>
        <w:keepLines w:val="0"/>
        <w:widowControl w:val="0"/>
        <w:shd w:val="clear" w:color="auto" w:fill="auto"/>
        <w:bidi w:val="0"/>
        <w:spacing w:before="0" w:line="271" w:lineRule="auto"/>
        <w:ind w:left="0" w:right="0" w:firstLine="0"/>
        <w:jc w:val="center"/>
        <w:rPr>
          <w:sz w:val="22"/>
          <w:szCs w:val="22"/>
        </w:rPr>
        <w:sectPr>
          <w:headerReference w:type="default" r:id="rId5"/>
          <w:footerReference w:type="default" r:id="rId6"/>
          <w:footnotePr>
            <w:pos w:val="pageBottom"/>
            <w:numFmt w:val="decimal"/>
            <w:numRestart w:val="continuous"/>
          </w:footnotePr>
          <w:pgSz w:w="11900" w:h="16840"/>
          <w:pgMar w:top="2185" w:left="1322" w:right="1170" w:bottom="1283"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2072640</wp:posOffset>
                </wp:positionH>
                <wp:positionV relativeFrom="paragraph">
                  <wp:posOffset>190500</wp:posOffset>
                </wp:positionV>
                <wp:extent cx="1188720" cy="393065"/>
                <wp:wrapSquare wrapText="right"/>
                <wp:docPr id="8" name="Shape 8"/>
                <a:graphic xmlns:a="http://schemas.openxmlformats.org/drawingml/2006/main">
                  <a:graphicData uri="http://schemas.microsoft.com/office/word/2010/wordprocessingShape">
                    <wps:wsp>
                      <wps:cNvSpPr txBox="1"/>
                      <wps:spPr>
                        <a:xfrm>
                          <a:ext cx="1188720" cy="393065"/>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jednatel společnosti</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MIDAKON s.r.o.</w:t>
                            </w:r>
                          </w:p>
                        </w:txbxContent>
                      </wps:txbx>
                      <wps:bodyPr lIns="0" tIns="0" rIns="0" bIns="0">
                        <a:noAutoFit/>
                      </wps:bodyPr>
                    </wps:wsp>
                  </a:graphicData>
                </a:graphic>
              </wp:anchor>
            </w:drawing>
          </mc:Choice>
          <mc:Fallback>
            <w:pict>
              <v:shape id="_x0000_s1034" type="#_x0000_t202" style="position:absolute;margin-left:163.19999999999999pt;margin-top:15.pt;width:93.599999999999994pt;height:30.9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jednatel společnosti</w:t>
                      </w:r>
                    </w:p>
                    <w:p>
                      <w:pPr>
                        <w:pStyle w:val="Style2"/>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MIDAKON s.r.o.</w:t>
                      </w:r>
                    </w:p>
                  </w:txbxContent>
                </v:textbox>
                <w10:wrap type="square" side="right" anchorx="page"/>
              </v:shape>
            </w:pict>
          </mc:Fallback>
        </mc:AlternateContent>
      </w:r>
      <w:r>
        <w:rPr>
          <w:color w:val="000000"/>
          <w:spacing w:val="0"/>
          <w:w w:val="100"/>
          <w:position w:val="0"/>
          <w:sz w:val="22"/>
          <w:szCs w:val="22"/>
          <w:shd w:val="clear" w:color="auto" w:fill="auto"/>
          <w:lang w:val="cs-CZ" w:eastAsia="cs-CZ" w:bidi="cs-CZ"/>
        </w:rPr>
        <w:t>Ing. Radovan Necid</w:t>
        <w:br/>
        <w:t>ředitel organizace</w:t>
        <w:br/>
        <w:t>Krajská správa a údržba silnic Vysočiny,</w:t>
        <w:br/>
        <w:t>příspěvková organizace</w:t>
      </w:r>
    </w:p>
    <w:p>
      <w:pPr>
        <w:pStyle w:val="Style20"/>
        <w:keepNext/>
        <w:keepLines/>
        <w:widowControl w:val="0"/>
        <w:shd w:val="clear" w:color="auto" w:fill="auto"/>
        <w:bidi w:val="0"/>
        <w:spacing w:before="0" w:after="56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Údaje, které jsou součástí ujednání a nebudou zveřejněny v Registru smluv:</w:t>
      </w:r>
      <w:bookmarkEnd w:id="0"/>
      <w:bookmarkEnd w:id="1"/>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460" w:line="240" w:lineRule="auto"/>
        <w:ind w:left="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MIDAKON s.r.o., Na Návsi 18/4, 620 00 Brno</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u w:val="single"/>
          <w:shd w:val="clear" w:color="auto" w:fill="auto"/>
          <w:lang w:val="cs-CZ" w:eastAsia="cs-CZ" w:bidi="cs-CZ"/>
        </w:rPr>
        <w:t>Osoby pověřené jednat jménem zhotovitele:</w:t>
      </w:r>
    </w:p>
    <w:p>
      <w:pPr>
        <w:pStyle w:val="Style2"/>
        <w:keepNext w:val="0"/>
        <w:keepLines w:val="0"/>
        <w:widowControl w:val="0"/>
        <w:shd w:val="clear" w:color="auto" w:fill="auto"/>
        <w:bidi w:val="0"/>
        <w:spacing w:before="0" w:after="760" w:line="240" w:lineRule="auto"/>
        <w:ind w:left="0" w:right="0" w:firstLine="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headerReference w:type="default" r:id="rId7"/>
          <w:footerReference w:type="default" r:id="rId8"/>
          <w:footnotePr>
            <w:pos w:val="pageBottom"/>
            <w:numFmt w:val="decimal"/>
            <w:numRestart w:val="continuous"/>
          </w:footnotePr>
          <w:type w:val="continuous"/>
          <w:pgSz w:w="11900" w:h="16840"/>
          <w:pgMar w:top="2185" w:left="1322" w:right="1170" w:bottom="1283" w:header="0" w:footer="3" w:gutter="0"/>
          <w:cols w:space="720"/>
          <w:noEndnote/>
          <w:rtlGutter w:val="0"/>
          <w:docGrid w:linePitch="360"/>
        </w:sectPr>
      </w:pP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hd w:val="clear" w:color="auto" w:fill="auto"/>
          <w:lang w:val="cs-CZ" w:eastAsia="cs-CZ" w:bidi="cs-CZ"/>
        </w:rPr>
        <w:t>vypracuje projektovou dokumentaci a je autorizovanou osobou</w:t>
      </w:r>
      <w:r>
        <w:rPr>
          <w:color w:val="000000"/>
          <w:spacing w:val="0"/>
          <w:w w:val="100"/>
          <w:position w:val="0"/>
          <w:shd w:val="clear" w:color="auto" w:fill="auto"/>
          <w:lang w:val="cs-CZ" w:eastAsia="cs-CZ" w:bidi="cs-CZ"/>
        </w:rPr>
        <w:t>:</w:t>
      </w:r>
    </w:p>
    <w:p>
      <w:pPr>
        <w:pStyle w:val="Style23"/>
        <w:keepNext w:val="0"/>
        <w:keepLines w:val="0"/>
        <w:widowControl w:val="0"/>
        <w:pBdr>
          <w:top w:val="single" w:sz="4" w:space="0" w:color="FCE9DA"/>
          <w:left w:val="single" w:sz="4" w:space="0" w:color="FCE9DA"/>
          <w:bottom w:val="single" w:sz="4" w:space="9" w:color="FCE9DA"/>
          <w:right w:val="single" w:sz="4" w:space="0" w:color="FCE9DA"/>
        </w:pBdr>
        <w:shd w:val="clear" w:color="auto" w:fill="FCE9DA"/>
        <w:bidi w:val="0"/>
        <w:spacing w:before="120" w:after="227" w:line="240" w:lineRule="auto"/>
        <w:ind w:left="0" w:right="0" w:firstLine="0"/>
        <w:jc w:val="center"/>
      </w:pPr>
      <w:r>
        <w:rPr>
          <w:b/>
          <w:bCs/>
          <w:color w:val="000000"/>
          <w:spacing w:val="0"/>
          <w:w w:val="100"/>
          <w:position w:val="0"/>
          <w:sz w:val="24"/>
          <w:szCs w:val="24"/>
          <w:shd w:val="clear" w:color="auto" w:fill="auto"/>
          <w:lang w:val="cs-CZ" w:eastAsia="cs-CZ" w:bidi="cs-CZ"/>
        </w:rPr>
        <w:t>Příloha č. 1 - Technické podmínky</w:t>
      </w:r>
    </w:p>
    <w:p>
      <w:pPr>
        <w:pStyle w:val="Style23"/>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z w:val="24"/>
          <w:szCs w:val="24"/>
          <w:u w:val="single"/>
          <w:shd w:val="clear" w:color="auto" w:fill="auto"/>
          <w:lang w:val="cs-CZ" w:eastAsia="cs-CZ" w:bidi="cs-CZ"/>
        </w:rPr>
        <w:t>„11/390 Kamenná - most ev. č. 390-008“</w:t>
      </w:r>
    </w:p>
    <w:p>
      <w:pPr>
        <w:pStyle w:val="Style2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Předmětem plnění je:</w:t>
      </w:r>
    </w:p>
    <w:p>
      <w:pPr>
        <w:pStyle w:val="Style23"/>
        <w:keepNext w:val="0"/>
        <w:keepLines w:val="0"/>
        <w:widowControl w:val="0"/>
        <w:shd w:val="clear" w:color="auto" w:fill="auto"/>
        <w:bidi w:val="0"/>
        <w:spacing w:before="0" w:after="0" w:line="276" w:lineRule="auto"/>
        <w:ind w:left="740" w:right="0" w:hanging="360"/>
        <w:jc w:val="left"/>
      </w:pPr>
      <w:r>
        <w:rPr>
          <w:color w:val="000000"/>
          <w:spacing w:val="0"/>
          <w:w w:val="100"/>
          <w:position w:val="0"/>
          <w:sz w:val="24"/>
          <w:szCs w:val="24"/>
          <w:shd w:val="clear" w:color="auto" w:fill="auto"/>
          <w:lang w:val="cs-CZ" w:eastAsia="cs-CZ" w:bidi="cs-CZ"/>
        </w:rPr>
        <w:t>- geodetické zaměření předmětného území (výškopisné a polohopisné zaměření) v potřebném rozsahu rekonstrukce mostu</w:t>
      </w:r>
    </w:p>
    <w:p>
      <w:pPr>
        <w:pStyle w:val="Style23"/>
        <w:keepNext w:val="0"/>
        <w:keepLines w:val="0"/>
        <w:widowControl w:val="0"/>
        <w:shd w:val="clear" w:color="auto" w:fill="auto"/>
        <w:bidi w:val="0"/>
        <w:spacing w:before="0" w:after="0" w:line="240" w:lineRule="auto"/>
        <w:ind w:left="740" w:right="0" w:hanging="360"/>
        <w:jc w:val="left"/>
      </w:pPr>
      <w:r>
        <w:rPr>
          <w:color w:val="000000"/>
          <w:spacing w:val="0"/>
          <w:w w:val="100"/>
          <w:position w:val="0"/>
          <w:sz w:val="24"/>
          <w:szCs w:val="24"/>
          <w:shd w:val="clear" w:color="auto" w:fill="auto"/>
          <w:lang w:val="cs-CZ" w:eastAsia="cs-CZ" w:bidi="cs-CZ"/>
        </w:rPr>
        <w:t>- vypracování inženýrsko-geologického průzkumu mostu včetně návrhu technického řešení</w:t>
      </w:r>
    </w:p>
    <w:p>
      <w:pPr>
        <w:pStyle w:val="Style23"/>
        <w:keepNext w:val="0"/>
        <w:keepLines w:val="0"/>
        <w:widowControl w:val="0"/>
        <w:shd w:val="clear" w:color="auto" w:fill="auto"/>
        <w:bidi w:val="0"/>
        <w:spacing w:before="0" w:after="0" w:line="240" w:lineRule="auto"/>
        <w:ind w:left="740" w:right="0" w:hanging="360"/>
        <w:jc w:val="left"/>
      </w:pPr>
      <w:r>
        <w:rPr>
          <w:color w:val="000000"/>
          <w:spacing w:val="0"/>
          <w:w w:val="100"/>
          <w:position w:val="0"/>
          <w:sz w:val="24"/>
          <w:szCs w:val="24"/>
          <w:shd w:val="clear" w:color="auto" w:fill="auto"/>
          <w:lang w:val="cs-CZ" w:eastAsia="cs-CZ" w:bidi="cs-CZ"/>
        </w:rPr>
        <w:t>- vypracování projektové dokumentace ve stupni pro vydání společného územního a stavebního povolení (DUSP)</w:t>
      </w:r>
    </w:p>
    <w:p>
      <w:pPr>
        <w:pStyle w:val="Style23"/>
        <w:keepNext w:val="0"/>
        <w:keepLines w:val="0"/>
        <w:widowControl w:val="0"/>
        <w:shd w:val="clear" w:color="auto" w:fill="auto"/>
        <w:bidi w:val="0"/>
        <w:spacing w:before="0" w:after="0" w:line="276" w:lineRule="auto"/>
        <w:ind w:left="740" w:right="0" w:hanging="360"/>
        <w:jc w:val="left"/>
      </w:pPr>
      <w:r>
        <w:rPr>
          <w:color w:val="000000"/>
          <w:spacing w:val="0"/>
          <w:w w:val="100"/>
          <w:position w:val="0"/>
          <w:sz w:val="24"/>
          <w:szCs w:val="24"/>
          <w:shd w:val="clear" w:color="auto" w:fill="auto"/>
          <w:lang w:val="cs-CZ" w:eastAsia="cs-CZ" w:bidi="cs-CZ"/>
        </w:rPr>
        <w:t>- zajištění všech pravomocných povolení potřebných k vlastní realizaci kompletních stavebních prací a zajištění kladných vyjádření a stanovisek všech dotčených orgánů pro podání řádných žádostí o vydání ÚSP (SP) k příslušnému stavebnímu úřadu včetně všech požadovaných příloh</w:t>
      </w:r>
    </w:p>
    <w:p>
      <w:pPr>
        <w:pStyle w:val="Style23"/>
        <w:keepNext w:val="0"/>
        <w:keepLines w:val="0"/>
        <w:widowControl w:val="0"/>
        <w:shd w:val="clear" w:color="auto" w:fill="auto"/>
        <w:bidi w:val="0"/>
        <w:spacing w:before="0" w:after="0" w:line="240" w:lineRule="auto"/>
        <w:ind w:left="740" w:right="0" w:hanging="360"/>
        <w:jc w:val="left"/>
      </w:pPr>
      <w:r>
        <w:rPr>
          <w:color w:val="000000"/>
          <w:spacing w:val="0"/>
          <w:w w:val="100"/>
          <w:position w:val="0"/>
          <w:sz w:val="24"/>
          <w:szCs w:val="24"/>
          <w:shd w:val="clear" w:color="auto" w:fill="auto"/>
          <w:lang w:val="cs-CZ" w:eastAsia="cs-CZ" w:bidi="cs-CZ"/>
        </w:rPr>
        <w:t>- vypracování projektové dokumentace PDPS včetně oceněného a neoceněného soupisu prací</w:t>
      </w:r>
    </w:p>
    <w:p>
      <w:pPr>
        <w:pStyle w:val="Style23"/>
        <w:keepNext w:val="0"/>
        <w:keepLines w:val="0"/>
        <w:widowControl w:val="0"/>
        <w:shd w:val="clear" w:color="auto" w:fill="auto"/>
        <w:bidi w:val="0"/>
        <w:spacing w:before="0" w:after="500" w:line="240" w:lineRule="auto"/>
        <w:ind w:left="0" w:right="0" w:firstLine="380"/>
        <w:jc w:val="left"/>
      </w:pPr>
      <w:r>
        <w:rPr>
          <w:color w:val="000000"/>
          <w:spacing w:val="0"/>
          <w:w w:val="100"/>
          <w:position w:val="0"/>
          <w:sz w:val="24"/>
          <w:szCs w:val="24"/>
          <w:shd w:val="clear" w:color="auto" w:fill="auto"/>
          <w:lang w:val="cs-CZ" w:eastAsia="cs-CZ" w:bidi="cs-CZ"/>
        </w:rPr>
        <w:t>- výkon autorského dozoru při realizaci stavby</w:t>
      </w:r>
    </w:p>
    <w:p>
      <w:pPr>
        <w:pStyle w:val="Style2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Stávající most ev. č. 390-008 převádí stálou vodoteč řeky Oslavy v extravilánu obce Kamenná nad Oslavou, staničení km 25,755 silnice II/390.</w:t>
      </w:r>
    </w:p>
    <w:p>
      <w:pPr>
        <w:pStyle w:val="Style2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Jedná se o dvoupolový kolmý most. Rok postavení mostu je 1909 - viz údaj z ML.</w:t>
      </w:r>
    </w:p>
    <w:p>
      <w:pPr>
        <w:pStyle w:val="Style2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Základy mostu nejsou přístupné, pravděpodobně je založen plošně.</w:t>
      </w:r>
    </w:p>
    <w:p>
      <w:pPr>
        <w:pStyle w:val="Style2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Mostní opěry jsou masivní z monolitického betonu. Úložné prahy na opěrách jsou betonové. Mostní křídla jsou šikmá svahová z monolitického betonu.</w:t>
      </w:r>
    </w:p>
    <w:p>
      <w:pPr>
        <w:pStyle w:val="Style2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Nosná konstrukce mostu je trámová, monolitická o dvou spojitých polích. Pět vedle sebe ležících trámů je spojeno koncovými příčníky na celou výšku trámů v místě podpěr, v polích jsou příčníky menšího průřezu.</w:t>
      </w:r>
    </w:p>
    <w:p>
      <w:pPr>
        <w:pStyle w:val="Style2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Uložení nosné konstrukce je přímé. Mostní závěry nejsou patrné, zřejmě podpovrchové.</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Vozovka na mostě je s živičným krytem se zpevněnou krajnicí. Celková šířka mostu činí 6 m. Zpevnění krajnice je provedeno asfaltovou vrstvou. Příčný sklon je oboustranný, podélný sklon ve směru staničení. Vozovka na mostě je silně převrstvena cca o 50 mm na obou stranách komunikace. Odrazné proužky nejsou díky převrstvení vozovky vytvořeny.</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Mostní římsy jsou na obou stranách mostu železobetonové monolitické. Hydroizolaci bez provedení sond nelze zjistit, je zřejmě vanová. Odvodnění mostu je provedeno příčným a podélným sklonem vozovky mimo most.</w:t>
      </w:r>
    </w:p>
    <w:p>
      <w:pPr>
        <w:pStyle w:val="Style23"/>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Svodidla nejsou na mostě osazena. Zábradlí na mostě je ocelové s vodorovnou výplní se dvěma madly.</w:t>
      </w:r>
    </w:p>
    <w:p>
      <w:pPr>
        <w:pStyle w:val="Style2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Dopravní značení omezující zatížitelnost B13 - 12 t, E13 - jediné vozidlo 17 t, je osazeno na obou stranách mostu. Na mostě je v obou směrech osazeno jiné dopravní značení, dopravní značka B14 - 9t.</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Stav základů bez provedení sond nelze zjistit. Nebyly pozorovány závady způsobené poruchami základů. Na povrchu mostních opěr jsou výkvěty a vápenné výluhy. Na pohledových plochách vnitřní podpěry jsou výkvěty a vápenné výluhy, inkrustace. Na pohledových plochách křídel jsou svislé trhliny.</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Na podhledu nosné konstrukce jsou viditelné stopy promáčení, výluhy. Na spodním povrchu nosné konstrukce jsou odpadlé krycí vrstvy betonu s obnaženou výztuží, s prokopírovanými třmínky, dochází přitom ke korozi podélné výztuže. Na podhledu nosné konstrukce jsou viditelné podélné trhliny. Při prohlídce byla zaznamenána předchozí diagnostika - vývrty, drážky. Po provedení diagnostiky nebylo provedeno zapravení. Levý krajní trám č. 1 v poli č. 2 má opadané krycí vrstvy a rozsáhlou korozi podélné výztuže - úbytek cca 30%.</w:t>
      </w:r>
    </w:p>
    <w:p>
      <w:pPr>
        <w:pStyle w:val="Style23"/>
        <w:keepNext w:val="0"/>
        <w:keepLines w:val="0"/>
        <w:widowControl w:val="0"/>
        <w:shd w:val="clear" w:color="auto" w:fill="auto"/>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Ve vozovce nad opěrou 1 se vytvořila neřízeně dilatační spára, je provedena zálivka. Stav izolace bez provedení sond nelze zjistit, vzhledem ke stavu nosné konstrukce není funkční, dochází k průsaku přes nosnou konstrukci, opěry a křídla.</w:t>
      </w:r>
    </w:p>
    <w:p>
      <w:pPr>
        <w:pStyle w:val="Style23"/>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cs-CZ" w:eastAsia="cs-CZ" w:bidi="cs-CZ"/>
        </w:rPr>
        <w:t>Nosná konstrukce je ve stavu VI - velmi špatný, spodní stavba IV - uspokojivý, použitelnost: III - použitelné s výhradou.</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Délka přemostění 29,90 m, délka NK 31,40 m, šikmost: kolmý 100,00 g, volná šířka 5,40 m, celková šířka mostu 6,00 m, plocha mostu 188,40 m</w:t>
      </w:r>
      <w:r>
        <w:rPr>
          <w:color w:val="000000"/>
          <w:spacing w:val="0"/>
          <w:w w:val="100"/>
          <w:position w:val="0"/>
          <w:sz w:val="24"/>
          <w:szCs w:val="24"/>
          <w:shd w:val="clear" w:color="auto" w:fill="auto"/>
          <w:vertAlign w:val="superscript"/>
          <w:lang w:val="cs-CZ" w:eastAsia="cs-CZ" w:bidi="cs-CZ"/>
        </w:rPr>
        <w:t>2</w:t>
      </w:r>
      <w:r>
        <w:rPr>
          <w:color w:val="000000"/>
          <w:spacing w:val="0"/>
          <w:w w:val="100"/>
          <w:position w:val="0"/>
          <w:sz w:val="24"/>
          <w:szCs w:val="24"/>
          <w:shd w:val="clear" w:color="auto" w:fill="auto"/>
          <w:lang w:val="cs-CZ" w:eastAsia="cs-CZ" w:bidi="cs-CZ"/>
        </w:rPr>
        <w:t>.</w:t>
      </w:r>
    </w:p>
    <w:p>
      <w:pPr>
        <w:pStyle w:val="Style23"/>
        <w:keepNext w:val="0"/>
        <w:keepLines w:val="0"/>
        <w:widowControl w:val="0"/>
        <w:shd w:val="clear" w:color="auto" w:fill="auto"/>
        <w:bidi w:val="0"/>
        <w:spacing w:before="0" w:after="500" w:line="276" w:lineRule="auto"/>
        <w:ind w:left="0" w:right="0" w:firstLine="0"/>
        <w:jc w:val="left"/>
      </w:pPr>
      <w:r>
        <w:rPr>
          <w:color w:val="000000"/>
          <w:spacing w:val="0"/>
          <w:w w:val="100"/>
          <w:position w:val="0"/>
          <w:sz w:val="24"/>
          <w:szCs w:val="24"/>
          <w:shd w:val="clear" w:color="auto" w:fill="auto"/>
          <w:lang w:val="cs-CZ" w:eastAsia="cs-CZ" w:bidi="cs-CZ"/>
        </w:rPr>
        <w:t>Zatížitelnost: Vn = 8.0 t, Vr = 11 t, Ve = 38 t, Vaj(Va) = 8.5 t.</w:t>
      </w:r>
    </w:p>
    <w:p>
      <w:pPr>
        <w:pStyle w:val="Style23"/>
        <w:keepNext w:val="0"/>
        <w:keepLines w:val="0"/>
        <w:widowControl w:val="0"/>
        <w:shd w:val="clear" w:color="auto" w:fill="auto"/>
        <w:bidi w:val="0"/>
        <w:spacing w:before="0" w:after="220" w:line="240" w:lineRule="auto"/>
        <w:ind w:left="0" w:right="0" w:firstLine="0"/>
        <w:jc w:val="left"/>
      </w:pPr>
      <w:r>
        <w:rPr>
          <w:b/>
          <w:bCs/>
          <w:color w:val="000000"/>
          <w:spacing w:val="0"/>
          <w:w w:val="100"/>
          <w:position w:val="0"/>
          <w:sz w:val="24"/>
          <w:szCs w:val="24"/>
          <w:u w:val="single"/>
          <w:shd w:val="clear" w:color="auto" w:fill="auto"/>
          <w:lang w:val="cs-CZ" w:eastAsia="cs-CZ" w:bidi="cs-CZ"/>
        </w:rPr>
        <w:t>Technické podmínky</w:t>
      </w:r>
    </w:p>
    <w:p>
      <w:pPr>
        <w:pStyle w:val="Style2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u w:val="single"/>
          <w:shd w:val="clear" w:color="auto" w:fill="auto"/>
          <w:lang w:val="cs-CZ" w:eastAsia="cs-CZ" w:bidi="cs-CZ"/>
        </w:rPr>
        <w:t>Vypracování dokumentace pro společné územní a stavební povolení a pro provádění stavby</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PD je nutno zpracovat dle vyhlášky č. 405/2017 Sb., kterou se mění vyhláška č. 499/2006 Sb., o dokumentaci staveb. Stanovení rozsahu dokumentace pro provádění stavby v aktuálním znění dle vyhlášky č. 251/2018 Sb, kterou se mění vyhláška 146/2008 Sb.</w:t>
      </w:r>
    </w:p>
    <w:p>
      <w:pPr>
        <w:pStyle w:val="Style23"/>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cs-CZ" w:eastAsia="cs-CZ" w:bidi="cs-CZ"/>
        </w:rPr>
        <w:t>PD bude obsahovat zejména:</w:t>
      </w:r>
    </w:p>
    <w:p>
      <w:pPr>
        <w:pStyle w:val="Style23"/>
        <w:keepNext w:val="0"/>
        <w:keepLines w:val="0"/>
        <w:widowControl w:val="0"/>
        <w:numPr>
          <w:ilvl w:val="0"/>
          <w:numId w:val="27"/>
        </w:numPr>
        <w:shd w:val="clear" w:color="auto" w:fill="auto"/>
        <w:tabs>
          <w:tab w:pos="584" w:val="left"/>
        </w:tabs>
        <w:bidi w:val="0"/>
        <w:spacing w:before="0" w:after="0" w:line="240" w:lineRule="auto"/>
        <w:ind w:left="580" w:right="0" w:hanging="420"/>
        <w:jc w:val="left"/>
      </w:pPr>
      <w:r>
        <w:rPr>
          <w:color w:val="000000"/>
          <w:spacing w:val="0"/>
          <w:w w:val="100"/>
          <w:position w:val="0"/>
          <w:sz w:val="24"/>
          <w:szCs w:val="24"/>
          <w:shd w:val="clear" w:color="auto" w:fill="auto"/>
          <w:lang w:val="cs-CZ" w:eastAsia="cs-CZ" w:bidi="cs-CZ"/>
        </w:rPr>
        <w:t>Vlastní návrh technického řešení rekonstrukce mostu (projednaný mezi zhotovitelem a zadavatelem na vstupním výrobním výboru)</w:t>
      </w:r>
    </w:p>
    <w:p>
      <w:pPr>
        <w:pStyle w:val="Style23"/>
        <w:keepNext w:val="0"/>
        <w:keepLines w:val="0"/>
        <w:widowControl w:val="0"/>
        <w:numPr>
          <w:ilvl w:val="0"/>
          <w:numId w:val="27"/>
        </w:numPr>
        <w:shd w:val="clear" w:color="auto" w:fill="auto"/>
        <w:tabs>
          <w:tab w:pos="584" w:val="left"/>
        </w:tabs>
        <w:bidi w:val="0"/>
        <w:spacing w:before="0" w:after="0" w:line="240" w:lineRule="auto"/>
        <w:ind w:left="580" w:right="0" w:hanging="420"/>
        <w:jc w:val="left"/>
      </w:pPr>
      <w:r>
        <w:rPr>
          <w:color w:val="000000"/>
          <w:spacing w:val="0"/>
          <w:w w:val="100"/>
          <w:position w:val="0"/>
          <w:sz w:val="24"/>
          <w:szCs w:val="24"/>
          <w:shd w:val="clear" w:color="auto" w:fill="auto"/>
          <w:lang w:val="cs-CZ" w:eastAsia="cs-CZ" w:bidi="cs-CZ"/>
        </w:rPr>
        <w:t>Geodetické zaměření předmětného území (výškopisné a polohopisné zaměření) v potřebném rozsahu rekonstrukce mostu</w:t>
      </w:r>
    </w:p>
    <w:p>
      <w:pPr>
        <w:pStyle w:val="Style23"/>
        <w:keepNext w:val="0"/>
        <w:keepLines w:val="0"/>
        <w:widowControl w:val="0"/>
        <w:numPr>
          <w:ilvl w:val="0"/>
          <w:numId w:val="27"/>
        </w:numPr>
        <w:shd w:val="clear" w:color="auto" w:fill="auto"/>
        <w:tabs>
          <w:tab w:pos="584" w:val="left"/>
        </w:tabs>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Zákres stavby do aktuální katastrální mapy</w:t>
      </w:r>
    </w:p>
    <w:p>
      <w:pPr>
        <w:pStyle w:val="Style23"/>
        <w:keepNext w:val="0"/>
        <w:keepLines w:val="0"/>
        <w:widowControl w:val="0"/>
        <w:numPr>
          <w:ilvl w:val="0"/>
          <w:numId w:val="27"/>
        </w:numPr>
        <w:shd w:val="clear" w:color="auto" w:fill="auto"/>
        <w:tabs>
          <w:tab w:pos="584" w:val="left"/>
        </w:tabs>
        <w:bidi w:val="0"/>
        <w:spacing w:before="0" w:after="0" w:line="240" w:lineRule="auto"/>
        <w:ind w:left="580" w:right="0" w:hanging="420"/>
        <w:jc w:val="left"/>
      </w:pPr>
      <w:r>
        <w:rPr>
          <w:color w:val="000000"/>
          <w:spacing w:val="0"/>
          <w:w w:val="100"/>
          <w:position w:val="0"/>
          <w:sz w:val="24"/>
          <w:szCs w:val="24"/>
          <w:shd w:val="clear" w:color="auto" w:fill="auto"/>
          <w:lang w:val="cs-CZ" w:eastAsia="cs-CZ" w:bidi="cs-CZ"/>
        </w:rPr>
        <w:t>Podrobný inženýrskogeologický, geotechnický a hydrogeologický průzkum daného území (pokud bude vyžadováno)</w:t>
      </w:r>
    </w:p>
    <w:p>
      <w:pPr>
        <w:pStyle w:val="Style23"/>
        <w:keepNext w:val="0"/>
        <w:keepLines w:val="0"/>
        <w:widowControl w:val="0"/>
        <w:numPr>
          <w:ilvl w:val="0"/>
          <w:numId w:val="27"/>
        </w:numPr>
        <w:shd w:val="clear" w:color="auto" w:fill="auto"/>
        <w:tabs>
          <w:tab w:pos="584" w:val="left"/>
        </w:tabs>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Vytyčovací výkres stavby</w:t>
      </w:r>
    </w:p>
    <w:p>
      <w:pPr>
        <w:pStyle w:val="Style23"/>
        <w:keepNext w:val="0"/>
        <w:keepLines w:val="0"/>
        <w:widowControl w:val="0"/>
        <w:numPr>
          <w:ilvl w:val="0"/>
          <w:numId w:val="27"/>
        </w:numPr>
        <w:shd w:val="clear" w:color="auto" w:fill="auto"/>
        <w:tabs>
          <w:tab w:pos="584" w:val="left"/>
        </w:tabs>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Dopravní značení po projednání</w:t>
      </w:r>
    </w:p>
    <w:p>
      <w:pPr>
        <w:pStyle w:val="Style23"/>
        <w:keepNext w:val="0"/>
        <w:keepLines w:val="0"/>
        <w:widowControl w:val="0"/>
        <w:numPr>
          <w:ilvl w:val="0"/>
          <w:numId w:val="27"/>
        </w:numPr>
        <w:shd w:val="clear" w:color="auto" w:fill="auto"/>
        <w:tabs>
          <w:tab w:pos="584" w:val="left"/>
        </w:tabs>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Situace v měřítku 1:500</w:t>
      </w:r>
    </w:p>
    <w:p>
      <w:pPr>
        <w:pStyle w:val="Style23"/>
        <w:keepNext w:val="0"/>
        <w:keepLines w:val="0"/>
        <w:widowControl w:val="0"/>
        <w:numPr>
          <w:ilvl w:val="0"/>
          <w:numId w:val="27"/>
        </w:numPr>
        <w:shd w:val="clear" w:color="auto" w:fill="auto"/>
        <w:tabs>
          <w:tab w:pos="584" w:val="left"/>
        </w:tabs>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Zásady organizace výstavby</w:t>
      </w:r>
    </w:p>
    <w:p>
      <w:pPr>
        <w:pStyle w:val="Style23"/>
        <w:keepNext w:val="0"/>
        <w:keepLines w:val="0"/>
        <w:widowControl w:val="0"/>
        <w:numPr>
          <w:ilvl w:val="0"/>
          <w:numId w:val="27"/>
        </w:numPr>
        <w:shd w:val="clear" w:color="auto" w:fill="auto"/>
        <w:tabs>
          <w:tab w:pos="584" w:val="left"/>
        </w:tabs>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Statický a hydrotechnický výpočet</w:t>
      </w:r>
    </w:p>
    <w:p>
      <w:pPr>
        <w:pStyle w:val="Style23"/>
        <w:keepNext w:val="0"/>
        <w:keepLines w:val="0"/>
        <w:widowControl w:val="0"/>
        <w:numPr>
          <w:ilvl w:val="0"/>
          <w:numId w:val="27"/>
        </w:numPr>
        <w:shd w:val="clear" w:color="auto" w:fill="auto"/>
        <w:tabs>
          <w:tab w:pos="584" w:val="left"/>
        </w:tabs>
        <w:bidi w:val="0"/>
        <w:spacing w:before="0" w:after="0" w:line="240" w:lineRule="auto"/>
        <w:ind w:left="580" w:right="0" w:hanging="420"/>
        <w:jc w:val="left"/>
      </w:pPr>
      <w:r>
        <w:rPr>
          <w:color w:val="000000"/>
          <w:spacing w:val="0"/>
          <w:w w:val="100"/>
          <w:position w:val="0"/>
          <w:sz w:val="24"/>
          <w:szCs w:val="24"/>
          <w:shd w:val="clear" w:color="auto" w:fill="auto"/>
          <w:lang w:val="cs-CZ" w:eastAsia="cs-CZ" w:bidi="cs-CZ"/>
        </w:rPr>
        <w:t>Návrh kácení stromů včetně vyznačení v situaci, dendrologický průzkum (pokud bude pro zpracování PD a vydání příslušných stanovisek a povolení nutné), zajištění povolení ke kácení stromů je věcí zadavatele</w:t>
      </w:r>
    </w:p>
    <w:p>
      <w:pPr>
        <w:pStyle w:val="Style23"/>
        <w:keepNext w:val="0"/>
        <w:keepLines w:val="0"/>
        <w:widowControl w:val="0"/>
        <w:numPr>
          <w:ilvl w:val="0"/>
          <w:numId w:val="27"/>
        </w:numPr>
        <w:shd w:val="clear" w:color="auto" w:fill="auto"/>
        <w:tabs>
          <w:tab w:pos="584" w:val="left"/>
        </w:tabs>
        <w:bidi w:val="0"/>
        <w:spacing w:before="0" w:after="0" w:line="240" w:lineRule="auto"/>
        <w:ind w:left="580" w:right="0" w:hanging="420"/>
        <w:jc w:val="left"/>
      </w:pPr>
      <w:r>
        <w:rPr>
          <w:color w:val="000000"/>
          <w:spacing w:val="0"/>
          <w:w w:val="100"/>
          <w:position w:val="0"/>
          <w:sz w:val="24"/>
          <w:szCs w:val="24"/>
          <w:shd w:val="clear" w:color="auto" w:fill="auto"/>
          <w:lang w:val="cs-CZ" w:eastAsia="cs-CZ" w:bidi="cs-CZ"/>
        </w:rPr>
        <w:t xml:space="preserve">V případě, že příslušný správní orgán povolí kácení dřevin dle PD, je nutné zjistit, zda se v dutinách stromů nenachází zvláště chráněné druhy živočichů - zejména netopýři, sovy či dřevokazní brouci (v tomto případě bude nutno zhotovitelem PD zažádat o výjimku z </w:t>
      </w:r>
      <w:r>
        <w:rPr>
          <w:color w:val="000000"/>
          <w:spacing w:val="0"/>
          <w:w w:val="100"/>
          <w:position w:val="0"/>
          <w:sz w:val="24"/>
          <w:szCs w:val="24"/>
          <w:shd w:val="clear" w:color="auto" w:fill="auto"/>
          <w:lang w:val="cs-CZ" w:eastAsia="cs-CZ" w:bidi="cs-CZ"/>
        </w:rPr>
        <w:t>ochrany zvláště chráněných druhů na odboru životního prostředí Krajského úřadu Kraje Vysočina).</w:t>
      </w:r>
    </w:p>
    <w:p>
      <w:pPr>
        <w:pStyle w:val="Style23"/>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 Prověření průběhu inženýrských sítí, přeložky inženýrských sítí</w:t>
      </w:r>
    </w:p>
    <w:p>
      <w:pPr>
        <w:pStyle w:val="Style23"/>
        <w:keepNext w:val="0"/>
        <w:keepLines w:val="0"/>
        <w:widowControl w:val="0"/>
        <w:shd w:val="clear" w:color="auto" w:fill="auto"/>
        <w:bidi w:val="0"/>
        <w:spacing w:before="0" w:after="0" w:line="240" w:lineRule="auto"/>
        <w:ind w:left="580" w:right="0" w:hanging="420"/>
        <w:jc w:val="both"/>
      </w:pPr>
      <w:r>
        <w:rPr>
          <w:color w:val="000000"/>
          <w:spacing w:val="0"/>
          <w:w w:val="100"/>
          <w:position w:val="0"/>
          <w:sz w:val="24"/>
          <w:szCs w:val="24"/>
          <w:shd w:val="clear" w:color="auto" w:fill="auto"/>
          <w:lang w:val="cs-CZ" w:eastAsia="cs-CZ" w:bidi="cs-CZ"/>
        </w:rPr>
        <w:t>- Záborový elaborát s tabulkou dotčených pozemků pro dočasný a trvalý zábor a zákres do katastrální mapy včetně sousedních pozemků, pro zřízení věcných břemen bude vyčísleno dotčení jednotlivých pozemků</w:t>
      </w:r>
    </w:p>
    <w:p>
      <w:pPr>
        <w:pStyle w:val="Style23"/>
        <w:keepNext w:val="0"/>
        <w:keepLines w:val="0"/>
        <w:widowControl w:val="0"/>
        <w:shd w:val="clear" w:color="auto" w:fill="auto"/>
        <w:bidi w:val="0"/>
        <w:spacing w:before="0" w:after="0" w:line="240" w:lineRule="auto"/>
        <w:ind w:left="1460" w:right="0" w:hanging="44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z w:val="24"/>
          <w:szCs w:val="24"/>
          <w:shd w:val="clear" w:color="auto" w:fill="auto"/>
          <w:lang w:val="cs-CZ" w:eastAsia="cs-CZ" w:bidi="cs-CZ"/>
        </w:rPr>
        <w:t>Zajištění souhlasu s vynětím pozemků trvale dotčených stavbou silnice ze ZPF a PUPFL včetně zpracování Pedologického průzkumu</w:t>
      </w:r>
    </w:p>
    <w:p>
      <w:pPr>
        <w:pStyle w:val="Style23"/>
        <w:keepNext w:val="0"/>
        <w:keepLines w:val="0"/>
        <w:widowControl w:val="0"/>
        <w:shd w:val="clear" w:color="auto" w:fill="auto"/>
        <w:bidi w:val="0"/>
        <w:spacing w:before="0" w:after="0" w:line="240" w:lineRule="auto"/>
        <w:ind w:left="1020" w:right="0" w:firstLine="0"/>
        <w:jc w:val="left"/>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z w:val="24"/>
          <w:szCs w:val="24"/>
          <w:shd w:val="clear" w:color="auto" w:fill="auto"/>
          <w:lang w:val="cs-CZ" w:eastAsia="cs-CZ" w:bidi="cs-CZ"/>
        </w:rPr>
        <w:t xml:space="preserve">Zajištění souhlasu s dočasným vynětím pozemků dočasného záboru ze ZPF </w:t>
      </w: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z w:val="24"/>
          <w:szCs w:val="24"/>
          <w:shd w:val="clear" w:color="auto" w:fill="auto"/>
          <w:lang w:val="cs-CZ" w:eastAsia="cs-CZ" w:bidi="cs-CZ"/>
        </w:rPr>
        <w:t>Součinnost zhotovitele při jednáních s vlastníky dotčených pozemků</w:t>
      </w:r>
    </w:p>
    <w:p>
      <w:pPr>
        <w:pStyle w:val="Style23"/>
        <w:keepNext w:val="0"/>
        <w:keepLines w:val="0"/>
        <w:widowControl w:val="0"/>
        <w:shd w:val="clear" w:color="auto" w:fill="auto"/>
        <w:bidi w:val="0"/>
        <w:spacing w:before="0" w:after="0" w:line="240" w:lineRule="auto"/>
        <w:ind w:left="580" w:right="0" w:hanging="420"/>
        <w:jc w:val="both"/>
      </w:pPr>
      <w:r>
        <w:rPr>
          <w:color w:val="000000"/>
          <w:spacing w:val="0"/>
          <w:w w:val="100"/>
          <w:position w:val="0"/>
          <w:sz w:val="24"/>
          <w:szCs w:val="24"/>
          <w:shd w:val="clear" w:color="auto" w:fill="auto"/>
          <w:lang w:val="cs-CZ" w:eastAsia="cs-CZ" w:bidi="cs-CZ"/>
        </w:rPr>
        <w:t>- V případě, že příslušný správní orgán povolí kácení dřevin dle PD, je nutné zjistit, zda se v dutinách stromů nenachází zvláště chráněné druhy živočichů - zejména netopýři, sovy či dřevokazní brouci (v tomto případě bude nutno zažádat o výjimku z ochrany zvláště chráněných druhů na odboru životního prostředí Krajského úřadu Kraje Vysočina).</w:t>
      </w:r>
    </w:p>
    <w:p>
      <w:pPr>
        <w:pStyle w:val="Style23"/>
        <w:keepNext w:val="0"/>
        <w:keepLines w:val="0"/>
        <w:widowControl w:val="0"/>
        <w:numPr>
          <w:ilvl w:val="0"/>
          <w:numId w:val="27"/>
        </w:numPr>
        <w:shd w:val="clear" w:color="auto" w:fill="auto"/>
        <w:tabs>
          <w:tab w:pos="582" w:val="left"/>
        </w:tabs>
        <w:bidi w:val="0"/>
        <w:spacing w:before="0" w:after="0" w:line="240" w:lineRule="auto"/>
        <w:ind w:left="0" w:right="0" w:firstLine="160"/>
        <w:jc w:val="both"/>
      </w:pPr>
      <w:r>
        <w:rPr>
          <w:color w:val="000000"/>
          <w:spacing w:val="0"/>
          <w:w w:val="100"/>
          <w:position w:val="0"/>
          <w:sz w:val="24"/>
          <w:szCs w:val="24"/>
          <w:shd w:val="clear" w:color="auto" w:fill="auto"/>
          <w:lang w:val="cs-CZ" w:eastAsia="cs-CZ" w:bidi="cs-CZ"/>
        </w:rPr>
        <w:t>Odhad stavebních nákladů</w:t>
      </w:r>
    </w:p>
    <w:p>
      <w:pPr>
        <w:pStyle w:val="Style23"/>
        <w:keepNext w:val="0"/>
        <w:keepLines w:val="0"/>
        <w:widowControl w:val="0"/>
        <w:numPr>
          <w:ilvl w:val="0"/>
          <w:numId w:val="27"/>
        </w:numPr>
        <w:shd w:val="clear" w:color="auto" w:fill="auto"/>
        <w:tabs>
          <w:tab w:pos="582" w:val="left"/>
        </w:tabs>
        <w:bidi w:val="0"/>
        <w:spacing w:before="0" w:after="0" w:line="276" w:lineRule="auto"/>
        <w:ind w:left="580" w:right="0" w:hanging="420"/>
        <w:jc w:val="both"/>
      </w:pPr>
      <w:r>
        <w:rPr>
          <w:color w:val="000000"/>
          <w:spacing w:val="0"/>
          <w:w w:val="100"/>
          <w:position w:val="0"/>
          <w:sz w:val="24"/>
          <w:szCs w:val="24"/>
          <w:shd w:val="clear" w:color="auto" w:fill="auto"/>
          <w:lang w:val="cs-CZ" w:eastAsia="cs-CZ" w:bidi="cs-CZ"/>
        </w:rPr>
        <w:t>Vyřešení nakládání s odpady dle vyhlášky č. 130/2019 Sb., kdy u stávajících směsí stmelených asfaltovými pojivy bude např. provedením a rozborem jádrového odvrtu prověřen obsah PAU (dehtu), a v případě jeho zastižení bude tato směs jako odpad v maximální možné míře znovu použita na stavbě, čemuž bude přizpůsobeno technické řešení</w:t>
      </w:r>
    </w:p>
    <w:p>
      <w:pPr>
        <w:pStyle w:val="Style23"/>
        <w:keepNext w:val="0"/>
        <w:keepLines w:val="0"/>
        <w:widowControl w:val="0"/>
        <w:numPr>
          <w:ilvl w:val="0"/>
          <w:numId w:val="27"/>
        </w:numPr>
        <w:shd w:val="clear" w:color="auto" w:fill="auto"/>
        <w:tabs>
          <w:tab w:pos="582" w:val="left"/>
        </w:tabs>
        <w:bidi w:val="0"/>
        <w:spacing w:before="0" w:after="0" w:line="240" w:lineRule="auto"/>
        <w:ind w:left="580" w:right="0" w:hanging="420"/>
        <w:jc w:val="both"/>
      </w:pPr>
      <w:r>
        <w:rPr>
          <w:color w:val="000000"/>
          <w:spacing w:val="0"/>
          <w:w w:val="100"/>
          <w:position w:val="0"/>
          <w:sz w:val="24"/>
          <w:szCs w:val="24"/>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územního rozhodnutí, vč. případného následného zapracování změn do projektové dokumentace</w:t>
      </w:r>
    </w:p>
    <w:p>
      <w:pPr>
        <w:pStyle w:val="Style23"/>
        <w:keepNext w:val="0"/>
        <w:keepLines w:val="0"/>
        <w:widowControl w:val="0"/>
        <w:numPr>
          <w:ilvl w:val="0"/>
          <w:numId w:val="27"/>
        </w:numPr>
        <w:shd w:val="clear" w:color="auto" w:fill="auto"/>
        <w:tabs>
          <w:tab w:pos="582" w:val="left"/>
        </w:tabs>
        <w:bidi w:val="0"/>
        <w:spacing w:before="0" w:after="0" w:line="240" w:lineRule="auto"/>
        <w:ind w:left="580" w:right="0" w:hanging="420"/>
        <w:jc w:val="both"/>
      </w:pPr>
      <w:r>
        <w:rPr>
          <w:color w:val="000000"/>
          <w:spacing w:val="0"/>
          <w:w w:val="100"/>
          <w:position w:val="0"/>
          <w:sz w:val="24"/>
          <w:szCs w:val="24"/>
          <w:shd w:val="clear" w:color="auto" w:fill="auto"/>
          <w:lang w:val="cs-CZ" w:eastAsia="cs-CZ" w:bidi="cs-CZ"/>
        </w:rPr>
        <w:t>Podání žádosti o společné územní a stavební povolení, zajištění vydání ÚSP včetně potřebné inženýrské činnosti (např. dořešení změn PD v průběhu ÚŘ), získání doložky nabytí právní moci ÚSP.</w:t>
      </w:r>
    </w:p>
    <w:p>
      <w:pPr>
        <w:pStyle w:val="Style23"/>
        <w:keepNext w:val="0"/>
        <w:keepLines w:val="0"/>
        <w:widowControl w:val="0"/>
        <w:numPr>
          <w:ilvl w:val="0"/>
          <w:numId w:val="27"/>
        </w:numPr>
        <w:shd w:val="clear" w:color="auto" w:fill="auto"/>
        <w:tabs>
          <w:tab w:pos="582" w:val="left"/>
        </w:tabs>
        <w:bidi w:val="0"/>
        <w:spacing w:before="0" w:after="0" w:line="240" w:lineRule="auto"/>
        <w:ind w:left="0" w:right="0" w:firstLine="160"/>
        <w:jc w:val="both"/>
      </w:pPr>
      <w:r>
        <w:rPr>
          <w:color w:val="000000"/>
          <w:spacing w:val="0"/>
          <w:w w:val="100"/>
          <w:position w:val="0"/>
          <w:sz w:val="24"/>
          <w:szCs w:val="24"/>
          <w:shd w:val="clear" w:color="auto" w:fill="auto"/>
          <w:lang w:val="cs-CZ" w:eastAsia="cs-CZ" w:bidi="cs-CZ"/>
        </w:rPr>
        <w:t>Výkaz výměr s bilancí zemních prací</w:t>
      </w:r>
    </w:p>
    <w:p>
      <w:pPr>
        <w:pStyle w:val="Style23"/>
        <w:keepNext w:val="0"/>
        <w:keepLines w:val="0"/>
        <w:widowControl w:val="0"/>
        <w:numPr>
          <w:ilvl w:val="0"/>
          <w:numId w:val="27"/>
        </w:numPr>
        <w:shd w:val="clear" w:color="auto" w:fill="auto"/>
        <w:tabs>
          <w:tab w:pos="582" w:val="left"/>
        </w:tabs>
        <w:bidi w:val="0"/>
        <w:spacing w:before="0" w:after="0" w:line="276" w:lineRule="auto"/>
        <w:ind w:left="580" w:right="0" w:hanging="420"/>
        <w:jc w:val="both"/>
      </w:pPr>
      <w:r>
        <w:rPr>
          <w:color w:val="000000"/>
          <w:spacing w:val="0"/>
          <w:w w:val="100"/>
          <w:position w:val="0"/>
          <w:sz w:val="24"/>
          <w:szCs w:val="24"/>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 a projednání s Policií ČR</w:t>
      </w:r>
    </w:p>
    <w:p>
      <w:pPr>
        <w:pStyle w:val="Style23"/>
        <w:keepNext w:val="0"/>
        <w:keepLines w:val="0"/>
        <w:widowControl w:val="0"/>
        <w:numPr>
          <w:ilvl w:val="0"/>
          <w:numId w:val="27"/>
        </w:numPr>
        <w:shd w:val="clear" w:color="auto" w:fill="auto"/>
        <w:tabs>
          <w:tab w:pos="582" w:val="left"/>
        </w:tabs>
        <w:bidi w:val="0"/>
        <w:spacing w:before="0" w:after="0" w:line="276" w:lineRule="auto"/>
        <w:ind w:left="0" w:right="0" w:firstLine="160"/>
        <w:jc w:val="both"/>
      </w:pPr>
      <w:r>
        <w:rPr>
          <w:color w:val="000000"/>
          <w:spacing w:val="0"/>
          <w:w w:val="100"/>
          <w:position w:val="0"/>
          <w:sz w:val="24"/>
          <w:szCs w:val="24"/>
          <w:shd w:val="clear" w:color="auto" w:fill="auto"/>
          <w:lang w:val="cs-CZ" w:eastAsia="cs-CZ" w:bidi="cs-CZ"/>
        </w:rPr>
        <w:t>Plán BOZP potvrzený koordinátorem BOZP</w:t>
      </w:r>
    </w:p>
    <w:p>
      <w:pPr>
        <w:pStyle w:val="Style23"/>
        <w:keepNext w:val="0"/>
        <w:keepLines w:val="0"/>
        <w:widowControl w:val="0"/>
        <w:numPr>
          <w:ilvl w:val="0"/>
          <w:numId w:val="27"/>
        </w:numPr>
        <w:shd w:val="clear" w:color="auto" w:fill="auto"/>
        <w:tabs>
          <w:tab w:pos="582" w:val="left"/>
        </w:tabs>
        <w:bidi w:val="0"/>
        <w:spacing w:before="0" w:after="0" w:line="276" w:lineRule="auto"/>
        <w:ind w:left="0" w:right="0" w:firstLine="160"/>
        <w:jc w:val="both"/>
      </w:pPr>
      <w:r>
        <w:rPr>
          <w:color w:val="000000"/>
          <w:spacing w:val="0"/>
          <w:w w:val="100"/>
          <w:position w:val="0"/>
          <w:sz w:val="24"/>
          <w:szCs w:val="24"/>
          <w:shd w:val="clear" w:color="auto" w:fill="auto"/>
          <w:lang w:val="cs-CZ" w:eastAsia="cs-CZ" w:bidi="cs-CZ"/>
        </w:rPr>
        <w:t>Havarijní a povodňový plán</w:t>
      </w:r>
    </w:p>
    <w:p>
      <w:pPr>
        <w:pStyle w:val="Style23"/>
        <w:keepNext w:val="0"/>
        <w:keepLines w:val="0"/>
        <w:widowControl w:val="0"/>
        <w:numPr>
          <w:ilvl w:val="0"/>
          <w:numId w:val="27"/>
        </w:numPr>
        <w:shd w:val="clear" w:color="auto" w:fill="auto"/>
        <w:tabs>
          <w:tab w:pos="582" w:val="left"/>
        </w:tabs>
        <w:bidi w:val="0"/>
        <w:spacing w:before="0" w:after="320" w:line="276" w:lineRule="auto"/>
        <w:ind w:left="580" w:right="0" w:hanging="420"/>
        <w:jc w:val="both"/>
      </w:pPr>
      <w:r>
        <w:rPr>
          <w:color w:val="000000"/>
          <w:spacing w:val="0"/>
          <w:w w:val="100"/>
          <w:position w:val="0"/>
          <w:sz w:val="24"/>
          <w:szCs w:val="24"/>
          <w:shd w:val="clear" w:color="auto" w:fill="auto"/>
          <w:lang w:val="cs-CZ" w:eastAsia="cs-CZ" w:bidi="cs-CZ"/>
        </w:rPr>
        <w:t>Neoceněný soupis prací, oceněný soupis prací (kontrolní rozpočet pro potřeby zadavatele), soupis prací bude zpracován v rozpočtovém programu Aspe (v oborovém třídníku stavebních konstrukcí OTSKP) v souladu s vyhláškou č. 499/2006 Sb., o dokumentaci staveb, ve znění vyhlášky č. 169/2016 Sb., o stanovení rozsahu dokumentace veřejné zakázky na stavební práce a soupisu stavebních prací, v platném znění.</w:t>
      </w:r>
    </w:p>
    <w:p>
      <w:pPr>
        <w:pStyle w:val="Style23"/>
        <w:keepNext w:val="0"/>
        <w:keepLines w:val="0"/>
        <w:widowControl w:val="0"/>
        <w:shd w:val="clear" w:color="auto" w:fill="auto"/>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Majetkoprávní příprava, včetně zajištění příslušných smluv dle § 110 zákona 183/2006 Sb. není součástí předmětu plnění a bude realizována zadavatelem. Zhotovitel zajistí pouze souhlasy dotčených vlastníků pozemků na situační výkres stavby v souladu s §110 a §184a zákona 183/2006 Sb, o územním plánování a stavebním řádu, v platném znění (stavební zákon), s účinností od 1. 1. 2018.</w:t>
      </w:r>
    </w:p>
    <w:p>
      <w:pPr>
        <w:pStyle w:val="Style2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Zhotovitel je povinen spolupracovat se zadavatelem při jednání s vlastníky - písemně informovat vlastníky dotčených pozemků o záměru realizovat stavbu, odpovídat na případné </w:t>
      </w:r>
      <w:r>
        <w:rPr>
          <w:color w:val="000000"/>
          <w:spacing w:val="0"/>
          <w:w w:val="100"/>
          <w:position w:val="0"/>
          <w:sz w:val="24"/>
          <w:szCs w:val="24"/>
          <w:shd w:val="clear" w:color="auto" w:fill="auto"/>
          <w:lang w:val="cs-CZ" w:eastAsia="cs-CZ" w:bidi="cs-CZ"/>
        </w:rPr>
        <w:t>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2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2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Před dokončením a odevzdáním každého stupně projektové dokumentace (tj. DUSP a PDPS) budou zhotovitelem svolány tzv. technicko-dokumentační komise (TDK) za účasti zástupců zřizovatele KSÚSV. Zadavateli a zástupci zřizovateli bude zhotovitelem v dostatečném předstihu (7 dní) zaslána projektová dokumentace jako podklad pro TDK. TDK svolává a zápis vyhotovuje zhotovitel projektové dokumentace.</w:t>
      </w:r>
    </w:p>
    <w:p>
      <w:pPr>
        <w:pStyle w:val="Style23"/>
        <w:keepNext w:val="0"/>
        <w:keepLines w:val="0"/>
        <w:widowControl w:val="0"/>
        <w:shd w:val="clear" w:color="auto" w:fill="auto"/>
        <w:bidi w:val="0"/>
        <w:spacing w:before="0" w:after="120" w:line="233" w:lineRule="auto"/>
        <w:ind w:left="0" w:right="0" w:firstLine="0"/>
        <w:jc w:val="both"/>
      </w:pPr>
      <w:r>
        <w:rPr>
          <w:color w:val="000000"/>
          <w:spacing w:val="0"/>
          <w:w w:val="100"/>
          <w:position w:val="0"/>
          <w:sz w:val="24"/>
          <w:szCs w:val="24"/>
          <w:shd w:val="clear" w:color="auto" w:fill="auto"/>
          <w:lang w:val="cs-CZ" w:eastAsia="cs-CZ" w:bidi="cs-CZ"/>
        </w:rPr>
        <w:t>Koncept projektové dokumentace bude předložen zadavateli v digitální podobě k odsouhlasení nejméně 30 dnů před termínem dokončení.</w:t>
      </w:r>
    </w:p>
    <w:p>
      <w:pPr>
        <w:pStyle w:val="Style2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Po definitivním odsouhlasení zadavatelem bude následně projektová dokumentace ve stupni pro společné rozhodnutí (DUSP) předána zadavateli v tištěné podobě a na CD (v plném rozsahu tištěné podoby) v následujícím počtu:</w:t>
      </w:r>
    </w:p>
    <w:p>
      <w:pPr>
        <w:pStyle w:val="Style23"/>
        <w:keepNext w:val="0"/>
        <w:keepLines w:val="0"/>
        <w:widowControl w:val="0"/>
        <w:shd w:val="clear" w:color="auto" w:fill="auto"/>
        <w:bidi w:val="0"/>
        <w:spacing w:before="0" w:after="0" w:line="276" w:lineRule="auto"/>
        <w:ind w:left="580" w:right="0" w:hanging="420"/>
        <w:jc w:val="both"/>
      </w:pPr>
      <w:r>
        <w:rPr>
          <w:color w:val="000000"/>
          <w:spacing w:val="0"/>
          <w:w w:val="100"/>
          <w:position w:val="0"/>
          <w:sz w:val="24"/>
          <w:szCs w:val="24"/>
          <w:shd w:val="clear" w:color="auto" w:fill="auto"/>
          <w:lang w:val="cs-CZ" w:eastAsia="cs-CZ" w:bidi="cs-CZ"/>
        </w:rPr>
        <w:t>- DUSP - 4x v tištěné podobě, vč. dokladové části ve všech paré, 1x v digitální ve formátu *.dwg a *.pdf</w:t>
      </w:r>
    </w:p>
    <w:p>
      <w:pPr>
        <w:pStyle w:val="Style23"/>
        <w:keepNext w:val="0"/>
        <w:keepLines w:val="0"/>
        <w:widowControl w:val="0"/>
        <w:shd w:val="clear" w:color="auto" w:fill="auto"/>
        <w:bidi w:val="0"/>
        <w:spacing w:before="0" w:after="0" w:line="276" w:lineRule="auto"/>
        <w:ind w:left="580" w:right="0" w:hanging="420"/>
        <w:jc w:val="both"/>
      </w:pPr>
      <w:r>
        <w:rPr>
          <w:color w:val="000000"/>
          <w:spacing w:val="0"/>
          <w:w w:val="100"/>
          <w:position w:val="0"/>
          <w:sz w:val="24"/>
          <w:szCs w:val="24"/>
          <w:shd w:val="clear" w:color="auto" w:fill="auto"/>
          <w:lang w:val="cs-CZ" w:eastAsia="cs-CZ" w:bidi="cs-CZ"/>
        </w:rPr>
        <w:t>- Výsledky inženýrsko-geologického průzkumu 1x v tištěné podobě, 1x v digitální ve formátu *.pdf</w:t>
      </w:r>
    </w:p>
    <w:p>
      <w:pPr>
        <w:pStyle w:val="Style23"/>
        <w:keepNext w:val="0"/>
        <w:keepLines w:val="0"/>
        <w:widowControl w:val="0"/>
        <w:numPr>
          <w:ilvl w:val="0"/>
          <w:numId w:val="27"/>
        </w:numPr>
        <w:shd w:val="clear" w:color="auto" w:fill="auto"/>
        <w:tabs>
          <w:tab w:pos="574" w:val="left"/>
        </w:tabs>
        <w:bidi w:val="0"/>
        <w:spacing w:before="0" w:after="0" w:line="276" w:lineRule="auto"/>
        <w:ind w:left="0" w:right="0" w:firstLine="160"/>
        <w:jc w:val="both"/>
      </w:pPr>
      <w:r>
        <w:rPr>
          <w:color w:val="000000"/>
          <w:spacing w:val="0"/>
          <w:w w:val="100"/>
          <w:position w:val="0"/>
          <w:sz w:val="24"/>
          <w:szCs w:val="24"/>
          <w:shd w:val="clear" w:color="auto" w:fill="auto"/>
          <w:lang w:val="cs-CZ" w:eastAsia="cs-CZ" w:bidi="cs-CZ"/>
        </w:rPr>
        <w:t>Záborový elaborát - 1x v tištěné podobě, 1x v digitální ve formátu *.pdf nebo *.xls</w:t>
      </w:r>
    </w:p>
    <w:p>
      <w:pPr>
        <w:pStyle w:val="Style23"/>
        <w:keepNext w:val="0"/>
        <w:keepLines w:val="0"/>
        <w:widowControl w:val="0"/>
        <w:numPr>
          <w:ilvl w:val="0"/>
          <w:numId w:val="27"/>
        </w:numPr>
        <w:shd w:val="clear" w:color="auto" w:fill="auto"/>
        <w:tabs>
          <w:tab w:pos="574" w:val="left"/>
        </w:tabs>
        <w:bidi w:val="0"/>
        <w:spacing w:before="0" w:after="0" w:line="276" w:lineRule="auto"/>
        <w:ind w:left="580" w:right="0" w:hanging="420"/>
        <w:jc w:val="both"/>
      </w:pPr>
      <w:r>
        <w:rPr>
          <w:color w:val="000000"/>
          <w:spacing w:val="0"/>
          <w:w w:val="100"/>
          <w:position w:val="0"/>
          <w:sz w:val="24"/>
          <w:szCs w:val="24"/>
          <w:shd w:val="clear" w:color="auto" w:fill="auto"/>
          <w:lang w:val="cs-CZ" w:eastAsia="cs-CZ" w:bidi="cs-CZ"/>
        </w:rPr>
        <w:t>Geodetické zaměření - 1x v tištěné podobě, 1x v digitální ve formátu *.dwg a *.pdf a vytyčovací síť vytyčovaných bodů ve formátu *.doc, *.xls nebo *.txt</w:t>
      </w:r>
    </w:p>
    <w:p>
      <w:pPr>
        <w:pStyle w:val="Style23"/>
        <w:keepNext w:val="0"/>
        <w:keepLines w:val="0"/>
        <w:widowControl w:val="0"/>
        <w:numPr>
          <w:ilvl w:val="0"/>
          <w:numId w:val="27"/>
        </w:numPr>
        <w:shd w:val="clear" w:color="auto" w:fill="auto"/>
        <w:tabs>
          <w:tab w:pos="574" w:val="left"/>
        </w:tabs>
        <w:bidi w:val="0"/>
        <w:spacing w:before="0" w:after="0" w:line="276" w:lineRule="auto"/>
        <w:ind w:left="580" w:right="0" w:hanging="420"/>
        <w:jc w:val="both"/>
      </w:pPr>
      <w:r>
        <w:rPr>
          <w:color w:val="000000"/>
          <w:spacing w:val="0"/>
          <w:w w:val="100"/>
          <w:position w:val="0"/>
          <w:sz w:val="24"/>
          <w:szCs w:val="24"/>
          <w:shd w:val="clear" w:color="auto" w:fill="auto"/>
          <w:lang w:val="cs-CZ" w:eastAsia="cs-CZ" w:bidi="cs-CZ"/>
        </w:rPr>
        <w:t>Odhad stavebních nákladů - 1x v tištěné podobě, 1x v digitální ve formátu *.pdf nebo *.xls</w:t>
      </w:r>
    </w:p>
    <w:p>
      <w:pPr>
        <w:pStyle w:val="Style23"/>
        <w:keepNext w:val="0"/>
        <w:keepLines w:val="0"/>
        <w:widowControl w:val="0"/>
        <w:numPr>
          <w:ilvl w:val="0"/>
          <w:numId w:val="27"/>
        </w:numPr>
        <w:shd w:val="clear" w:color="auto" w:fill="auto"/>
        <w:tabs>
          <w:tab w:pos="574" w:val="left"/>
        </w:tabs>
        <w:bidi w:val="0"/>
        <w:spacing w:before="0" w:after="120" w:line="276" w:lineRule="auto"/>
        <w:ind w:left="580" w:right="0" w:hanging="420"/>
        <w:jc w:val="both"/>
      </w:pPr>
      <w:r>
        <w:rPr>
          <w:color w:val="000000"/>
          <w:spacing w:val="0"/>
          <w:w w:val="100"/>
          <w:position w:val="0"/>
          <w:sz w:val="24"/>
          <w:szCs w:val="24"/>
          <w:shd w:val="clear" w:color="auto" w:fill="auto"/>
          <w:lang w:val="cs-CZ" w:eastAsia="cs-CZ" w:bidi="cs-CZ"/>
        </w:rPr>
        <w:t>Havarijní plán, povodňový plán, plán BOZP - vše 1x v tištěné podobě a 1x v digitálním formátu *.pdf nebo *.xls</w:t>
      </w:r>
    </w:p>
    <w:p>
      <w:pPr>
        <w:pStyle w:val="Style2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Po definitivním odsouhlasení zadavatelem bude následně projektová dokumentace ve stupni pro provedení stavby (PDPS) předána zadavateli v tištěné podobě a na CD (v plném rozsahu tištěné podoby) v následujícím počtu:</w:t>
      </w:r>
    </w:p>
    <w:p>
      <w:pPr>
        <w:pStyle w:val="Style23"/>
        <w:keepNext w:val="0"/>
        <w:keepLines w:val="0"/>
        <w:widowControl w:val="0"/>
        <w:numPr>
          <w:ilvl w:val="0"/>
          <w:numId w:val="27"/>
        </w:numPr>
        <w:shd w:val="clear" w:color="auto" w:fill="auto"/>
        <w:tabs>
          <w:tab w:pos="574" w:val="left"/>
        </w:tabs>
        <w:bidi w:val="0"/>
        <w:spacing w:before="0" w:after="0" w:line="276" w:lineRule="auto"/>
        <w:ind w:left="0" w:right="0" w:firstLine="160"/>
        <w:jc w:val="both"/>
      </w:pPr>
      <w:r>
        <w:rPr>
          <w:color w:val="000000"/>
          <w:spacing w:val="0"/>
          <w:w w:val="100"/>
          <w:position w:val="0"/>
          <w:sz w:val="24"/>
          <w:szCs w:val="24"/>
          <w:shd w:val="clear" w:color="auto" w:fill="auto"/>
          <w:lang w:val="cs-CZ" w:eastAsia="cs-CZ" w:bidi="cs-CZ"/>
        </w:rPr>
        <w:t>PDPS - 5x v tištěné podobě, 1x v digitální ve formátu *.dwg a *.pdf</w:t>
      </w:r>
    </w:p>
    <w:p>
      <w:pPr>
        <w:pStyle w:val="Style23"/>
        <w:keepNext w:val="0"/>
        <w:keepLines w:val="0"/>
        <w:widowControl w:val="0"/>
        <w:numPr>
          <w:ilvl w:val="0"/>
          <w:numId w:val="27"/>
        </w:numPr>
        <w:shd w:val="clear" w:color="auto" w:fill="auto"/>
        <w:tabs>
          <w:tab w:pos="574" w:val="left"/>
        </w:tabs>
        <w:bidi w:val="0"/>
        <w:spacing w:before="0" w:after="0" w:line="276" w:lineRule="auto"/>
        <w:ind w:left="580" w:right="0" w:hanging="420"/>
        <w:jc w:val="both"/>
      </w:pPr>
      <w:r>
        <w:rPr>
          <w:color w:val="000000"/>
          <w:spacing w:val="0"/>
          <w:w w:val="100"/>
          <w:position w:val="0"/>
          <w:sz w:val="24"/>
          <w:szCs w:val="24"/>
          <w:shd w:val="clear" w:color="auto" w:fill="auto"/>
          <w:lang w:val="cs-CZ" w:eastAsia="cs-CZ" w:bidi="cs-CZ"/>
        </w:rPr>
        <w:t>Oceněný soupis prací - 1x v tištěné podobě, 1x v digitální ve formátu *.xls(x), *.pdf a *.xml (exportní soubor z Aspe ve formátu XC4)</w:t>
      </w:r>
    </w:p>
    <w:p>
      <w:pPr>
        <w:pStyle w:val="Style23"/>
        <w:keepNext w:val="0"/>
        <w:keepLines w:val="0"/>
        <w:widowControl w:val="0"/>
        <w:numPr>
          <w:ilvl w:val="0"/>
          <w:numId w:val="27"/>
        </w:numPr>
        <w:shd w:val="clear" w:color="auto" w:fill="auto"/>
        <w:tabs>
          <w:tab w:pos="574" w:val="left"/>
        </w:tabs>
        <w:bidi w:val="0"/>
        <w:spacing w:before="0" w:after="0" w:line="276" w:lineRule="auto"/>
        <w:ind w:left="0" w:right="0" w:firstLine="160"/>
        <w:jc w:val="both"/>
      </w:pPr>
      <w:r>
        <w:rPr>
          <w:color w:val="000000"/>
          <w:spacing w:val="0"/>
          <w:w w:val="100"/>
          <w:position w:val="0"/>
          <w:sz w:val="24"/>
          <w:szCs w:val="24"/>
          <w:shd w:val="clear" w:color="auto" w:fill="auto"/>
          <w:lang w:val="cs-CZ" w:eastAsia="cs-CZ" w:bidi="cs-CZ"/>
        </w:rPr>
        <w:t>Neoceněný soupis prací - 1x v tištěné podobě, 1x v digitální ve formátu *.xls(x), *.pdf a</w:t>
      </w:r>
    </w:p>
    <w:p>
      <w:pPr>
        <w:pStyle w:val="Style23"/>
        <w:keepNext w:val="0"/>
        <w:keepLines w:val="0"/>
        <w:widowControl w:val="0"/>
        <w:shd w:val="clear" w:color="auto" w:fill="auto"/>
        <w:bidi w:val="0"/>
        <w:spacing w:before="0" w:after="200" w:line="276" w:lineRule="auto"/>
        <w:ind w:left="0" w:right="0" w:firstLine="580"/>
        <w:jc w:val="both"/>
      </w:pPr>
      <w:r>
        <w:rPr>
          <w:color w:val="000000"/>
          <w:spacing w:val="0"/>
          <w:w w:val="100"/>
          <w:position w:val="0"/>
          <w:sz w:val="24"/>
          <w:szCs w:val="24"/>
          <w:shd w:val="clear" w:color="auto" w:fill="auto"/>
          <w:lang w:val="cs-CZ" w:eastAsia="cs-CZ" w:bidi="cs-CZ"/>
        </w:rPr>
        <w:t>*.xml (exportní soubor z Aspe ve formátu XC4)</w:t>
      </w:r>
    </w:p>
    <w:p>
      <w:pPr>
        <w:pStyle w:val="Style2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u w:val="single"/>
          <w:shd w:val="clear" w:color="auto" w:fill="auto"/>
          <w:lang w:val="cs-CZ" w:eastAsia="cs-CZ" w:bidi="cs-CZ"/>
        </w:rPr>
        <w:t>Zajištění vydání potřebných územních rozhodnutí a stavebních povolení</w:t>
      </w:r>
    </w:p>
    <w:p>
      <w:pPr>
        <w:pStyle w:val="Style23"/>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Zhotovitel zajistí zpracování potřebných žádostí o vydání územních rozhodnutí a stavebních povolení včetně všech požadovaných příloh, vyjádření a stanovisek a podání řádných žádostí k příslušným stavebním úřadům dle jednotlivých stavebních objektů a příslušnosti k úřadu, který stavební objekty povoluje.</w:t>
      </w:r>
    </w:p>
    <w:p>
      <w:pPr>
        <w:pStyle w:val="Style2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Před podáním žádostí na příslušné stavební úřady, je zhotovitel povinen odsouhlasit si tyto žádosti včetně všech příloh se zástupci zadavatele.</w:t>
      </w:r>
    </w:p>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Pravomocná územní rozhodnutí a pravomocná stavební povolení budou předána zadavateli:</w:t>
      </w:r>
    </w:p>
    <w:p>
      <w:pPr>
        <w:pStyle w:val="Style23"/>
        <w:keepNext w:val="0"/>
        <w:keepLines w:val="0"/>
        <w:widowControl w:val="0"/>
        <w:shd w:val="clear" w:color="auto" w:fill="auto"/>
        <w:bidi w:val="0"/>
        <w:spacing w:before="0" w:after="220" w:line="276" w:lineRule="auto"/>
        <w:ind w:left="580" w:right="0" w:hanging="420"/>
        <w:jc w:val="both"/>
      </w:pPr>
      <w:r>
        <w:rPr>
          <w:color w:val="000000"/>
          <w:spacing w:val="0"/>
          <w:w w:val="100"/>
          <w:position w:val="0"/>
          <w:sz w:val="24"/>
          <w:szCs w:val="24"/>
          <w:shd w:val="clear" w:color="auto" w:fill="auto"/>
          <w:lang w:val="cs-CZ" w:eastAsia="cs-CZ" w:bidi="cs-CZ"/>
        </w:rPr>
        <w:t>- 1x originál každého společného územního a stavebního povolení (ÚSP) v písemné podobě s vyznačením nabytí právní moci + projektová dokumentace pro společné územní a stavební povolení (DUSP) ověřená stavebním úřadem</w:t>
      </w:r>
    </w:p>
    <w:p>
      <w:pPr>
        <w:pStyle w:val="Style2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u w:val="single"/>
          <w:shd w:val="clear" w:color="auto" w:fill="auto"/>
          <w:lang w:val="cs-CZ" w:eastAsia="cs-CZ" w:bidi="cs-CZ"/>
        </w:rPr>
        <w:t>Výkon autorského dozoru</w:t>
      </w:r>
    </w:p>
    <w:p>
      <w:pPr>
        <w:pStyle w:val="Style23"/>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w:t>
      </w:r>
    </w:p>
    <w:p>
      <w:pPr>
        <w:pStyle w:val="Style23"/>
        <w:keepNext w:val="0"/>
        <w:keepLines w:val="0"/>
        <w:widowControl w:val="0"/>
        <w:numPr>
          <w:ilvl w:val="0"/>
          <w:numId w:val="29"/>
        </w:numPr>
        <w:shd w:val="clear" w:color="auto" w:fill="auto"/>
        <w:tabs>
          <w:tab w:pos="361"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3"/>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Předmětem výkonu AD je především:</w:t>
      </w:r>
    </w:p>
    <w:p>
      <w:pPr>
        <w:pStyle w:val="Style23"/>
        <w:keepNext w:val="0"/>
        <w:keepLines w:val="0"/>
        <w:widowControl w:val="0"/>
        <w:numPr>
          <w:ilvl w:val="0"/>
          <w:numId w:val="27"/>
        </w:numPr>
        <w:shd w:val="clear" w:color="auto" w:fill="auto"/>
        <w:tabs>
          <w:tab w:pos="35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účastnit se předání staveniště dodavateli</w:t>
      </w:r>
    </w:p>
    <w:p>
      <w:pPr>
        <w:pStyle w:val="Style23"/>
        <w:keepNext w:val="0"/>
        <w:keepLines w:val="0"/>
        <w:widowControl w:val="0"/>
        <w:numPr>
          <w:ilvl w:val="0"/>
          <w:numId w:val="27"/>
        </w:numPr>
        <w:shd w:val="clear" w:color="auto" w:fill="auto"/>
        <w:tabs>
          <w:tab w:pos="35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dohled nad realizací díla</w:t>
      </w:r>
    </w:p>
    <w:p>
      <w:pPr>
        <w:pStyle w:val="Style23"/>
        <w:keepNext w:val="0"/>
        <w:keepLines w:val="0"/>
        <w:widowControl w:val="0"/>
        <w:numPr>
          <w:ilvl w:val="0"/>
          <w:numId w:val="27"/>
        </w:numPr>
        <w:shd w:val="clear" w:color="auto" w:fill="auto"/>
        <w:tabs>
          <w:tab w:pos="350" w:val="left"/>
        </w:tabs>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23"/>
        <w:keepNext w:val="0"/>
        <w:keepLines w:val="0"/>
        <w:widowControl w:val="0"/>
        <w:numPr>
          <w:ilvl w:val="0"/>
          <w:numId w:val="27"/>
        </w:numPr>
        <w:shd w:val="clear" w:color="auto" w:fill="auto"/>
        <w:tabs>
          <w:tab w:pos="35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posuzování postupu výstavby z technického hlediska a z hlediska časového plánu výstavby</w:t>
      </w:r>
    </w:p>
    <w:p>
      <w:pPr>
        <w:pStyle w:val="Style23"/>
        <w:keepNext w:val="0"/>
        <w:keepLines w:val="0"/>
        <w:widowControl w:val="0"/>
        <w:numPr>
          <w:ilvl w:val="0"/>
          <w:numId w:val="27"/>
        </w:numPr>
        <w:shd w:val="clear" w:color="auto" w:fill="auto"/>
        <w:tabs>
          <w:tab w:pos="35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sledování a kontrola technických a kvalitativních parametrů stavby</w:t>
      </w:r>
    </w:p>
    <w:p>
      <w:pPr>
        <w:pStyle w:val="Style23"/>
        <w:keepNext w:val="0"/>
        <w:keepLines w:val="0"/>
        <w:widowControl w:val="0"/>
        <w:numPr>
          <w:ilvl w:val="0"/>
          <w:numId w:val="27"/>
        </w:numPr>
        <w:shd w:val="clear" w:color="auto" w:fill="auto"/>
        <w:tabs>
          <w:tab w:pos="350" w:val="left"/>
        </w:tabs>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řešit drobné odchylky od projektu, které nebudou vyžadovat zpracování nového projektu případně jeho části nebo dodatku projektové dokumentace</w:t>
      </w:r>
    </w:p>
    <w:p>
      <w:pPr>
        <w:pStyle w:val="Style23"/>
        <w:keepNext w:val="0"/>
        <w:keepLines w:val="0"/>
        <w:widowControl w:val="0"/>
        <w:numPr>
          <w:ilvl w:val="0"/>
          <w:numId w:val="27"/>
        </w:numPr>
        <w:shd w:val="clear" w:color="auto" w:fill="auto"/>
        <w:tabs>
          <w:tab w:pos="350" w:val="left"/>
        </w:tabs>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posuzovat návrhy zadavatele stavby na změny a odchylky v částech projektů zpracovávaných v rámci realizační dokumentace z pohledu dodržení technicko- ekonomických parametrů, dodržení lhůt výstavby, případně dalších údajů a ukazatelů</w:t>
      </w:r>
    </w:p>
    <w:p>
      <w:pPr>
        <w:pStyle w:val="Style23"/>
        <w:keepNext w:val="0"/>
        <w:keepLines w:val="0"/>
        <w:widowControl w:val="0"/>
        <w:numPr>
          <w:ilvl w:val="0"/>
          <w:numId w:val="27"/>
        </w:numPr>
        <w:shd w:val="clear" w:color="auto" w:fill="auto"/>
        <w:tabs>
          <w:tab w:pos="350" w:val="left"/>
        </w:tabs>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vyjádření k požadavkům na zvětšený rozsah stavebních prací a dodávek materiálu oproti projektové dokumentaci</w:t>
      </w:r>
    </w:p>
    <w:p>
      <w:pPr>
        <w:pStyle w:val="Style23"/>
        <w:keepNext w:val="0"/>
        <w:keepLines w:val="0"/>
        <w:widowControl w:val="0"/>
        <w:numPr>
          <w:ilvl w:val="0"/>
          <w:numId w:val="27"/>
        </w:numPr>
        <w:shd w:val="clear" w:color="auto" w:fill="auto"/>
        <w:tabs>
          <w:tab w:pos="35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účast na kontrolních dnech stavby</w:t>
      </w:r>
    </w:p>
    <w:p>
      <w:pPr>
        <w:pStyle w:val="Style23"/>
        <w:keepNext w:val="0"/>
        <w:keepLines w:val="0"/>
        <w:widowControl w:val="0"/>
        <w:numPr>
          <w:ilvl w:val="0"/>
          <w:numId w:val="27"/>
        </w:numPr>
        <w:shd w:val="clear" w:color="auto" w:fill="auto"/>
        <w:tabs>
          <w:tab w:pos="350" w:val="left"/>
        </w:tabs>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účast na přejímacím řízení stavby a jejích dílčích částech, případné kolaudaci stavby a řádně spolupracovat při těchto řízeních</w:t>
      </w:r>
    </w:p>
    <w:p>
      <w:pPr>
        <w:pStyle w:val="Style23"/>
        <w:keepNext w:val="0"/>
        <w:keepLines w:val="0"/>
        <w:widowControl w:val="0"/>
        <w:numPr>
          <w:ilvl w:val="0"/>
          <w:numId w:val="27"/>
        </w:numPr>
        <w:shd w:val="clear" w:color="auto" w:fill="auto"/>
        <w:tabs>
          <w:tab w:pos="35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provádění projekčních prací menšího rozsahu (doplňky a změny)</w:t>
      </w:r>
    </w:p>
    <w:p>
      <w:pPr>
        <w:pStyle w:val="Style23"/>
        <w:keepNext w:val="0"/>
        <w:keepLines w:val="0"/>
        <w:widowControl w:val="0"/>
        <w:numPr>
          <w:ilvl w:val="0"/>
          <w:numId w:val="27"/>
        </w:numPr>
        <w:shd w:val="clear" w:color="auto" w:fill="auto"/>
        <w:tabs>
          <w:tab w:pos="35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poskytovat technické konzultace potřebné pro plynulost výstavby</w:t>
      </w:r>
    </w:p>
    <w:p>
      <w:pPr>
        <w:pStyle w:val="Style23"/>
        <w:keepNext w:val="0"/>
        <w:keepLines w:val="0"/>
        <w:widowControl w:val="0"/>
        <w:numPr>
          <w:ilvl w:val="0"/>
          <w:numId w:val="27"/>
        </w:numPr>
        <w:shd w:val="clear" w:color="auto" w:fill="auto"/>
        <w:tabs>
          <w:tab w:pos="35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konzultovat a podávat upřesnění při vypracování realizační dokumentace</w:t>
      </w:r>
    </w:p>
    <w:p>
      <w:pPr>
        <w:pStyle w:val="Style23"/>
        <w:keepNext w:val="0"/>
        <w:keepLines w:val="0"/>
        <w:widowControl w:val="0"/>
        <w:numPr>
          <w:ilvl w:val="0"/>
          <w:numId w:val="27"/>
        </w:numPr>
        <w:shd w:val="clear" w:color="auto" w:fill="auto"/>
        <w:tabs>
          <w:tab w:pos="350" w:val="left"/>
        </w:tabs>
        <w:bidi w:val="0"/>
        <w:spacing w:before="0" w:after="120" w:line="240" w:lineRule="auto"/>
        <w:ind w:left="380" w:right="0" w:hanging="380"/>
        <w:jc w:val="both"/>
      </w:pPr>
      <w:r>
        <w:rPr>
          <w:color w:val="000000"/>
          <w:spacing w:val="0"/>
          <w:w w:val="100"/>
          <w:position w:val="0"/>
          <w:sz w:val="24"/>
          <w:szCs w:val="24"/>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Zjistí-li autor při výkonu autorského dozoru nedodržení projektové dokumentace stavby, uvědomí bez zbytečného odkladu o této skutečnosti zadavatele a zhotovitele stavby.</w:t>
      </w:r>
    </w:p>
    <w:p>
      <w:pPr>
        <w:pStyle w:val="Style23"/>
        <w:keepNext w:val="0"/>
        <w:keepLines w:val="0"/>
        <w:widowControl w:val="0"/>
        <w:numPr>
          <w:ilvl w:val="0"/>
          <w:numId w:val="29"/>
        </w:numPr>
        <w:shd w:val="clear" w:color="auto" w:fill="auto"/>
        <w:tabs>
          <w:tab w:pos="361"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odůvodněných případech uvede stručnou charakteristiku porušení dokumentace a tomu odpovídající důsledky.</w:t>
      </w:r>
    </w:p>
    <w:p>
      <w:pPr>
        <w:pStyle w:val="Style23"/>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AD bude vykonáván na vyžádání ze strany zadavatele. Předpokládaný rozsah je 24 hodin, tj. 8 kontrolních dnů v délce 3 hodin. V ceně výkonu AD jsou obsaženy veškeré náklady včetně dopravného. Předmět, termín a místo výkonu AD budou dohodnuty vždy individuálně při každé výzvě zadavatele.</w:t>
      </w:r>
      <w:r>
        <w:br w:type="page"/>
      </w:r>
    </w:p>
    <w:p>
      <w:pPr>
        <w:pStyle w:val="Style23"/>
        <w:keepNext w:val="0"/>
        <w:keepLines w:val="0"/>
        <w:widowControl w:val="0"/>
        <w:shd w:val="clear" w:color="auto" w:fill="auto"/>
        <w:bidi w:val="0"/>
        <w:spacing w:before="0" w:after="240" w:line="240" w:lineRule="auto"/>
        <w:ind w:left="0" w:right="0" w:firstLine="0"/>
        <w:jc w:val="both"/>
      </w:pPr>
      <w:r>
        <w:rPr>
          <w:b/>
          <w:bCs/>
          <w:color w:val="000000"/>
          <w:spacing w:val="0"/>
          <w:w w:val="100"/>
          <w:position w:val="0"/>
          <w:sz w:val="24"/>
          <w:szCs w:val="24"/>
          <w:u w:val="single"/>
          <w:shd w:val="clear" w:color="auto" w:fill="auto"/>
          <w:lang w:val="cs-CZ" w:eastAsia="cs-CZ" w:bidi="cs-CZ"/>
        </w:rPr>
        <w:t>Veřejný provoz</w:t>
      </w:r>
    </w:p>
    <w:p>
      <w:pPr>
        <w:pStyle w:val="Style23"/>
        <w:keepNext w:val="0"/>
        <w:keepLines w:val="0"/>
        <w:widowControl w:val="0"/>
        <w:shd w:val="clear" w:color="auto" w:fill="auto"/>
        <w:bidi w:val="0"/>
        <w:spacing w:before="0" w:after="240" w:line="276" w:lineRule="auto"/>
        <w:ind w:left="0" w:right="0" w:firstLine="0"/>
        <w:jc w:val="both"/>
      </w:pPr>
      <w:r>
        <w:rPr>
          <w:color w:val="000000"/>
          <w:spacing w:val="0"/>
          <w:w w:val="100"/>
          <w:position w:val="0"/>
          <w:sz w:val="24"/>
          <w:szCs w:val="24"/>
          <w:shd w:val="clear" w:color="auto" w:fill="auto"/>
          <w:lang w:val="cs-CZ" w:eastAsia="cs-CZ" w:bidi="cs-CZ"/>
        </w:rPr>
        <w:t>Zadavatel předpokládá, že projektovaná rekonstrukce mostu bude probíhat za úplné uzavírky silničního provozu.</w:t>
      </w:r>
    </w:p>
    <w:p>
      <w:pPr>
        <w:pStyle w:val="Style23"/>
        <w:keepNext w:val="0"/>
        <w:keepLines w:val="0"/>
        <w:widowControl w:val="0"/>
        <w:shd w:val="clear" w:color="auto" w:fill="auto"/>
        <w:bidi w:val="0"/>
        <w:spacing w:before="0" w:after="180" w:line="276" w:lineRule="auto"/>
        <w:ind w:left="0" w:right="0" w:firstLine="0"/>
        <w:jc w:val="both"/>
      </w:pPr>
      <w:r>
        <w:rPr>
          <w:b/>
          <w:bCs/>
          <w:color w:val="000000"/>
          <w:spacing w:val="0"/>
          <w:w w:val="100"/>
          <w:position w:val="0"/>
          <w:sz w:val="24"/>
          <w:szCs w:val="24"/>
          <w:u w:val="single"/>
          <w:shd w:val="clear" w:color="auto" w:fill="auto"/>
          <w:lang w:val="cs-CZ" w:eastAsia="cs-CZ" w:bidi="cs-CZ"/>
        </w:rPr>
        <w:t>Místo plnění/realizace</w:t>
      </w:r>
    </w:p>
    <w:p>
      <w:pPr>
        <w:pStyle w:val="Style23"/>
        <w:keepNext w:val="0"/>
        <w:keepLines w:val="0"/>
        <w:widowControl w:val="0"/>
        <w:shd w:val="clear" w:color="auto" w:fill="auto"/>
        <w:bidi w:val="0"/>
        <w:spacing w:before="0" w:after="180" w:line="276" w:lineRule="auto"/>
        <w:ind w:left="0" w:right="0" w:firstLine="0"/>
        <w:jc w:val="both"/>
      </w:pPr>
      <w:r>
        <w:rPr>
          <w:color w:val="000000"/>
          <w:spacing w:val="0"/>
          <w:w w:val="100"/>
          <w:position w:val="0"/>
          <w:sz w:val="24"/>
          <w:szCs w:val="24"/>
          <w:shd w:val="clear" w:color="auto" w:fill="auto"/>
          <w:lang w:val="cs-CZ" w:eastAsia="cs-CZ" w:bidi="cs-CZ"/>
        </w:rPr>
        <w:t>Místo stavby - Kraj Vysočina, okres Třebíč, .k ú. Kamenná nad Oslavou</w:t>
      </w:r>
    </w:p>
    <w:p>
      <w:pPr>
        <w:pStyle w:val="Style23"/>
        <w:keepNext w:val="0"/>
        <w:keepLines w:val="0"/>
        <w:widowControl w:val="0"/>
        <w:shd w:val="clear" w:color="auto" w:fill="auto"/>
        <w:bidi w:val="0"/>
        <w:spacing w:before="0" w:after="180" w:line="276" w:lineRule="auto"/>
        <w:ind w:left="0" w:right="0" w:firstLine="0"/>
        <w:jc w:val="both"/>
      </w:pPr>
      <w:r>
        <w:rPr>
          <w:b/>
          <w:bCs/>
          <w:color w:val="000000"/>
          <w:spacing w:val="0"/>
          <w:w w:val="100"/>
          <w:position w:val="0"/>
          <w:sz w:val="24"/>
          <w:szCs w:val="24"/>
          <w:u w:val="single"/>
          <w:shd w:val="clear" w:color="auto" w:fill="auto"/>
          <w:lang w:val="cs-CZ" w:eastAsia="cs-CZ" w:bidi="cs-CZ"/>
        </w:rPr>
        <w:t>Seznam poskytnutých podkladů</w:t>
      </w:r>
    </w:p>
    <w:p>
      <w:pPr>
        <w:pStyle w:val="Style23"/>
        <w:keepNext w:val="0"/>
        <w:keepLines w:val="0"/>
        <w:widowControl w:val="0"/>
        <w:shd w:val="clear" w:color="auto" w:fill="auto"/>
        <w:bidi w:val="0"/>
        <w:spacing w:before="0" w:after="180" w:line="276" w:lineRule="auto"/>
        <w:ind w:left="0" w:right="0" w:firstLine="0"/>
        <w:jc w:val="both"/>
      </w:pPr>
      <w:r>
        <w:rPr>
          <w:color w:val="000000"/>
          <w:spacing w:val="0"/>
          <w:w w:val="100"/>
          <w:position w:val="0"/>
          <w:sz w:val="24"/>
          <w:szCs w:val="24"/>
          <w:shd w:val="clear" w:color="auto" w:fill="auto"/>
          <w:lang w:val="cs-CZ" w:eastAsia="cs-CZ" w:bidi="cs-CZ"/>
        </w:rPr>
        <w:t>Přehledná situace</w:t>
      </w:r>
    </w:p>
    <w:p>
      <w:pPr>
        <w:pStyle w:val="Style23"/>
        <w:keepNext w:val="0"/>
        <w:keepLines w:val="0"/>
        <w:widowControl w:val="0"/>
        <w:shd w:val="clear" w:color="auto" w:fill="auto"/>
        <w:bidi w:val="0"/>
        <w:spacing w:before="0" w:after="180" w:line="276" w:lineRule="auto"/>
        <w:ind w:left="0" w:right="0" w:firstLine="0"/>
        <w:jc w:val="both"/>
      </w:pPr>
      <w:r>
        <w:rPr>
          <w:color w:val="000000"/>
          <w:spacing w:val="0"/>
          <w:w w:val="100"/>
          <w:position w:val="0"/>
          <w:sz w:val="24"/>
          <w:szCs w:val="24"/>
          <w:shd w:val="clear" w:color="auto" w:fill="auto"/>
          <w:lang w:val="cs-CZ" w:eastAsia="cs-CZ" w:bidi="cs-CZ"/>
        </w:rPr>
        <w:t>Základní diagnostický průzkum 02/2012</w:t>
      </w:r>
    </w:p>
    <w:p>
      <w:pPr>
        <w:pStyle w:val="Style23"/>
        <w:keepNext w:val="0"/>
        <w:keepLines w:val="0"/>
        <w:widowControl w:val="0"/>
        <w:shd w:val="clear" w:color="auto" w:fill="auto"/>
        <w:bidi w:val="0"/>
        <w:spacing w:before="0" w:after="180" w:line="276" w:lineRule="auto"/>
        <w:ind w:left="0" w:right="0" w:firstLine="0"/>
        <w:jc w:val="both"/>
      </w:pPr>
      <w:r>
        <w:rPr>
          <w:color w:val="000000"/>
          <w:spacing w:val="0"/>
          <w:w w:val="100"/>
          <w:position w:val="0"/>
          <w:sz w:val="24"/>
          <w:szCs w:val="24"/>
          <w:shd w:val="clear" w:color="auto" w:fill="auto"/>
          <w:lang w:val="cs-CZ" w:eastAsia="cs-CZ" w:bidi="cs-CZ"/>
        </w:rPr>
        <w:t>ML - ev. č. 390-008</w:t>
      </w:r>
    </w:p>
    <w:p>
      <w:pPr>
        <w:pStyle w:val="Style23"/>
        <w:keepNext w:val="0"/>
        <w:keepLines w:val="0"/>
        <w:widowControl w:val="0"/>
        <w:shd w:val="clear" w:color="auto" w:fill="auto"/>
        <w:bidi w:val="0"/>
        <w:spacing w:before="0" w:after="0" w:line="276" w:lineRule="auto"/>
        <w:ind w:left="0" w:right="0" w:firstLine="0"/>
        <w:jc w:val="both"/>
      </w:pPr>
      <w:r>
        <w:rPr>
          <w:color w:val="000000"/>
          <w:spacing w:val="0"/>
          <w:w w:val="100"/>
          <w:position w:val="0"/>
          <w:sz w:val="24"/>
          <w:szCs w:val="24"/>
          <w:shd w:val="clear" w:color="auto" w:fill="auto"/>
          <w:lang w:val="cs-CZ" w:eastAsia="cs-CZ" w:bidi="cs-CZ"/>
        </w:rPr>
        <w:t>HMP - ev. č. 390-008 včetně fotodokumentace, 07/2021</w:t>
      </w:r>
    </w:p>
    <w:p>
      <w:pPr>
        <w:widowControl w:val="0"/>
        <w:spacing w:line="1" w:lineRule="exact"/>
      </w:pPr>
      <w:r>
        <mc:AlternateContent>
          <mc:Choice Requires="wps">
            <w:drawing>
              <wp:anchor distT="368300" distB="201295" distL="0" distR="0" simplePos="0" relativeHeight="125829380" behindDoc="0" locked="0" layoutInCell="1" allowOverlap="1">
                <wp:simplePos x="0" y="0"/>
                <wp:positionH relativeFrom="page">
                  <wp:posOffset>902335</wp:posOffset>
                </wp:positionH>
                <wp:positionV relativeFrom="paragraph">
                  <wp:posOffset>368300</wp:posOffset>
                </wp:positionV>
                <wp:extent cx="2499360" cy="2042160"/>
                <wp:wrapTopAndBottom/>
                <wp:docPr id="15" name="Shape 15"/>
                <a:graphic xmlns:a="http://schemas.openxmlformats.org/drawingml/2006/main">
                  <a:graphicData uri="http://schemas.microsoft.com/office/word/2010/wordprocessingShape">
                    <wps:wsp>
                      <wps:cNvSpPr txBox="1"/>
                      <wps:spPr>
                        <a:xfrm>
                          <a:ext cx="2499360" cy="2042160"/>
                        </a:xfrm>
                        <a:prstGeom prst="rect"/>
                        <a:noFill/>
                      </wps:spPr>
                      <wps:txbx>
                        <w:txbxContent>
                          <w:p>
                            <w:pPr>
                              <w:pStyle w:val="Style23"/>
                              <w:keepNext w:val="0"/>
                              <w:keepLines w:val="0"/>
                              <w:widowControl w:val="0"/>
                              <w:shd w:val="clear" w:color="auto" w:fill="auto"/>
                              <w:bidi w:val="0"/>
                              <w:spacing w:before="0" w:after="240" w:line="276" w:lineRule="auto"/>
                              <w:ind w:left="0" w:right="0" w:firstLine="0"/>
                              <w:jc w:val="left"/>
                            </w:pPr>
                            <w:r>
                              <w:rPr>
                                <w:b/>
                                <w:bCs/>
                                <w:color w:val="000000"/>
                                <w:spacing w:val="0"/>
                                <w:w w:val="100"/>
                                <w:position w:val="0"/>
                                <w:sz w:val="24"/>
                                <w:szCs w:val="24"/>
                                <w:u w:val="single"/>
                                <w:shd w:val="clear" w:color="auto" w:fill="auto"/>
                                <w:lang w:val="cs-CZ" w:eastAsia="cs-CZ" w:bidi="cs-CZ"/>
                              </w:rPr>
                              <w:t>Lhůty plnění</w:t>
                            </w:r>
                          </w:p>
                          <w:p>
                            <w:pPr>
                              <w:pStyle w:val="Style23"/>
                              <w:keepNext w:val="0"/>
                              <w:keepLines w:val="0"/>
                              <w:widowControl w:val="0"/>
                              <w:shd w:val="clear" w:color="auto" w:fill="auto"/>
                              <w:bidi w:val="0"/>
                              <w:spacing w:before="0" w:after="60" w:line="276" w:lineRule="auto"/>
                              <w:ind w:left="0" w:right="0" w:firstLine="0"/>
                              <w:jc w:val="left"/>
                            </w:pPr>
                            <w:r>
                              <w:rPr>
                                <w:color w:val="000000"/>
                                <w:spacing w:val="0"/>
                                <w:w w:val="100"/>
                                <w:position w:val="0"/>
                                <w:sz w:val="24"/>
                                <w:szCs w:val="24"/>
                                <w:shd w:val="clear" w:color="auto" w:fill="auto"/>
                                <w:lang w:val="cs-CZ" w:eastAsia="cs-CZ" w:bidi="cs-CZ"/>
                              </w:rPr>
                              <w:t>Zahájení realizace:</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IG průzkum a návrh technického řešení</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Dokumentace DUSP (koncept)</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Dokumentace DUSP (čistopis včetně IČ</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Odsouhlasený objednatelem</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a projednání s DOSS)</w:t>
                            </w:r>
                          </w:p>
                          <w:p>
                            <w:pPr>
                              <w:pStyle w:val="Style23"/>
                              <w:keepNext w:val="0"/>
                              <w:keepLines w:val="0"/>
                              <w:widowControl w:val="0"/>
                              <w:shd w:val="clear" w:color="auto" w:fill="auto"/>
                              <w:bidi w:val="0"/>
                              <w:spacing w:before="0" w:after="60" w:line="276" w:lineRule="auto"/>
                              <w:ind w:left="0" w:right="0" w:firstLine="0"/>
                              <w:jc w:val="left"/>
                            </w:pPr>
                            <w:r>
                              <w:rPr>
                                <w:color w:val="000000"/>
                                <w:spacing w:val="0"/>
                                <w:w w:val="100"/>
                                <w:position w:val="0"/>
                                <w:sz w:val="24"/>
                                <w:szCs w:val="24"/>
                                <w:shd w:val="clear" w:color="auto" w:fill="auto"/>
                                <w:lang w:val="cs-CZ" w:eastAsia="cs-CZ" w:bidi="cs-CZ"/>
                              </w:rPr>
                              <w:t>Podání žádosti o společné územní a stavební povolení</w:t>
                            </w:r>
                          </w:p>
                        </w:txbxContent>
                      </wps:txbx>
                      <wps:bodyPr lIns="0" tIns="0" rIns="0" bIns="0">
                        <a:noAutoFit/>
                      </wps:bodyPr>
                    </wps:wsp>
                  </a:graphicData>
                </a:graphic>
              </wp:anchor>
            </w:drawing>
          </mc:Choice>
          <mc:Fallback>
            <w:pict>
              <v:shape id="_x0000_s1041" type="#_x0000_t202" style="position:absolute;margin-left:71.049999999999997pt;margin-top:29.pt;width:196.80000000000001pt;height:160.80000000000001pt;z-index:-125829373;mso-wrap-distance-left:0;mso-wrap-distance-top:29.pt;mso-wrap-distance-right:0;mso-wrap-distance-bottom:15.85pt;mso-position-horizontal-relative:page" filled="f" stroked="f">
                <v:textbox inset="0,0,0,0">
                  <w:txbxContent>
                    <w:p>
                      <w:pPr>
                        <w:pStyle w:val="Style23"/>
                        <w:keepNext w:val="0"/>
                        <w:keepLines w:val="0"/>
                        <w:widowControl w:val="0"/>
                        <w:shd w:val="clear" w:color="auto" w:fill="auto"/>
                        <w:bidi w:val="0"/>
                        <w:spacing w:before="0" w:after="240" w:line="276" w:lineRule="auto"/>
                        <w:ind w:left="0" w:right="0" w:firstLine="0"/>
                        <w:jc w:val="left"/>
                      </w:pPr>
                      <w:r>
                        <w:rPr>
                          <w:b/>
                          <w:bCs/>
                          <w:color w:val="000000"/>
                          <w:spacing w:val="0"/>
                          <w:w w:val="100"/>
                          <w:position w:val="0"/>
                          <w:sz w:val="24"/>
                          <w:szCs w:val="24"/>
                          <w:u w:val="single"/>
                          <w:shd w:val="clear" w:color="auto" w:fill="auto"/>
                          <w:lang w:val="cs-CZ" w:eastAsia="cs-CZ" w:bidi="cs-CZ"/>
                        </w:rPr>
                        <w:t>Lhůty plnění</w:t>
                      </w:r>
                    </w:p>
                    <w:p>
                      <w:pPr>
                        <w:pStyle w:val="Style23"/>
                        <w:keepNext w:val="0"/>
                        <w:keepLines w:val="0"/>
                        <w:widowControl w:val="0"/>
                        <w:shd w:val="clear" w:color="auto" w:fill="auto"/>
                        <w:bidi w:val="0"/>
                        <w:spacing w:before="0" w:after="60" w:line="276" w:lineRule="auto"/>
                        <w:ind w:left="0" w:right="0" w:firstLine="0"/>
                        <w:jc w:val="left"/>
                      </w:pPr>
                      <w:r>
                        <w:rPr>
                          <w:color w:val="000000"/>
                          <w:spacing w:val="0"/>
                          <w:w w:val="100"/>
                          <w:position w:val="0"/>
                          <w:sz w:val="24"/>
                          <w:szCs w:val="24"/>
                          <w:shd w:val="clear" w:color="auto" w:fill="auto"/>
                          <w:lang w:val="cs-CZ" w:eastAsia="cs-CZ" w:bidi="cs-CZ"/>
                        </w:rPr>
                        <w:t>Zahájení realizace:</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IG průzkum a návrh technického řešení</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Dokumentace DUSP (koncept)</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Dokumentace DUSP (čistopis včetně IČ</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Odsouhlasený objednatelem</w:t>
                      </w:r>
                    </w:p>
                    <w:p>
                      <w:pPr>
                        <w:pStyle w:val="Style23"/>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a projednání s DOSS)</w:t>
                      </w:r>
                    </w:p>
                    <w:p>
                      <w:pPr>
                        <w:pStyle w:val="Style23"/>
                        <w:keepNext w:val="0"/>
                        <w:keepLines w:val="0"/>
                        <w:widowControl w:val="0"/>
                        <w:shd w:val="clear" w:color="auto" w:fill="auto"/>
                        <w:bidi w:val="0"/>
                        <w:spacing w:before="0" w:after="60" w:line="276" w:lineRule="auto"/>
                        <w:ind w:left="0" w:right="0" w:firstLine="0"/>
                        <w:jc w:val="left"/>
                      </w:pPr>
                      <w:r>
                        <w:rPr>
                          <w:color w:val="000000"/>
                          <w:spacing w:val="0"/>
                          <w:w w:val="100"/>
                          <w:position w:val="0"/>
                          <w:sz w:val="24"/>
                          <w:szCs w:val="24"/>
                          <w:shd w:val="clear" w:color="auto" w:fill="auto"/>
                          <w:lang w:val="cs-CZ" w:eastAsia="cs-CZ" w:bidi="cs-CZ"/>
                        </w:rPr>
                        <w:t>Podání žádosti o společné územní a stavební povolení</w:t>
                      </w:r>
                    </w:p>
                  </w:txbxContent>
                </v:textbox>
                <w10:wrap type="topAndBottom" anchorx="page"/>
              </v:shape>
            </w:pict>
          </mc:Fallback>
        </mc:AlternateContent>
      </w:r>
      <w:r>
        <mc:AlternateContent>
          <mc:Choice Requires="wps">
            <w:drawing>
              <wp:anchor distT="721995" distB="0" distL="0" distR="0" simplePos="0" relativeHeight="125829382" behindDoc="0" locked="0" layoutInCell="1" allowOverlap="1">
                <wp:simplePos x="0" y="0"/>
                <wp:positionH relativeFrom="page">
                  <wp:posOffset>4050665</wp:posOffset>
                </wp:positionH>
                <wp:positionV relativeFrom="paragraph">
                  <wp:posOffset>721995</wp:posOffset>
                </wp:positionV>
                <wp:extent cx="2499360" cy="1889760"/>
                <wp:wrapTopAndBottom/>
                <wp:docPr id="17" name="Shape 17"/>
                <a:graphic xmlns:a="http://schemas.openxmlformats.org/drawingml/2006/main">
                  <a:graphicData uri="http://schemas.microsoft.com/office/word/2010/wordprocessingShape">
                    <wps:wsp>
                      <wps:cNvSpPr txBox="1"/>
                      <wps:spPr>
                        <a:xfrm>
                          <a:ext cx="2499360" cy="1889760"/>
                        </a:xfrm>
                        <a:prstGeom prst="rect"/>
                        <a:noFill/>
                      </wps:spPr>
                      <wps:txbx>
                        <w:txbxContent>
                          <w:p>
                            <w:pPr>
                              <w:pStyle w:val="Style23"/>
                              <w:keepNext w:val="0"/>
                              <w:keepLines w:val="0"/>
                              <w:widowControl w:val="0"/>
                              <w:shd w:val="clear" w:color="auto" w:fill="auto"/>
                              <w:bidi w:val="0"/>
                              <w:spacing w:before="0" w:after="80" w:line="276" w:lineRule="auto"/>
                              <w:ind w:left="0" w:right="0" w:firstLine="0"/>
                              <w:jc w:val="left"/>
                            </w:pPr>
                            <w:r>
                              <w:rPr>
                                <w:color w:val="000000"/>
                                <w:spacing w:val="0"/>
                                <w:w w:val="100"/>
                                <w:position w:val="0"/>
                                <w:sz w:val="24"/>
                                <w:szCs w:val="24"/>
                                <w:shd w:val="clear" w:color="auto" w:fill="auto"/>
                                <w:lang w:val="cs-CZ" w:eastAsia="cs-CZ" w:bidi="cs-CZ"/>
                              </w:rPr>
                              <w:t>ihned po nabytí účinnosti smlouvy</w:t>
                            </w:r>
                          </w:p>
                          <w:p>
                            <w:pPr>
                              <w:pStyle w:val="Style23"/>
                              <w:keepNext w:val="0"/>
                              <w:keepLines w:val="0"/>
                              <w:widowControl w:val="0"/>
                              <w:shd w:val="clear" w:color="auto" w:fill="auto"/>
                              <w:bidi w:val="0"/>
                              <w:spacing w:before="0" w:after="620" w:line="276" w:lineRule="auto"/>
                              <w:ind w:left="0" w:right="0" w:firstLine="0"/>
                              <w:jc w:val="left"/>
                            </w:pPr>
                            <w:r>
                              <w:rPr>
                                <w:color w:val="000000"/>
                                <w:spacing w:val="0"/>
                                <w:w w:val="100"/>
                                <w:position w:val="0"/>
                                <w:sz w:val="24"/>
                                <w:szCs w:val="24"/>
                                <w:shd w:val="clear" w:color="auto" w:fill="auto"/>
                                <w:lang w:val="cs-CZ" w:eastAsia="cs-CZ" w:bidi="cs-CZ"/>
                              </w:rPr>
                              <w:t>do 90 dnů od nabytí účinnosti smlouvy do 150 dnů od nabytí účinnosti smlouvy</w:t>
                            </w:r>
                          </w:p>
                          <w:p>
                            <w:pPr>
                              <w:pStyle w:val="Style23"/>
                              <w:keepNext w:val="0"/>
                              <w:keepLines w:val="0"/>
                              <w:widowControl w:val="0"/>
                              <w:shd w:val="clear" w:color="auto" w:fill="auto"/>
                              <w:bidi w:val="0"/>
                              <w:spacing w:before="0" w:after="320" w:line="276" w:lineRule="auto"/>
                              <w:ind w:left="0" w:right="0" w:firstLine="0"/>
                              <w:jc w:val="left"/>
                            </w:pPr>
                            <w:r>
                              <w:rPr>
                                <w:color w:val="000000"/>
                                <w:spacing w:val="0"/>
                                <w:w w:val="100"/>
                                <w:position w:val="0"/>
                                <w:sz w:val="24"/>
                                <w:szCs w:val="24"/>
                                <w:shd w:val="clear" w:color="auto" w:fill="auto"/>
                                <w:lang w:val="cs-CZ" w:eastAsia="cs-CZ" w:bidi="cs-CZ"/>
                              </w:rPr>
                              <w:t>do 60 dnů od předání konceptu DUSP</w:t>
                            </w:r>
                          </w:p>
                          <w:p>
                            <w:pPr>
                              <w:pStyle w:val="Style23"/>
                              <w:keepNext w:val="0"/>
                              <w:keepLines w:val="0"/>
                              <w:widowControl w:val="0"/>
                              <w:shd w:val="clear" w:color="auto" w:fill="auto"/>
                              <w:bidi w:val="0"/>
                              <w:spacing w:before="0" w:after="320" w:line="276" w:lineRule="auto"/>
                              <w:ind w:left="0" w:right="0" w:firstLine="0"/>
                              <w:jc w:val="left"/>
                            </w:pPr>
                            <w:r>
                              <w:rPr>
                                <w:color w:val="000000"/>
                                <w:spacing w:val="0"/>
                                <w:w w:val="100"/>
                                <w:position w:val="0"/>
                                <w:sz w:val="24"/>
                                <w:szCs w:val="24"/>
                                <w:shd w:val="clear" w:color="auto" w:fill="auto"/>
                                <w:lang w:val="cs-CZ" w:eastAsia="cs-CZ" w:bidi="cs-CZ"/>
                              </w:rPr>
                              <w:t>do 15 dnů od dokončení inženýrské činnosti</w:t>
                            </w:r>
                          </w:p>
                        </w:txbxContent>
                      </wps:txbx>
                      <wps:bodyPr lIns="0" tIns="0" rIns="0" bIns="0">
                        <a:noAutoFit/>
                      </wps:bodyPr>
                    </wps:wsp>
                  </a:graphicData>
                </a:graphic>
              </wp:anchor>
            </w:drawing>
          </mc:Choice>
          <mc:Fallback>
            <w:pict>
              <v:shape id="_x0000_s1043" type="#_x0000_t202" style="position:absolute;margin-left:318.94999999999999pt;margin-top:56.850000000000001pt;width:196.80000000000001pt;height:148.80000000000001pt;z-index:-125829371;mso-wrap-distance-left:0;mso-wrap-distance-top:56.850000000000001pt;mso-wrap-distance-right:0;mso-position-horizontal-relative:page" filled="f" stroked="f">
                <v:textbox inset="0,0,0,0">
                  <w:txbxContent>
                    <w:p>
                      <w:pPr>
                        <w:pStyle w:val="Style23"/>
                        <w:keepNext w:val="0"/>
                        <w:keepLines w:val="0"/>
                        <w:widowControl w:val="0"/>
                        <w:shd w:val="clear" w:color="auto" w:fill="auto"/>
                        <w:bidi w:val="0"/>
                        <w:spacing w:before="0" w:after="80" w:line="276" w:lineRule="auto"/>
                        <w:ind w:left="0" w:right="0" w:firstLine="0"/>
                        <w:jc w:val="left"/>
                      </w:pPr>
                      <w:r>
                        <w:rPr>
                          <w:color w:val="000000"/>
                          <w:spacing w:val="0"/>
                          <w:w w:val="100"/>
                          <w:position w:val="0"/>
                          <w:sz w:val="24"/>
                          <w:szCs w:val="24"/>
                          <w:shd w:val="clear" w:color="auto" w:fill="auto"/>
                          <w:lang w:val="cs-CZ" w:eastAsia="cs-CZ" w:bidi="cs-CZ"/>
                        </w:rPr>
                        <w:t>ihned po nabytí účinnosti smlouvy</w:t>
                      </w:r>
                    </w:p>
                    <w:p>
                      <w:pPr>
                        <w:pStyle w:val="Style23"/>
                        <w:keepNext w:val="0"/>
                        <w:keepLines w:val="0"/>
                        <w:widowControl w:val="0"/>
                        <w:shd w:val="clear" w:color="auto" w:fill="auto"/>
                        <w:bidi w:val="0"/>
                        <w:spacing w:before="0" w:after="620" w:line="276" w:lineRule="auto"/>
                        <w:ind w:left="0" w:right="0" w:firstLine="0"/>
                        <w:jc w:val="left"/>
                      </w:pPr>
                      <w:r>
                        <w:rPr>
                          <w:color w:val="000000"/>
                          <w:spacing w:val="0"/>
                          <w:w w:val="100"/>
                          <w:position w:val="0"/>
                          <w:sz w:val="24"/>
                          <w:szCs w:val="24"/>
                          <w:shd w:val="clear" w:color="auto" w:fill="auto"/>
                          <w:lang w:val="cs-CZ" w:eastAsia="cs-CZ" w:bidi="cs-CZ"/>
                        </w:rPr>
                        <w:t>do 90 dnů od nabytí účinnosti smlouvy do 150 dnů od nabytí účinnosti smlouvy</w:t>
                      </w:r>
                    </w:p>
                    <w:p>
                      <w:pPr>
                        <w:pStyle w:val="Style23"/>
                        <w:keepNext w:val="0"/>
                        <w:keepLines w:val="0"/>
                        <w:widowControl w:val="0"/>
                        <w:shd w:val="clear" w:color="auto" w:fill="auto"/>
                        <w:bidi w:val="0"/>
                        <w:spacing w:before="0" w:after="320" w:line="276" w:lineRule="auto"/>
                        <w:ind w:left="0" w:right="0" w:firstLine="0"/>
                        <w:jc w:val="left"/>
                      </w:pPr>
                      <w:r>
                        <w:rPr>
                          <w:color w:val="000000"/>
                          <w:spacing w:val="0"/>
                          <w:w w:val="100"/>
                          <w:position w:val="0"/>
                          <w:sz w:val="24"/>
                          <w:szCs w:val="24"/>
                          <w:shd w:val="clear" w:color="auto" w:fill="auto"/>
                          <w:lang w:val="cs-CZ" w:eastAsia="cs-CZ" w:bidi="cs-CZ"/>
                        </w:rPr>
                        <w:t>do 60 dnů od předání konceptu DUSP</w:t>
                      </w:r>
                    </w:p>
                    <w:p>
                      <w:pPr>
                        <w:pStyle w:val="Style23"/>
                        <w:keepNext w:val="0"/>
                        <w:keepLines w:val="0"/>
                        <w:widowControl w:val="0"/>
                        <w:shd w:val="clear" w:color="auto" w:fill="auto"/>
                        <w:bidi w:val="0"/>
                        <w:spacing w:before="0" w:after="320" w:line="276" w:lineRule="auto"/>
                        <w:ind w:left="0" w:right="0" w:firstLine="0"/>
                        <w:jc w:val="left"/>
                      </w:pPr>
                      <w:r>
                        <w:rPr>
                          <w:color w:val="000000"/>
                          <w:spacing w:val="0"/>
                          <w:w w:val="100"/>
                          <w:position w:val="0"/>
                          <w:sz w:val="24"/>
                          <w:szCs w:val="24"/>
                          <w:shd w:val="clear" w:color="auto" w:fill="auto"/>
                          <w:lang w:val="cs-CZ" w:eastAsia="cs-CZ" w:bidi="cs-CZ"/>
                        </w:rPr>
                        <w:t>do 15 dnů od dokončení inženýrské činnosti</w:t>
                      </w:r>
                    </w:p>
                  </w:txbxContent>
                </v:textbox>
                <w10:wrap type="topAndBottom" anchorx="page"/>
              </v:shape>
            </w:pict>
          </mc:Fallback>
        </mc:AlternateConten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Dokumentace PDPS (čistopis odsouhlasený</w:t>
      </w: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objednatelem, včetně zapracovaných připomínek</w:t>
      </w:r>
    </w:p>
    <w:p>
      <w:pPr>
        <w:pStyle w:val="Style23"/>
        <w:keepNext w:val="0"/>
        <w:keepLines w:val="0"/>
        <w:widowControl w:val="0"/>
        <w:shd w:val="clear" w:color="auto" w:fill="auto"/>
        <w:tabs>
          <w:tab w:pos="4963" w:val="left"/>
        </w:tabs>
        <w:bidi w:val="0"/>
        <w:spacing w:before="0" w:after="0" w:line="240" w:lineRule="auto"/>
        <w:ind w:left="0" w:right="0" w:firstLine="0"/>
        <w:jc w:val="left"/>
        <w:sectPr>
          <w:headerReference w:type="default" r:id="rId9"/>
          <w:footerReference w:type="default" r:id="rId10"/>
          <w:footnotePr>
            <w:pos w:val="pageBottom"/>
            <w:numFmt w:val="decimal"/>
            <w:numRestart w:val="continuous"/>
          </w:footnotePr>
          <w:pgSz w:w="11900" w:h="16840"/>
          <w:pgMar w:top="1309" w:left="1347" w:right="1390" w:bottom="1292" w:header="881"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ze stavebního řízení)</w:t>
        <w:tab/>
        <w:t>do 15 dnů od vydání ÚSP</w:t>
      </w:r>
    </w:p>
    <w:p>
      <w:pPr>
        <w:pStyle w:val="Style20"/>
        <w:keepNext/>
        <w:keepLines/>
        <w:widowControl w:val="0"/>
        <w:pBdr>
          <w:top w:val="single" w:sz="4" w:space="5" w:color="FCE9DA"/>
          <w:left w:val="single" w:sz="4" w:space="0" w:color="FCE9DA"/>
          <w:bottom w:val="single" w:sz="4" w:space="4" w:color="FCE9DA"/>
          <w:right w:val="single" w:sz="4" w:space="0" w:color="FCE9DA"/>
        </w:pBdr>
        <w:shd w:val="clear" w:color="auto" w:fill="FCE9DA"/>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Formulář pro hodnocení nabídek</w:t>
      </w:r>
      <w:bookmarkEnd w:id="2"/>
      <w:bookmarkEnd w:id="3"/>
    </w:p>
    <w:p>
      <w:pPr>
        <w:pStyle w:val="Style14"/>
        <w:keepNext w:val="0"/>
        <w:keepLines w:val="0"/>
        <w:widowControl w:val="0"/>
        <w:shd w:val="clear" w:color="auto" w:fill="auto"/>
        <w:bidi w:val="0"/>
        <w:spacing w:before="0" w:after="0" w:line="240" w:lineRule="auto"/>
        <w:ind w:left="10" w:right="0" w:firstLine="0"/>
        <w:jc w:val="left"/>
        <w:rPr>
          <w:sz w:val="16"/>
          <w:szCs w:val="16"/>
        </w:rPr>
      </w:pPr>
      <w:r>
        <w:rPr>
          <w:b/>
          <w:bCs/>
          <w:i w:val="0"/>
          <w:iCs w:val="0"/>
          <w:color w:val="000000"/>
          <w:spacing w:val="0"/>
          <w:w w:val="100"/>
          <w:position w:val="0"/>
          <w:sz w:val="16"/>
          <w:szCs w:val="16"/>
          <w:shd w:val="clear" w:color="auto" w:fill="auto"/>
          <w:lang w:val="cs-CZ" w:eastAsia="cs-CZ" w:bidi="cs-CZ"/>
        </w:rPr>
        <w:t>Název akce: II/390 Kamenná - most ev. č. 390-008</w:t>
      </w:r>
    </w:p>
    <w:tbl>
      <w:tblPr>
        <w:tblOverlap w:val="never"/>
        <w:jc w:val="center"/>
        <w:tblLayout w:type="fixed"/>
      </w:tblPr>
      <w:tblGrid>
        <w:gridCol w:w="475"/>
        <w:gridCol w:w="6562"/>
        <w:gridCol w:w="1944"/>
      </w:tblGrid>
      <w:tr>
        <w:trPr>
          <w:trHeight w:val="470" w:hRule="exact"/>
        </w:trPr>
        <w:tc>
          <w:tcPr>
            <w:gridSpan w:val="3"/>
            <w:tcBorders>
              <w:top w:val="single" w:sz="4"/>
              <w:left w:val="single" w:sz="4"/>
              <w:right w:val="single" w:sz="4"/>
            </w:tcBorders>
            <w:shd w:val="clear" w:color="auto" w:fill="FCE9DA"/>
            <w:vAlign w:val="bottom"/>
          </w:tcPr>
          <w:p>
            <w:pPr>
              <w:pStyle w:val="Style5"/>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 Nabídková cena za zpracování kompletní projektové dokumentace stavby (60 %)</w:t>
            </w:r>
          </w:p>
        </w:tc>
      </w:tr>
      <w:tr>
        <w:trPr>
          <w:trHeight w:val="398"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cs-CZ" w:eastAsia="cs-CZ" w:bidi="cs-CZ"/>
              </w:rPr>
              <w:t>č.</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Cena bez DPH</w:t>
            </w:r>
          </w:p>
        </w:tc>
      </w:tr>
      <w:tr>
        <w:trPr>
          <w:trHeight w:val="66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64" w:lineRule="auto"/>
              <w:ind w:left="0" w:right="0" w:firstLine="0"/>
              <w:jc w:val="left"/>
              <w:rPr>
                <w:sz w:val="16"/>
                <w:szCs w:val="16"/>
              </w:rPr>
            </w:pPr>
            <w:r>
              <w:rPr>
                <w:color w:val="000000"/>
                <w:spacing w:val="0"/>
                <w:w w:val="100"/>
                <w:position w:val="0"/>
                <w:sz w:val="16"/>
                <w:szCs w:val="16"/>
                <w:shd w:val="clear" w:color="auto" w:fill="auto"/>
                <w:lang w:val="cs-CZ" w:eastAsia="cs-CZ" w:bidi="cs-CZ"/>
              </w:rPr>
              <w:t>Geodetické zaměření předmětného území (výškopisné a polohopisné zaměření) v potřebném rozsahu rekonstrukce mostu včetně zjištění a ověření průběhu inženýrských sítí dle technických podmínek v zadávací dokumentaci</w:t>
            </w: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1020" w:right="0" w:firstLine="0"/>
              <w:jc w:val="both"/>
              <w:rPr>
                <w:sz w:val="16"/>
                <w:szCs w:val="16"/>
              </w:rPr>
            </w:pPr>
            <w:r>
              <w:rPr>
                <w:color w:val="000000"/>
                <w:spacing w:val="0"/>
                <w:w w:val="100"/>
                <w:position w:val="0"/>
                <w:sz w:val="16"/>
                <w:szCs w:val="16"/>
                <w:shd w:val="clear" w:color="auto" w:fill="auto"/>
                <w:lang w:val="cs-CZ" w:eastAsia="cs-CZ" w:bidi="cs-CZ"/>
              </w:rPr>
              <w:t>25 000,00 Kč</w:t>
            </w:r>
          </w:p>
        </w:tc>
      </w:tr>
      <w:tr>
        <w:trPr>
          <w:trHeight w:val="662"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Vypracování inženýrsko-geologického průzkumu mostu včetně návrhu technického řešení</w:t>
            </w: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1020" w:right="0" w:firstLine="0"/>
              <w:jc w:val="both"/>
              <w:rPr>
                <w:sz w:val="16"/>
                <w:szCs w:val="16"/>
              </w:rPr>
            </w:pPr>
            <w:r>
              <w:rPr>
                <w:color w:val="000000"/>
                <w:spacing w:val="0"/>
                <w:w w:val="100"/>
                <w:position w:val="0"/>
                <w:sz w:val="16"/>
                <w:szCs w:val="16"/>
                <w:shd w:val="clear" w:color="auto" w:fill="auto"/>
                <w:lang w:val="cs-CZ" w:eastAsia="cs-CZ" w:bidi="cs-CZ"/>
              </w:rPr>
              <w:t>45 000,00 Kč</w:t>
            </w:r>
          </w:p>
        </w:tc>
      </w:tr>
      <w:tr>
        <w:trPr>
          <w:trHeight w:val="66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cs-CZ" w:eastAsia="cs-CZ" w:bidi="cs-CZ"/>
              </w:rPr>
              <w:t>3.</w:t>
            </w:r>
          </w:p>
        </w:tc>
        <w:tc>
          <w:tcPr>
            <w:tcBorders>
              <w:top w:val="single" w:sz="4"/>
              <w:left w:val="single" w:sz="4"/>
            </w:tcBorders>
            <w:shd w:val="clear" w:color="auto" w:fill="FFFFFF"/>
            <w:vAlign w:val="bottom"/>
          </w:tcPr>
          <w:p>
            <w:pPr>
              <w:pStyle w:val="Style5"/>
              <w:keepNext w:val="0"/>
              <w:keepLines w:val="0"/>
              <w:widowControl w:val="0"/>
              <w:shd w:val="clear" w:color="auto" w:fill="auto"/>
              <w:bidi w:val="0"/>
              <w:spacing w:before="0" w:after="0" w:line="264" w:lineRule="auto"/>
              <w:ind w:left="0" w:right="0" w:firstLine="0"/>
              <w:jc w:val="left"/>
              <w:rPr>
                <w:sz w:val="16"/>
                <w:szCs w:val="16"/>
              </w:rPr>
            </w:pPr>
            <w:r>
              <w:rPr>
                <w:color w:val="000000"/>
                <w:spacing w:val="0"/>
                <w:w w:val="100"/>
                <w:position w:val="0"/>
                <w:sz w:val="16"/>
                <w:szCs w:val="16"/>
                <w:shd w:val="clear" w:color="auto" w:fill="auto"/>
                <w:lang w:val="cs-CZ" w:eastAsia="cs-CZ" w:bidi="cs-CZ"/>
              </w:rPr>
              <w:t>Vypracování projektové dokumentace pro společné územní a stavební povolení (DÚSP) v rozsahu dle technických podmínek v zadávací dokumentaci včetně zajištění pravomocného územního a stavebního povolení</w:t>
            </w: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230 000,00 Kč</w:t>
            </w:r>
          </w:p>
        </w:tc>
      </w:tr>
      <w:tr>
        <w:trPr>
          <w:trHeight w:val="662"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cs-CZ" w:eastAsia="cs-CZ" w:bidi="cs-CZ"/>
              </w:rPr>
              <w:t>4.</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62" w:lineRule="auto"/>
              <w:ind w:left="0" w:right="0" w:firstLine="0"/>
              <w:jc w:val="left"/>
              <w:rPr>
                <w:sz w:val="16"/>
                <w:szCs w:val="16"/>
              </w:rPr>
            </w:pPr>
            <w:r>
              <w:rPr>
                <w:color w:val="000000"/>
                <w:spacing w:val="0"/>
                <w:w w:val="100"/>
                <w:position w:val="0"/>
                <w:sz w:val="16"/>
                <w:szCs w:val="16"/>
                <w:shd w:val="clear" w:color="auto" w:fill="auto"/>
                <w:lang w:val="cs-CZ" w:eastAsia="cs-CZ" w:bidi="cs-CZ"/>
              </w:rPr>
              <w:t>Vypracování projektové dokumentace pro provedení stavby (PDPS) v rozsahu dle technických podmínek v zadávací dokumentaci</w:t>
            </w: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1020" w:right="0" w:firstLine="0"/>
              <w:jc w:val="both"/>
              <w:rPr>
                <w:sz w:val="16"/>
                <w:szCs w:val="16"/>
              </w:rPr>
            </w:pPr>
            <w:r>
              <w:rPr>
                <w:color w:val="000000"/>
                <w:spacing w:val="0"/>
                <w:w w:val="100"/>
                <w:position w:val="0"/>
                <w:sz w:val="16"/>
                <w:szCs w:val="16"/>
                <w:shd w:val="clear" w:color="auto" w:fill="auto"/>
                <w:lang w:val="cs-CZ" w:eastAsia="cs-CZ" w:bidi="cs-CZ"/>
              </w:rPr>
              <w:t>60 000,00 Kč</w:t>
            </w:r>
          </w:p>
        </w:tc>
      </w:tr>
      <w:tr>
        <w:trPr>
          <w:trHeight w:val="398"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400" w:firstLine="0"/>
              <w:jc w:val="right"/>
              <w:rPr>
                <w:sz w:val="16"/>
                <w:szCs w:val="16"/>
              </w:rPr>
            </w:pPr>
            <w:r>
              <w:rPr>
                <w:b/>
                <w:bCs/>
                <w:color w:val="000000"/>
                <w:spacing w:val="0"/>
                <w:w w:val="100"/>
                <w:position w:val="0"/>
                <w:sz w:val="16"/>
                <w:szCs w:val="16"/>
                <w:shd w:val="clear" w:color="auto" w:fill="auto"/>
                <w:lang w:val="cs-CZ" w:eastAsia="cs-CZ" w:bidi="cs-CZ"/>
              </w:rPr>
              <w:t>Cena za zpracování kompletní projektové dokumentace stavby bez DPH*</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360 000,00 Kč</w:t>
            </w:r>
          </w:p>
        </w:tc>
      </w:tr>
      <w:tr>
        <w:trPr>
          <w:trHeight w:val="398"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400" w:firstLine="0"/>
              <w:jc w:val="right"/>
              <w:rPr>
                <w:sz w:val="16"/>
                <w:szCs w:val="16"/>
              </w:rPr>
            </w:pPr>
            <w:r>
              <w:rPr>
                <w:b/>
                <w:bCs/>
                <w:color w:val="000000"/>
                <w:spacing w:val="0"/>
                <w:w w:val="100"/>
                <w:position w:val="0"/>
                <w:sz w:val="16"/>
                <w:szCs w:val="16"/>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1020" w:right="0" w:firstLine="0"/>
              <w:jc w:val="both"/>
              <w:rPr>
                <w:sz w:val="16"/>
                <w:szCs w:val="16"/>
              </w:rPr>
            </w:pPr>
            <w:r>
              <w:rPr>
                <w:color w:val="000000"/>
                <w:spacing w:val="0"/>
                <w:w w:val="100"/>
                <w:position w:val="0"/>
                <w:sz w:val="16"/>
                <w:szCs w:val="16"/>
                <w:shd w:val="clear" w:color="auto" w:fill="auto"/>
                <w:lang w:val="cs-CZ" w:eastAsia="cs-CZ" w:bidi="cs-CZ"/>
              </w:rPr>
              <w:t>75 600,00 Kč</w:t>
            </w:r>
          </w:p>
        </w:tc>
      </w:tr>
      <w:tr>
        <w:trPr>
          <w:trHeight w:val="413" w:hRule="exact"/>
        </w:trPr>
        <w:tc>
          <w:tcPr>
            <w:gridSpan w:val="2"/>
            <w:tcBorders>
              <w:top w:val="single" w:sz="4"/>
              <w:left w:val="single" w:sz="4"/>
              <w:bottom w:val="single" w:sz="4"/>
            </w:tcBorders>
            <w:shd w:val="clear" w:color="auto" w:fill="FCE9DA"/>
            <w:vAlign w:val="center"/>
          </w:tcPr>
          <w:p>
            <w:pPr>
              <w:pStyle w:val="Style5"/>
              <w:keepNext w:val="0"/>
              <w:keepLines w:val="0"/>
              <w:widowControl w:val="0"/>
              <w:shd w:val="clear" w:color="auto" w:fill="auto"/>
              <w:bidi w:val="0"/>
              <w:spacing w:before="0" w:after="0" w:line="240" w:lineRule="auto"/>
              <w:ind w:left="1280" w:right="0" w:firstLine="0"/>
              <w:jc w:val="left"/>
              <w:rPr>
                <w:sz w:val="16"/>
                <w:szCs w:val="16"/>
              </w:rPr>
            </w:pPr>
            <w:r>
              <w:rPr>
                <w:b/>
                <w:bCs/>
                <w:color w:val="000000"/>
                <w:spacing w:val="0"/>
                <w:w w:val="100"/>
                <w:position w:val="0"/>
                <w:sz w:val="16"/>
                <w:szCs w:val="16"/>
                <w:shd w:val="clear" w:color="auto" w:fill="auto"/>
                <w:lang w:val="cs-CZ" w:eastAsia="cs-CZ" w:bidi="cs-CZ"/>
              </w:rPr>
              <w:t>Cena za zpracování kompletní projektové dokumentace stavby včetně DPH*</w:t>
            </w:r>
          </w:p>
        </w:tc>
        <w:tc>
          <w:tcPr>
            <w:tcBorders>
              <w:top w:val="single" w:sz="4"/>
              <w:left w:val="single" w:sz="4"/>
              <w:bottom w:val="single" w:sz="4"/>
              <w:right w:val="single" w:sz="4"/>
            </w:tcBorders>
            <w:shd w:val="clear" w:color="auto" w:fill="FCE9DA"/>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435 600,00 Kč</w:t>
            </w:r>
          </w:p>
        </w:tc>
      </w:tr>
    </w:tbl>
    <w:p>
      <w:pPr>
        <w:pStyle w:val="Style14"/>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 Cena za vypracování kompletní projektové dokumentace celkem bude uvedena ve smlouvě o dílo.</w:t>
      </w:r>
    </w:p>
    <w:p>
      <w:pPr>
        <w:widowControl w:val="0"/>
        <w:spacing w:after="139" w:line="1" w:lineRule="exact"/>
      </w:pPr>
    </w:p>
    <w:tbl>
      <w:tblPr>
        <w:tblOverlap w:val="never"/>
        <w:jc w:val="center"/>
        <w:tblLayout w:type="fixed"/>
      </w:tblPr>
      <w:tblGrid>
        <w:gridCol w:w="475"/>
        <w:gridCol w:w="6562"/>
        <w:gridCol w:w="1944"/>
      </w:tblGrid>
      <w:tr>
        <w:trPr>
          <w:trHeight w:val="475" w:hRule="exact"/>
        </w:trPr>
        <w:tc>
          <w:tcPr>
            <w:gridSpan w:val="3"/>
            <w:tcBorders>
              <w:top w:val="single" w:sz="4"/>
              <w:left w:val="single" w:sz="4"/>
              <w:right w:val="single" w:sz="4"/>
            </w:tcBorders>
            <w:shd w:val="clear" w:color="auto" w:fill="FCE9DA"/>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b) Hodnotící kritérium: Nabídková cena za výkon autorského dozoru (40 %)</w:t>
            </w:r>
          </w:p>
        </w:tc>
      </w:tr>
      <w:tr>
        <w:trPr>
          <w:trHeight w:val="398"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cs-CZ" w:eastAsia="cs-CZ" w:bidi="cs-CZ"/>
              </w:rPr>
              <w:t>č.</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Nabídková cena bez DPH</w:t>
            </w:r>
          </w:p>
        </w:tc>
      </w:tr>
      <w:tr>
        <w:trPr>
          <w:trHeight w:val="398" w:hRule="exact"/>
        </w:trPr>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cs-CZ" w:eastAsia="cs-CZ" w:bidi="cs-CZ"/>
              </w:rPr>
              <w:t>1.</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Práce spojené s výkonem AD v kanceláři, v předpokládaném rozsahu 10 hodin, předpokládané náklady bez nároku na cestové</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6"/>
                <w:szCs w:val="16"/>
              </w:rPr>
            </w:pPr>
            <w:r>
              <w:rPr>
                <w:i/>
                <w:iCs/>
                <w:color w:val="000000"/>
                <w:spacing w:val="0"/>
                <w:w w:val="100"/>
                <w:position w:val="0"/>
                <w:sz w:val="16"/>
                <w:szCs w:val="16"/>
                <w:shd w:val="clear" w:color="auto" w:fill="auto"/>
                <w:lang w:val="cs-CZ" w:eastAsia="cs-CZ" w:bidi="cs-CZ"/>
              </w:rPr>
              <w:t>za 1 hodinu (60 minut) **</w:t>
            </w: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350,00 Kč</w:t>
            </w: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69"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za 10 hodin (600 minut)***</w:t>
            </w: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3 500,00 Kč</w:t>
            </w:r>
          </w:p>
        </w:tc>
      </w:tr>
      <w:tr>
        <w:trPr>
          <w:trHeight w:val="398" w:hRule="exact"/>
        </w:trPr>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cs-CZ" w:eastAsia="cs-CZ" w:bidi="cs-CZ"/>
              </w:rPr>
              <w:t>2.</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Práce spojené s výkonem AD na staveništi, v předpokládaném rozsahu 8 návštěv (1 návštěva = 3 hod. výkonu AD), předpokládané náklady včetně cestovného</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69" w:lineRule="auto"/>
              <w:ind w:left="0" w:right="0" w:firstLine="0"/>
              <w:jc w:val="center"/>
              <w:rPr>
                <w:sz w:val="16"/>
                <w:szCs w:val="16"/>
              </w:rPr>
            </w:pPr>
            <w:r>
              <w:rPr>
                <w:i/>
                <w:iCs/>
                <w:color w:val="000000"/>
                <w:spacing w:val="0"/>
                <w:w w:val="100"/>
                <w:position w:val="0"/>
                <w:sz w:val="16"/>
                <w:szCs w:val="16"/>
                <w:shd w:val="clear" w:color="auto" w:fill="auto"/>
                <w:lang w:val="cs-CZ" w:eastAsia="cs-CZ" w:bidi="cs-CZ"/>
              </w:rPr>
              <w:t>za 1 návštěvu á 3 hodiny (180 minut) **</w:t>
            </w: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2 500,00 Kč</w:t>
            </w: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69" w:lineRule="auto"/>
              <w:ind w:left="0" w:right="0" w:firstLine="0"/>
              <w:jc w:val="center"/>
              <w:rPr>
                <w:sz w:val="16"/>
                <w:szCs w:val="16"/>
              </w:rPr>
            </w:pPr>
            <w:r>
              <w:rPr>
                <w:i/>
                <w:iCs/>
                <w:color w:val="000000"/>
                <w:spacing w:val="0"/>
                <w:w w:val="100"/>
                <w:position w:val="0"/>
                <w:sz w:val="16"/>
                <w:szCs w:val="16"/>
                <w:shd w:val="clear" w:color="auto" w:fill="auto"/>
                <w:lang w:val="cs-CZ" w:eastAsia="cs-CZ" w:bidi="cs-CZ"/>
              </w:rPr>
              <w:t>za 8 návštěv (24 hodin) ***</w:t>
            </w: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20 000,00 Kč</w:t>
            </w:r>
          </w:p>
        </w:tc>
      </w:tr>
      <w:tr>
        <w:trPr>
          <w:trHeight w:val="475"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Cena za výkon autorského dozoru bez DPH ****</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23 500,00 Kč</w:t>
            </w:r>
          </w:p>
        </w:tc>
      </w:tr>
      <w:tr>
        <w:trPr>
          <w:trHeight w:val="480"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DPH 21 % ****</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4 935,00 Kč</w:t>
            </w:r>
          </w:p>
        </w:tc>
      </w:tr>
      <w:tr>
        <w:trPr>
          <w:trHeight w:val="490" w:hRule="exact"/>
        </w:trPr>
        <w:tc>
          <w:tcPr>
            <w:gridSpan w:val="2"/>
            <w:tcBorders>
              <w:top w:val="single" w:sz="4"/>
              <w:left w:val="single" w:sz="4"/>
              <w:bottom w:val="single" w:sz="4"/>
            </w:tcBorders>
            <w:shd w:val="clear" w:color="auto" w:fill="FCE9DA"/>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Cena za výkon autorského dozoru včetně DPH ****</w:t>
            </w:r>
          </w:p>
        </w:tc>
        <w:tc>
          <w:tcPr>
            <w:tcBorders>
              <w:top w:val="single" w:sz="4"/>
              <w:left w:val="single" w:sz="4"/>
              <w:bottom w:val="single" w:sz="4"/>
              <w:right w:val="single" w:sz="4"/>
            </w:tcBorders>
            <w:shd w:val="clear" w:color="auto" w:fill="FCE9DA"/>
            <w:vAlign w:val="center"/>
          </w:tcPr>
          <w:p>
            <w:pPr>
              <w:pStyle w:val="Style5"/>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28 435,00 Kč</w:t>
            </w:r>
          </w:p>
        </w:tc>
      </w:tr>
    </w:tbl>
    <w:p>
      <w:pPr>
        <w:pStyle w:val="Style14"/>
        <w:keepNext w:val="0"/>
        <w:keepLines w:val="0"/>
        <w:widowControl w:val="0"/>
        <w:shd w:val="clear" w:color="auto" w:fill="auto"/>
        <w:bidi w:val="0"/>
        <w:spacing w:before="0" w:after="0" w:line="254" w:lineRule="auto"/>
        <w:ind w:left="10" w:right="0" w:firstLine="0"/>
        <w:jc w:val="left"/>
      </w:pPr>
      <w:r>
        <w:rPr>
          <w:color w:val="000000"/>
          <w:spacing w:val="0"/>
          <w:w w:val="100"/>
          <w:position w:val="0"/>
          <w:shd w:val="clear" w:color="auto" w:fill="auto"/>
          <w:lang w:val="cs-CZ" w:eastAsia="cs-CZ" w:bidi="cs-CZ"/>
        </w:rPr>
        <w:t>** Cena výkonu autorského dozoru v Kč bez DPH za 1 hodinu výkonu AD v kanceláři a cena za 1 návštěvu AD na staveništi bude uvedena ve smlouvě o dílo a bude sloužit pro fakturaci výkonu AD dle doložené skutečnosti.</w:t>
      </w:r>
    </w:p>
    <w:p>
      <w:pPr>
        <w:widowControl w:val="0"/>
        <w:spacing w:after="139" w:line="1" w:lineRule="exact"/>
      </w:pPr>
    </w:p>
    <w:p>
      <w:pPr>
        <w:pStyle w:val="Style37"/>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Cena výkonu AD celkem je uvedena pouze pro rovnocenné hodnocení podaných nabídek. Ve smlouvě o dílo uvedena nebude.</w:t>
      </w:r>
    </w:p>
    <w:sectPr>
      <w:headerReference w:type="default" r:id="rId11"/>
      <w:footerReference w:type="default" r:id="rId12"/>
      <w:footnotePr>
        <w:pos w:val="pageBottom"/>
        <w:numFmt w:val="decimal"/>
        <w:numRestart w:val="continuous"/>
      </w:footnotePr>
      <w:pgSz w:w="11900" w:h="16840"/>
      <w:pgMar w:top="1359" w:left="1008" w:right="1910" w:bottom="3188" w:header="0" w:footer="3" w:gutter="0"/>
      <w:pgNumType w:start="2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3373755</wp:posOffset>
              </wp:positionH>
              <wp:positionV relativeFrom="page">
                <wp:posOffset>10214610</wp:posOffset>
              </wp:positionV>
              <wp:extent cx="795655" cy="109855"/>
              <wp:wrapNone/>
              <wp:docPr id="5" name="Shape 5"/>
              <a:graphic xmlns:a="http://schemas.openxmlformats.org/drawingml/2006/main">
                <a:graphicData uri="http://schemas.microsoft.com/office/word/2010/wordprocessingShape">
                  <wps:wsp>
                    <wps:cNvSpPr txBox="1"/>
                    <wps:spPr>
                      <a:xfrm>
                        <a:ext cx="795655"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13</w:t>
                          </w:r>
                        </w:p>
                      </w:txbxContent>
                    </wps:txbx>
                    <wps:bodyPr wrap="none" lIns="0" tIns="0" rIns="0" bIns="0">
                      <a:spAutoFit/>
                    </wps:bodyPr>
                  </wps:wsp>
                </a:graphicData>
              </a:graphic>
            </wp:anchor>
          </w:drawing>
        </mc:Choice>
        <mc:Fallback>
          <w:pict>
            <v:shape id="_x0000_s1031" type="#_x0000_t202" style="position:absolute;margin-left:265.64999999999998pt;margin-top:804.29999999999995pt;width:62.649999999999999pt;height:8.6500000000000004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871855</wp:posOffset>
              </wp:positionH>
              <wp:positionV relativeFrom="page">
                <wp:posOffset>10170160</wp:posOffset>
              </wp:positionV>
              <wp:extent cx="5891530" cy="0"/>
              <wp:wrapNone/>
              <wp:docPr id="7" name="Shape 7"/>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8.650000000000006pt;margin-top:800.79999999999995pt;width:463.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3434715</wp:posOffset>
              </wp:positionH>
              <wp:positionV relativeFrom="page">
                <wp:posOffset>10214610</wp:posOffset>
              </wp:positionV>
              <wp:extent cx="795655" cy="109855"/>
              <wp:wrapNone/>
              <wp:docPr id="12" name="Shape 12"/>
              <a:graphic xmlns:a="http://schemas.openxmlformats.org/drawingml/2006/main">
                <a:graphicData uri="http://schemas.microsoft.com/office/word/2010/wordprocessingShape">
                  <wps:wsp>
                    <wps:cNvSpPr txBox="1"/>
                    <wps:spPr>
                      <a:xfrm>
                        <a:ext cx="795655"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13</w:t>
                          </w:r>
                        </w:p>
                      </w:txbxContent>
                    </wps:txbx>
                    <wps:bodyPr wrap="none" lIns="0" tIns="0" rIns="0" bIns="0">
                      <a:spAutoFit/>
                    </wps:bodyPr>
                  </wps:wsp>
                </a:graphicData>
              </a:graphic>
            </wp:anchor>
          </w:drawing>
        </mc:Choice>
        <mc:Fallback>
          <w:pict>
            <v:shape id="_x0000_s1038" type="#_x0000_t202" style="position:absolute;margin-left:270.44999999999999pt;margin-top:804.29999999999995pt;width:62.649999999999999pt;height:8.6500000000000004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932815</wp:posOffset>
              </wp:positionH>
              <wp:positionV relativeFrom="page">
                <wp:posOffset>10170160</wp:posOffset>
              </wp:positionV>
              <wp:extent cx="5891530" cy="0"/>
              <wp:wrapNone/>
              <wp:docPr id="14" name="Shape 14"/>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73.450000000000003pt;margin-top:800.79999999999995pt;width:463.89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3406775</wp:posOffset>
              </wp:positionH>
              <wp:positionV relativeFrom="page">
                <wp:posOffset>9937115</wp:posOffset>
              </wp:positionV>
              <wp:extent cx="722630" cy="125095"/>
              <wp:wrapNone/>
              <wp:docPr id="19" name="Shape 19"/>
              <a:graphic xmlns:a="http://schemas.openxmlformats.org/drawingml/2006/main">
                <a:graphicData uri="http://schemas.microsoft.com/office/word/2010/wordprocessingShape">
                  <wps:wsp>
                    <wps:cNvSpPr txBox="1"/>
                    <wps:spPr>
                      <a:xfrm>
                        <a:ext cx="722630" cy="1250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5B9BD5"/>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color w:val="5B9BD5"/>
                                <w:spacing w:val="0"/>
                                <w:w w:val="100"/>
                                <w:position w:val="0"/>
                                <w:sz w:val="22"/>
                                <w:szCs w:val="22"/>
                                <w:shd w:val="clear" w:color="auto" w:fill="auto"/>
                                <w:lang w:val="cs-CZ" w:eastAsia="cs-CZ" w:bidi="cs-CZ"/>
                              </w:rPr>
                              <w:t>#</w:t>
                            </w:r>
                          </w:fldSimple>
                          <w:r>
                            <w:rPr>
                              <w:rFonts w:ascii="Calibri" w:eastAsia="Calibri" w:hAnsi="Calibri" w:cs="Calibri"/>
                              <w:color w:val="5B9BD5"/>
                              <w:spacing w:val="0"/>
                              <w:w w:val="100"/>
                              <w:position w:val="0"/>
                              <w:sz w:val="22"/>
                              <w:szCs w:val="22"/>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45" type="#_x0000_t202" style="position:absolute;margin-left:268.25pt;margin-top:782.45000000000005pt;width:56.899999999999999pt;height:9.8499999999999996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5B9BD5"/>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color w:val="5B9BD5"/>
                          <w:spacing w:val="0"/>
                          <w:w w:val="100"/>
                          <w:position w:val="0"/>
                          <w:sz w:val="22"/>
                          <w:szCs w:val="22"/>
                          <w:shd w:val="clear" w:color="auto" w:fill="auto"/>
                          <w:lang w:val="cs-CZ" w:eastAsia="cs-CZ" w:bidi="cs-CZ"/>
                        </w:rPr>
                        <w:t>#</w:t>
                      </w:r>
                    </w:fldSimple>
                    <w:r>
                      <w:rPr>
                        <w:rFonts w:ascii="Calibri" w:eastAsia="Calibri" w:hAnsi="Calibri" w:cs="Calibri"/>
                        <w:color w:val="5B9BD5"/>
                        <w:spacing w:val="0"/>
                        <w:w w:val="100"/>
                        <w:position w:val="0"/>
                        <w:sz w:val="22"/>
                        <w:szCs w:val="22"/>
                        <w:shd w:val="clear" w:color="auto" w:fill="auto"/>
                        <w:lang w:val="cs-CZ" w:eastAsia="cs-CZ" w:bidi="cs-CZ"/>
                      </w:rPr>
                      <w:t xml:space="preserve"> z 6</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664845</wp:posOffset>
              </wp:positionH>
              <wp:positionV relativeFrom="page">
                <wp:posOffset>8669020</wp:posOffset>
              </wp:positionV>
              <wp:extent cx="4669790" cy="85090"/>
              <wp:wrapNone/>
              <wp:docPr id="23" name="Shape 23"/>
              <a:graphic xmlns:a="http://schemas.openxmlformats.org/drawingml/2006/main">
                <a:graphicData uri="http://schemas.microsoft.com/office/word/2010/wordprocessingShape">
                  <wps:wsp>
                    <wps:cNvSpPr txBox="1"/>
                    <wps:spPr>
                      <a:xfrm>
                        <a:ext cx="4669790" cy="850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i/>
                              <w:iCs/>
                              <w:color w:val="000000"/>
                              <w:spacing w:val="0"/>
                              <w:w w:val="100"/>
                              <w:position w:val="0"/>
                              <w:sz w:val="15"/>
                              <w:szCs w:val="15"/>
                              <w:shd w:val="clear" w:color="auto" w:fill="auto"/>
                              <w:lang w:val="cs-CZ" w:eastAsia="cs-CZ" w:bidi="cs-CZ"/>
                            </w:rPr>
                            <w:t>**** Cena celkem (bez DPH, vč. DPH) bude použita k hodnocení podaných nabídek, ve smlouvě o dílo uvedena nebude.</w:t>
                          </w:r>
                        </w:p>
                      </w:txbxContent>
                    </wps:txbx>
                    <wps:bodyPr wrap="none" lIns="0" tIns="0" rIns="0" bIns="0">
                      <a:spAutoFit/>
                    </wps:bodyPr>
                  </wps:wsp>
                </a:graphicData>
              </a:graphic>
            </wp:anchor>
          </w:drawing>
        </mc:Choice>
        <mc:Fallback>
          <w:pict>
            <v:shape id="_x0000_s1049" type="#_x0000_t202" style="position:absolute;margin-left:52.350000000000001pt;margin-top:682.60000000000002pt;width:367.69999999999999pt;height:6.7000000000000002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i/>
                        <w:iCs/>
                        <w:color w:val="000000"/>
                        <w:spacing w:val="0"/>
                        <w:w w:val="100"/>
                        <w:position w:val="0"/>
                        <w:sz w:val="15"/>
                        <w:szCs w:val="15"/>
                        <w:shd w:val="clear" w:color="auto" w:fill="auto"/>
                        <w:lang w:val="cs-CZ" w:eastAsia="cs-CZ" w:bidi="cs-CZ"/>
                      </w:rPr>
                      <w:t>**** Cena celkem (bez DPH, vč. DPH) bude použita k hodnocení podaných nabídek, ve smlouvě o dílo uvedena nebude.</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899160</wp:posOffset>
              </wp:positionH>
              <wp:positionV relativeFrom="page">
                <wp:posOffset>615950</wp:posOffset>
              </wp:positionV>
              <wp:extent cx="2298065" cy="292735"/>
              <wp:wrapNone/>
              <wp:docPr id="1" name="Shape 1"/>
              <a:graphic xmlns:a="http://schemas.openxmlformats.org/drawingml/2006/main">
                <a:graphicData uri="http://schemas.microsoft.com/office/word/2010/wordprocessingShape">
                  <wps:wsp>
                    <wps:cNvSpPr txBox="1"/>
                    <wps:spPr>
                      <a:xfrm>
                        <a:ext cx="2298065" cy="2927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 II/390</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Kamenná - most ev. č. 390-008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799999999999997pt;margin-top:48.5pt;width:180.94999999999999pt;height:23.05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 II/390</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Kamenná - most ev. č. 390-008</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4587240</wp:posOffset>
              </wp:positionH>
              <wp:positionV relativeFrom="page">
                <wp:posOffset>615950</wp:posOffset>
              </wp:positionV>
              <wp:extent cx="2289175" cy="128270"/>
              <wp:wrapNone/>
              <wp:docPr id="3" name="Shape 3"/>
              <a:graphic xmlns:a="http://schemas.openxmlformats.org/drawingml/2006/main">
                <a:graphicData uri="http://schemas.microsoft.com/office/word/2010/wordprocessingShape">
                  <wps:wsp>
                    <wps:cNvSpPr txBox="1"/>
                    <wps:spPr>
                      <a:xfrm>
                        <a:ext cx="2289175" cy="1282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 ZMR-SL-88-2021</w:t>
                          </w:r>
                        </w:p>
                      </w:txbxContent>
                    </wps:txbx>
                    <wps:bodyPr wrap="none" lIns="0" tIns="0" rIns="0" bIns="0">
                      <a:spAutoFit/>
                    </wps:bodyPr>
                  </wps:wsp>
                </a:graphicData>
              </a:graphic>
            </wp:anchor>
          </w:drawing>
        </mc:Choice>
        <mc:Fallback>
          <w:pict>
            <v:shape id="_x0000_s1029" type="#_x0000_t202" style="position:absolute;margin-left:361.19999999999999pt;margin-top:48.5pt;width:180.25pt;height:1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smlouvy objednatele: ZMR-SL-88-2021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950595</wp:posOffset>
              </wp:positionH>
              <wp:positionV relativeFrom="page">
                <wp:posOffset>615950</wp:posOffset>
              </wp:positionV>
              <wp:extent cx="5977255" cy="292735"/>
              <wp:wrapNone/>
              <wp:docPr id="10" name="Shape 10"/>
              <a:graphic xmlns:a="http://schemas.openxmlformats.org/drawingml/2006/main">
                <a:graphicData uri="http://schemas.microsoft.com/office/word/2010/wordprocessingShape">
                  <wps:wsp>
                    <wps:cNvSpPr txBox="1"/>
                    <wps:spPr>
                      <a:xfrm>
                        <a:ext cx="5977255" cy="292735"/>
                      </a:xfrm>
                      <a:prstGeom prst="rect"/>
                      <a:noFill/>
                    </wps:spPr>
                    <wps:txbx>
                      <w:txbxContent>
                        <w:p>
                          <w:pPr>
                            <w:pStyle w:val="Style9"/>
                            <w:keepNext w:val="0"/>
                            <w:keepLines w:val="0"/>
                            <w:widowControl w:val="0"/>
                            <w:shd w:val="clear" w:color="auto" w:fill="auto"/>
                            <w:tabs>
                              <w:tab w:pos="9360"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 II/390</w:t>
                            <w:tab/>
                            <w:t>Číslo smlouvy objednatele: ZMR-SL-88-2021</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Kamenná - most ev. č. 390-008</w:t>
                          </w:r>
                        </w:p>
                      </w:txbxContent>
                    </wps:txbx>
                    <wps:bodyPr lIns="0" tIns="0" rIns="0" bIns="0">
                      <a:spAutoFit/>
                    </wps:bodyPr>
                  </wps:wsp>
                </a:graphicData>
              </a:graphic>
            </wp:anchor>
          </w:drawing>
        </mc:Choice>
        <mc:Fallback>
          <w:pict>
            <v:shape id="_x0000_s1036" type="#_x0000_t202" style="position:absolute;margin-left:74.849999999999994pt;margin-top:48.5pt;width:470.64999999999998pt;height:23.050000000000001pt;z-index:-18874405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360" w:val="righ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 II/390</w:t>
                      <w:tab/>
                      <w:t>Číslo smlouvy objednatele: ZMR-SL-88-2021</w:t>
                    </w:r>
                  </w:p>
                  <w:p>
                    <w:pPr>
                      <w:pStyle w:val="Style9"/>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Kamenná - most ev. č. 390-008</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5916295</wp:posOffset>
              </wp:positionH>
              <wp:positionV relativeFrom="page">
                <wp:posOffset>741045</wp:posOffset>
              </wp:positionV>
              <wp:extent cx="402590" cy="97790"/>
              <wp:wrapNone/>
              <wp:docPr id="21" name="Shape 21"/>
              <a:graphic xmlns:a="http://schemas.openxmlformats.org/drawingml/2006/main">
                <a:graphicData uri="http://schemas.microsoft.com/office/word/2010/wordprocessingShape">
                  <wps:wsp>
                    <wps:cNvSpPr txBox="1"/>
                    <wps:spPr>
                      <a:xfrm>
                        <a:ext cx="402590" cy="977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Příloha C1</w:t>
                          </w:r>
                        </w:p>
                      </w:txbxContent>
                    </wps:txbx>
                    <wps:bodyPr wrap="none" lIns="0" tIns="0" rIns="0" bIns="0">
                      <a:spAutoFit/>
                    </wps:bodyPr>
                  </wps:wsp>
                </a:graphicData>
              </a:graphic>
            </wp:anchor>
          </w:drawing>
        </mc:Choice>
        <mc:Fallback>
          <w:pict>
            <v:shape id="_x0000_s1047" type="#_x0000_t202" style="position:absolute;margin-left:465.85000000000002pt;margin-top:58.350000000000001pt;width:31.699999999999999pt;height:7.7000000000000002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Příloha C1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12.%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6.1.%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3"/>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2"/>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8">
    <w:multiLevelType w:val="multilevel"/>
    <w:lvl w:ilvl="0">
      <w:start w:val="1"/>
      <w:numFmt w:val="bullet"/>
      <w:lvlText w:val="V"/>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6">
    <w:name w:val="Jiné_"/>
    <w:basedOn w:val="DefaultParagraphFont"/>
    <w:link w:val="Style5"/>
    <w:rPr>
      <w:rFonts w:ascii="Calibri" w:eastAsia="Calibri" w:hAnsi="Calibri" w:cs="Calibri"/>
      <w:b w:val="0"/>
      <w:bCs w:val="0"/>
      <w:i w:val="0"/>
      <w:iCs w:val="0"/>
      <w:smallCaps w:val="0"/>
      <w:strike w:val="0"/>
      <w:sz w:val="24"/>
      <w:szCs w:val="24"/>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Titulek tabulky_"/>
    <w:basedOn w:val="DefaultParagraphFont"/>
    <w:link w:val="Style14"/>
    <w:rPr>
      <w:rFonts w:ascii="Calibri" w:eastAsia="Calibri" w:hAnsi="Calibri" w:cs="Calibri"/>
      <w:b w:val="0"/>
      <w:bCs w:val="0"/>
      <w:i/>
      <w:iCs/>
      <w:smallCaps w:val="0"/>
      <w:strike w:val="0"/>
      <w:sz w:val="15"/>
      <w:szCs w:val="15"/>
      <w:u w:val="none"/>
    </w:rPr>
  </w:style>
  <w:style w:type="character" w:customStyle="1" w:styleId="CharStyle21">
    <w:name w:val="Nadpis #1_"/>
    <w:basedOn w:val="DefaultParagraphFont"/>
    <w:link w:val="Style20"/>
    <w:rPr>
      <w:rFonts w:ascii="Calibri" w:eastAsia="Calibri" w:hAnsi="Calibri" w:cs="Calibri"/>
      <w:b/>
      <w:bCs/>
      <w:i w:val="0"/>
      <w:iCs w:val="0"/>
      <w:smallCaps w:val="0"/>
      <w:strike w:val="0"/>
      <w:sz w:val="28"/>
      <w:szCs w:val="28"/>
      <w:u w:val="none"/>
    </w:rPr>
  </w:style>
  <w:style w:type="character" w:customStyle="1" w:styleId="CharStyle24">
    <w:name w:val="Základní text (2)_"/>
    <w:basedOn w:val="DefaultParagraphFont"/>
    <w:link w:val="Style23"/>
    <w:rPr>
      <w:rFonts w:ascii="Times New Roman" w:eastAsia="Times New Roman" w:hAnsi="Times New Roman" w:cs="Times New Roman"/>
      <w:b w:val="0"/>
      <w:bCs w:val="0"/>
      <w:i w:val="0"/>
      <w:iCs w:val="0"/>
      <w:smallCaps w:val="0"/>
      <w:strike w:val="0"/>
      <w:u w:val="none"/>
    </w:rPr>
  </w:style>
  <w:style w:type="character" w:customStyle="1" w:styleId="CharStyle38">
    <w:name w:val="Základní text (3)_"/>
    <w:basedOn w:val="DefaultParagraphFont"/>
    <w:link w:val="Style37"/>
    <w:rPr>
      <w:rFonts w:ascii="Calibri" w:eastAsia="Calibri" w:hAnsi="Calibri" w:cs="Calibri"/>
      <w:b w:val="0"/>
      <w:bCs w:val="0"/>
      <w:i/>
      <w:iCs/>
      <w:smallCaps w:val="0"/>
      <w:strike w:val="0"/>
      <w:sz w:val="15"/>
      <w:szCs w:val="15"/>
      <w:u w:val="none"/>
    </w:rPr>
  </w:style>
  <w:style w:type="paragraph" w:customStyle="1" w:styleId="Style2">
    <w:name w:val="Základní text"/>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5">
    <w:name w:val="Jiné"/>
    <w:basedOn w:val="Normal"/>
    <w:link w:val="CharStyle6"/>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Titulek tabulky"/>
    <w:basedOn w:val="Normal"/>
    <w:link w:val="CharStyle15"/>
    <w:pPr>
      <w:widowControl w:val="0"/>
      <w:shd w:val="clear" w:color="auto" w:fill="FFFFFF"/>
      <w:spacing w:line="247" w:lineRule="auto"/>
    </w:pPr>
    <w:rPr>
      <w:rFonts w:ascii="Calibri" w:eastAsia="Calibri" w:hAnsi="Calibri" w:cs="Calibri"/>
      <w:b w:val="0"/>
      <w:bCs w:val="0"/>
      <w:i/>
      <w:iCs/>
      <w:smallCaps w:val="0"/>
      <w:strike w:val="0"/>
      <w:sz w:val="15"/>
      <w:szCs w:val="15"/>
      <w:u w:val="none"/>
    </w:rPr>
  </w:style>
  <w:style w:type="paragraph" w:customStyle="1" w:styleId="Style20">
    <w:name w:val="Nadpis #1"/>
    <w:basedOn w:val="Normal"/>
    <w:link w:val="CharStyle21"/>
    <w:pPr>
      <w:widowControl w:val="0"/>
      <w:shd w:val="clear" w:color="auto" w:fill="FFFFFF"/>
      <w:spacing w:after="320"/>
      <w:outlineLvl w:val="0"/>
    </w:pPr>
    <w:rPr>
      <w:rFonts w:ascii="Calibri" w:eastAsia="Calibri" w:hAnsi="Calibri" w:cs="Calibri"/>
      <w:b/>
      <w:bCs/>
      <w:i w:val="0"/>
      <w:iCs w:val="0"/>
      <w:smallCaps w:val="0"/>
      <w:strike w:val="0"/>
      <w:sz w:val="28"/>
      <w:szCs w:val="28"/>
      <w:u w:val="none"/>
    </w:rPr>
  </w:style>
  <w:style w:type="paragraph" w:customStyle="1" w:styleId="Style23">
    <w:name w:val="Základní text (2)"/>
    <w:basedOn w:val="Normal"/>
    <w:link w:val="CharStyle24"/>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37">
    <w:name w:val="Základní text (3)"/>
    <w:basedOn w:val="Normal"/>
    <w:link w:val="CharStyle38"/>
    <w:pPr>
      <w:widowControl w:val="0"/>
      <w:shd w:val="clear" w:color="auto" w:fill="FFFFFF"/>
      <w:spacing w:after="140" w:line="254" w:lineRule="auto"/>
    </w:pPr>
    <w:rPr>
      <w:rFonts w:ascii="Calibri" w:eastAsia="Calibri" w:hAnsi="Calibri" w:cs="Calibri"/>
      <w:b w:val="0"/>
      <w:bCs w:val="0"/>
      <w:i/>
      <w:iCs/>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