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F499" w14:textId="77777777" w:rsidR="008D2355" w:rsidRDefault="00D45367">
      <w:pPr>
        <w:pStyle w:val="Style2"/>
        <w:keepNext/>
        <w:keepLines/>
        <w:shd w:val="clear" w:color="auto" w:fill="auto"/>
        <w:spacing w:before="320" w:after="940"/>
      </w:pPr>
      <w:bookmarkStart w:id="0" w:name="bookmark0"/>
      <w:bookmarkStart w:id="1" w:name="bookmark1"/>
      <w:bookmarkStart w:id="2" w:name="bookmark2"/>
      <w:r>
        <w:t>Smlouva o poskytování služeb č.211211</w:t>
      </w:r>
      <w:bookmarkEnd w:id="0"/>
      <w:bookmarkEnd w:id="1"/>
      <w:bookmarkEnd w:id="2"/>
    </w:p>
    <w:p w14:paraId="6DD83129" w14:textId="77777777" w:rsidR="008D2355" w:rsidRDefault="00D45367">
      <w:pPr>
        <w:pStyle w:val="Style8"/>
        <w:keepNext/>
        <w:keepLines/>
        <w:shd w:val="clear" w:color="auto" w:fill="auto"/>
        <w:spacing w:after="0" w:line="302" w:lineRule="auto"/>
        <w:jc w:val="left"/>
      </w:pPr>
      <w:bookmarkStart w:id="3" w:name="bookmark3"/>
      <w:bookmarkStart w:id="4" w:name="bookmark4"/>
      <w:bookmarkStart w:id="5" w:name="bookmark5"/>
      <w:r>
        <w:t>Národní muzeum</w:t>
      </w:r>
      <w:bookmarkEnd w:id="3"/>
      <w:bookmarkEnd w:id="4"/>
      <w:bookmarkEnd w:id="5"/>
    </w:p>
    <w:p w14:paraId="34D419DD" w14:textId="77777777" w:rsidR="008D2355" w:rsidRDefault="00D45367">
      <w:pPr>
        <w:pStyle w:val="Style10"/>
        <w:shd w:val="clear" w:color="auto" w:fill="auto"/>
        <w:spacing w:after="0" w:line="302" w:lineRule="auto"/>
        <w:jc w:val="both"/>
      </w:pPr>
      <w:r>
        <w:t>příspěvková organizace nepodléhající zápisu do obchodního rejstříku, zřízená Ministerstvem kultury ČR, zřizovací listina č. j. 17461/2000 ve znění pozdějších změn a doplňků</w:t>
      </w:r>
    </w:p>
    <w:p w14:paraId="2F8783F3" w14:textId="77777777" w:rsidR="008D2355" w:rsidRDefault="00D45367">
      <w:pPr>
        <w:pStyle w:val="Style10"/>
        <w:shd w:val="clear" w:color="auto" w:fill="auto"/>
        <w:spacing w:after="0" w:line="302" w:lineRule="auto"/>
        <w:jc w:val="both"/>
      </w:pPr>
      <w:r>
        <w:t xml:space="preserve">se sídlem: Václavské </w:t>
      </w:r>
      <w:r>
        <w:t>náměstí 68,110 00 Praha 1</w:t>
      </w:r>
    </w:p>
    <w:p w14:paraId="2FC30C65" w14:textId="77777777" w:rsidR="008D2355" w:rsidRDefault="00D45367">
      <w:pPr>
        <w:pStyle w:val="Style10"/>
        <w:shd w:val="clear" w:color="auto" w:fill="auto"/>
        <w:spacing w:after="0" w:line="302" w:lineRule="auto"/>
        <w:jc w:val="both"/>
      </w:pPr>
      <w:r>
        <w:t>zastoupené: Ing. Martinem Součkem, Ph.D., ředitelem Odboru digitalizace a informačních systémů</w:t>
      </w:r>
    </w:p>
    <w:p w14:paraId="7FA6BA77" w14:textId="77777777" w:rsidR="008D2355" w:rsidRDefault="00D45367">
      <w:pPr>
        <w:pStyle w:val="Style10"/>
        <w:shd w:val="clear" w:color="auto" w:fill="auto"/>
        <w:spacing w:line="302" w:lineRule="auto"/>
        <w:jc w:val="both"/>
      </w:pPr>
      <w:r>
        <w:t>IČ: 00023272, DIČ: CZ00023272</w:t>
      </w:r>
    </w:p>
    <w:p w14:paraId="307EBD4D" w14:textId="77777777" w:rsidR="008D2355" w:rsidRDefault="00D45367">
      <w:pPr>
        <w:pStyle w:val="Style10"/>
        <w:shd w:val="clear" w:color="auto" w:fill="auto"/>
        <w:spacing w:line="302" w:lineRule="auto"/>
        <w:jc w:val="both"/>
      </w:pPr>
      <w:r>
        <w:t>(dále jen „Objednatel")</w:t>
      </w:r>
    </w:p>
    <w:p w14:paraId="45F94F8F" w14:textId="77777777" w:rsidR="008D2355" w:rsidRDefault="00D45367">
      <w:pPr>
        <w:pStyle w:val="Style10"/>
        <w:shd w:val="clear" w:color="auto" w:fill="auto"/>
        <w:spacing w:line="302" w:lineRule="auto"/>
      </w:pPr>
      <w:r>
        <w:t>a</w:t>
      </w:r>
    </w:p>
    <w:p w14:paraId="04726B41" w14:textId="77777777" w:rsidR="008D2355" w:rsidRDefault="00D45367">
      <w:pPr>
        <w:pStyle w:val="Style8"/>
        <w:keepNext/>
        <w:keepLines/>
        <w:shd w:val="clear" w:color="auto" w:fill="auto"/>
        <w:spacing w:after="0" w:line="300" w:lineRule="auto"/>
        <w:jc w:val="left"/>
      </w:pPr>
      <w:bookmarkStart w:id="6" w:name="bookmark6"/>
      <w:bookmarkStart w:id="7" w:name="bookmark7"/>
      <w:bookmarkStart w:id="8" w:name="bookmark8"/>
      <w:proofErr w:type="spellStart"/>
      <w:r>
        <w:t>Axiell</w:t>
      </w:r>
      <w:proofErr w:type="spellEnd"/>
      <w:r>
        <w:t>, s.r.o.</w:t>
      </w:r>
      <w:bookmarkEnd w:id="6"/>
      <w:bookmarkEnd w:id="7"/>
      <w:bookmarkEnd w:id="8"/>
    </w:p>
    <w:p w14:paraId="4AF921FC" w14:textId="77777777" w:rsidR="008D2355" w:rsidRDefault="00D45367">
      <w:pPr>
        <w:pStyle w:val="Style10"/>
        <w:shd w:val="clear" w:color="auto" w:fill="auto"/>
        <w:spacing w:after="0" w:line="300" w:lineRule="auto"/>
        <w:jc w:val="both"/>
      </w:pPr>
      <w:r>
        <w:t>se sídlem: Na Radosti 106/64, Praha 5 - Zličín</w:t>
      </w:r>
    </w:p>
    <w:p w14:paraId="1F85ACCE" w14:textId="77777777" w:rsidR="008D2355" w:rsidRDefault="00D45367">
      <w:pPr>
        <w:pStyle w:val="Style10"/>
        <w:shd w:val="clear" w:color="auto" w:fill="auto"/>
        <w:spacing w:after="0" w:line="300" w:lineRule="auto"/>
        <w:jc w:val="both"/>
      </w:pPr>
      <w:r>
        <w:t xml:space="preserve">zastoupena: Mgr. </w:t>
      </w:r>
      <w:r>
        <w:t>Pavlem Mlčochem, jednatelem společnosti</w:t>
      </w:r>
    </w:p>
    <w:p w14:paraId="1C51BB35" w14:textId="77777777" w:rsidR="008D2355" w:rsidRDefault="00D45367">
      <w:pPr>
        <w:pStyle w:val="Style10"/>
        <w:shd w:val="clear" w:color="auto" w:fill="auto"/>
        <w:spacing w:after="0" w:line="300" w:lineRule="auto"/>
        <w:jc w:val="both"/>
      </w:pPr>
      <w:r>
        <w:t>zapsána v obchodním rejstříku vedeném Městským soudem v Praze pod spis. zn. C 181091/MSPH</w:t>
      </w:r>
    </w:p>
    <w:p w14:paraId="72AF5EC6" w14:textId="77777777" w:rsidR="008D2355" w:rsidRDefault="00D45367">
      <w:pPr>
        <w:pStyle w:val="Style10"/>
        <w:shd w:val="clear" w:color="auto" w:fill="auto"/>
        <w:spacing w:line="300" w:lineRule="auto"/>
        <w:jc w:val="both"/>
      </w:pPr>
      <w:r>
        <w:t>IČ: 24127582, DIČ: CZ24127582</w:t>
      </w:r>
    </w:p>
    <w:p w14:paraId="0ABF117D" w14:textId="591C80D7" w:rsidR="008D2355" w:rsidRDefault="3559B23A">
      <w:pPr>
        <w:pStyle w:val="Style10"/>
        <w:shd w:val="clear" w:color="auto" w:fill="auto"/>
        <w:spacing w:after="36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číslo účtu: </w:t>
      </w:r>
      <w:proofErr w:type="spellStart"/>
      <w:r w:rsidR="63AB108F">
        <w:rPr>
          <w:sz w:val="19"/>
          <w:szCs w:val="19"/>
        </w:rPr>
        <w:t>xxxxxxxxxxxxx</w:t>
      </w:r>
      <w:proofErr w:type="spellEnd"/>
    </w:p>
    <w:p w14:paraId="645C1180" w14:textId="77777777" w:rsidR="008D2355" w:rsidRDefault="00D45367">
      <w:pPr>
        <w:pStyle w:val="Style10"/>
        <w:shd w:val="clear" w:color="auto" w:fill="auto"/>
        <w:spacing w:after="1760" w:line="302" w:lineRule="auto"/>
      </w:pPr>
      <w:r>
        <w:t>(dále jen „Poskytovatel")</w:t>
      </w:r>
    </w:p>
    <w:p w14:paraId="0A604774" w14:textId="77777777" w:rsidR="008D2355" w:rsidRDefault="00D45367">
      <w:pPr>
        <w:pStyle w:val="Style8"/>
        <w:keepNext/>
        <w:keepLines/>
        <w:numPr>
          <w:ilvl w:val="0"/>
          <w:numId w:val="1"/>
        </w:numPr>
        <w:shd w:val="clear" w:color="auto" w:fill="auto"/>
        <w:tabs>
          <w:tab w:val="left" w:pos="301"/>
        </w:tabs>
        <w:spacing w:line="305" w:lineRule="auto"/>
      </w:pPr>
      <w:bookmarkStart w:id="9" w:name="bookmark10"/>
      <w:bookmarkStart w:id="10" w:name="bookmark11"/>
      <w:bookmarkStart w:id="11" w:name="bookmark9"/>
      <w:r>
        <w:t>Předmět smlouvy</w:t>
      </w:r>
      <w:bookmarkEnd w:id="9"/>
      <w:bookmarkEnd w:id="10"/>
      <w:bookmarkEnd w:id="11"/>
    </w:p>
    <w:p w14:paraId="2005CDB1" w14:textId="77777777" w:rsidR="008D2355" w:rsidRDefault="00D45367">
      <w:pPr>
        <w:pStyle w:val="Style10"/>
        <w:numPr>
          <w:ilvl w:val="0"/>
          <w:numId w:val="2"/>
        </w:numPr>
        <w:shd w:val="clear" w:color="auto" w:fill="auto"/>
        <w:tabs>
          <w:tab w:val="left" w:pos="344"/>
        </w:tabs>
        <w:jc w:val="both"/>
      </w:pPr>
      <w:r>
        <w:t xml:space="preserve">Předmětem této </w:t>
      </w:r>
      <w:r>
        <w:t>smlouvy je poskytování outsourcingu sbírkového evidenčního systému MUSEION-ONLINE (dále MUSEION-ONLINE) včetně správy systému na serveru poskytovatele.</w:t>
      </w:r>
    </w:p>
    <w:p w14:paraId="4C512217" w14:textId="77777777" w:rsidR="008D2355" w:rsidRDefault="00D45367">
      <w:pPr>
        <w:pStyle w:val="Style10"/>
        <w:numPr>
          <w:ilvl w:val="0"/>
          <w:numId w:val="2"/>
        </w:numPr>
        <w:shd w:val="clear" w:color="auto" w:fill="auto"/>
        <w:tabs>
          <w:tab w:val="left" w:pos="358"/>
        </w:tabs>
        <w:spacing w:line="305" w:lineRule="auto"/>
        <w:jc w:val="both"/>
      </w:pPr>
      <w:r>
        <w:t>MUSEION-ONLINE bude poskytován Objednateli pro evidenci sbírek v rozsahu 250.000 inventárních čísel a ev</w:t>
      </w:r>
      <w:r>
        <w:t xml:space="preserve">idenci nových přírůstků výhradně ze sbírek Národního </w:t>
      </w:r>
      <w:proofErr w:type="gramStart"/>
      <w:r>
        <w:t>muzea - Náprstkova</w:t>
      </w:r>
      <w:proofErr w:type="gramEnd"/>
      <w:r>
        <w:t xml:space="preserve"> muzea asijských, afrických a amerických kultur (</w:t>
      </w:r>
      <w:proofErr w:type="spellStart"/>
      <w:r>
        <w:t>NpM</w:t>
      </w:r>
      <w:proofErr w:type="spellEnd"/>
      <w:r>
        <w:t xml:space="preserve"> 1 - Sbírkové oddělení) a ze sbírek Národního muzea - Historického muzea (HM 2.1 - Oddělení novodobých českých dějin, HM 2.2 - Odděle</w:t>
      </w:r>
      <w:r>
        <w:t>ní dějin tělesné výchovy a sportu).</w:t>
      </w:r>
    </w:p>
    <w:p w14:paraId="53896773" w14:textId="77777777" w:rsidR="008D2355" w:rsidRDefault="00D45367">
      <w:pPr>
        <w:pStyle w:val="Style10"/>
        <w:numPr>
          <w:ilvl w:val="0"/>
          <w:numId w:val="2"/>
        </w:numPr>
        <w:shd w:val="clear" w:color="auto" w:fill="auto"/>
        <w:tabs>
          <w:tab w:val="left" w:pos="354"/>
        </w:tabs>
        <w:jc w:val="both"/>
      </w:pPr>
      <w:r>
        <w:t xml:space="preserve">Rozsah poskytovaných služeb v rámci outsourcingu je definován v příloze </w:t>
      </w:r>
      <w:proofErr w:type="spellStart"/>
      <w:r>
        <w:t>č.l</w:t>
      </w:r>
      <w:proofErr w:type="spellEnd"/>
      <w:r>
        <w:t>, která tvoří nedílnou součást této smlouvy.</w:t>
      </w:r>
    </w:p>
    <w:p w14:paraId="7F7A63CA" w14:textId="77777777" w:rsidR="008D2355" w:rsidRDefault="00D45367">
      <w:pPr>
        <w:pStyle w:val="Style8"/>
        <w:keepNext/>
        <w:keepLines/>
        <w:numPr>
          <w:ilvl w:val="0"/>
          <w:numId w:val="1"/>
        </w:numPr>
        <w:shd w:val="clear" w:color="auto" w:fill="auto"/>
        <w:tabs>
          <w:tab w:val="left" w:pos="313"/>
        </w:tabs>
        <w:spacing w:line="312" w:lineRule="auto"/>
      </w:pPr>
      <w:bookmarkStart w:id="12" w:name="bookmark12"/>
      <w:bookmarkStart w:id="13" w:name="bookmark13"/>
      <w:bookmarkStart w:id="14" w:name="bookmark14"/>
      <w:r>
        <w:t>Práva a povinnosti smluvních stran</w:t>
      </w:r>
      <w:bookmarkEnd w:id="12"/>
      <w:bookmarkEnd w:id="13"/>
      <w:bookmarkEnd w:id="14"/>
    </w:p>
    <w:p w14:paraId="73C8C80D" w14:textId="77777777" w:rsidR="008D2355" w:rsidRDefault="00D45367">
      <w:pPr>
        <w:pStyle w:val="Style10"/>
        <w:numPr>
          <w:ilvl w:val="0"/>
          <w:numId w:val="3"/>
        </w:numPr>
        <w:shd w:val="clear" w:color="auto" w:fill="auto"/>
        <w:tabs>
          <w:tab w:val="left" w:pos="313"/>
        </w:tabs>
        <w:spacing w:line="312" w:lineRule="auto"/>
        <w:jc w:val="both"/>
      </w:pPr>
      <w:r>
        <w:t xml:space="preserve">Poskytovatel se zavazuje poskytovat služby objednateli v rozsahu </w:t>
      </w:r>
      <w:r>
        <w:t>a za podmínek uvedených v této smlouvě.</w:t>
      </w:r>
    </w:p>
    <w:p w14:paraId="7F26D787" w14:textId="77777777" w:rsidR="008D2355" w:rsidRDefault="00D45367">
      <w:pPr>
        <w:pStyle w:val="Style10"/>
        <w:numPr>
          <w:ilvl w:val="0"/>
          <w:numId w:val="3"/>
        </w:numPr>
        <w:shd w:val="clear" w:color="auto" w:fill="auto"/>
        <w:tabs>
          <w:tab w:val="left" w:pos="299"/>
        </w:tabs>
        <w:spacing w:line="312" w:lineRule="auto"/>
        <w:jc w:val="both"/>
      </w:pPr>
      <w:r>
        <w:lastRenderedPageBreak/>
        <w:t>Objednatel se zavazuje poskytnout Poskytovateli veškerou součinnost nezbytnou pro řádné poskytování služeb Poskytovatelem.</w:t>
      </w:r>
    </w:p>
    <w:p w14:paraId="50FBDBCF" w14:textId="77777777" w:rsidR="008D2355" w:rsidRDefault="00D45367">
      <w:pPr>
        <w:pStyle w:val="Style13"/>
        <w:shd w:val="clear" w:color="auto" w:fill="auto"/>
      </w:pPr>
      <w:r>
        <w:t>3. Požadavky na plnění této smlouvy budou akceptovány od těchto osob: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6"/>
        <w:gridCol w:w="4699"/>
      </w:tblGrid>
      <w:tr w:rsidR="008D2355" w14:paraId="1FD7C119" w14:textId="77777777" w:rsidTr="72CAE1B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95028" w14:textId="77777777" w:rsidR="008D2355" w:rsidRDefault="00D45367">
            <w:pPr>
              <w:pStyle w:val="Style15"/>
              <w:shd w:val="clear" w:color="auto" w:fill="auto"/>
              <w:spacing w:after="0" w:line="240" w:lineRule="auto"/>
            </w:pPr>
            <w:r>
              <w:t>Jméno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E3A8B2" w14:textId="77777777" w:rsidR="008D2355" w:rsidRDefault="00D45367">
            <w:pPr>
              <w:pStyle w:val="Style15"/>
              <w:shd w:val="clear" w:color="auto" w:fill="auto"/>
              <w:spacing w:after="0" w:line="240" w:lineRule="auto"/>
            </w:pPr>
            <w:r>
              <w:t>Funkce</w:t>
            </w:r>
          </w:p>
        </w:tc>
      </w:tr>
      <w:tr w:rsidR="008D2355" w14:paraId="48A614AF" w14:textId="77777777" w:rsidTr="72CAE1B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8D9CF" w14:textId="77777777" w:rsidR="008D2355" w:rsidRDefault="2A084F9F" w:rsidP="72CAE1B0">
            <w:pPr>
              <w:pStyle w:val="Style15"/>
              <w:shd w:val="clear" w:color="auto" w:fill="auto"/>
              <w:spacing w:after="0" w:line="240" w:lineRule="auto"/>
              <w:rPr>
                <w:color w:val="70AD47" w:themeColor="accent6"/>
              </w:rPr>
            </w:pPr>
            <w:proofErr w:type="spellStart"/>
            <w:r>
              <w:t>xxxxxxxxxxxxxxx</w:t>
            </w:r>
            <w:proofErr w:type="spellEnd"/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EDD9C" w14:textId="77777777" w:rsidR="008D2355" w:rsidRDefault="2A084F9F" w:rsidP="72CAE1B0">
            <w:pPr>
              <w:pStyle w:val="Style15"/>
              <w:shd w:val="clear" w:color="auto" w:fill="auto"/>
              <w:spacing w:after="0" w:line="240" w:lineRule="auto"/>
              <w:rPr>
                <w:color w:val="70AD47" w:themeColor="accent6"/>
              </w:rPr>
            </w:pPr>
            <w:proofErr w:type="spellStart"/>
            <w:r>
              <w:t>xxxxxxxxxxxx</w:t>
            </w:r>
            <w:proofErr w:type="spellEnd"/>
          </w:p>
        </w:tc>
      </w:tr>
      <w:tr w:rsidR="008D2355" w14:paraId="03E823FA" w14:textId="77777777" w:rsidTr="72CAE1B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35E1F" w14:textId="77777777" w:rsidR="008D2355" w:rsidRDefault="5773786F" w:rsidP="72CAE1B0">
            <w:pPr>
              <w:pStyle w:val="Style15"/>
              <w:shd w:val="clear" w:color="auto" w:fill="auto"/>
              <w:spacing w:after="0" w:line="240" w:lineRule="auto"/>
              <w:rPr>
                <w:color w:val="70AD47" w:themeColor="accent6"/>
              </w:rPr>
            </w:pPr>
            <w:proofErr w:type="spellStart"/>
            <w:r>
              <w:t>xxxxxxxxxxxxxxx</w:t>
            </w:r>
            <w:proofErr w:type="spellEnd"/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D4047" w14:textId="77777777" w:rsidR="008D2355" w:rsidRDefault="5773786F" w:rsidP="72CAE1B0">
            <w:pPr>
              <w:pStyle w:val="Style15"/>
              <w:shd w:val="clear" w:color="auto" w:fill="auto"/>
              <w:spacing w:after="0" w:line="240" w:lineRule="auto"/>
              <w:rPr>
                <w:color w:val="70AD47" w:themeColor="accent6"/>
              </w:rPr>
            </w:pPr>
            <w:proofErr w:type="spellStart"/>
            <w:r>
              <w:t>xxxxxxxxxxxx</w:t>
            </w:r>
            <w:proofErr w:type="spellEnd"/>
          </w:p>
        </w:tc>
      </w:tr>
      <w:tr w:rsidR="008D2355" w14:paraId="1F6295D1" w14:textId="77777777" w:rsidTr="72CAE1B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C0BCB" w14:textId="77777777" w:rsidR="008D2355" w:rsidRDefault="5773786F" w:rsidP="72CAE1B0">
            <w:pPr>
              <w:pStyle w:val="Style15"/>
              <w:shd w:val="clear" w:color="auto" w:fill="auto"/>
              <w:spacing w:after="0" w:line="240" w:lineRule="auto"/>
              <w:rPr>
                <w:color w:val="70AD47" w:themeColor="accent6"/>
              </w:rPr>
            </w:pPr>
            <w:proofErr w:type="spellStart"/>
            <w:r>
              <w:t>xxxxxxxxxxxxxxx</w:t>
            </w:r>
            <w:proofErr w:type="spellEnd"/>
          </w:p>
          <w:p w14:paraId="1A6E1E73" w14:textId="3BA5D919" w:rsidR="008D2355" w:rsidRDefault="008D2355" w:rsidP="72CAE1B0">
            <w:pPr>
              <w:pStyle w:val="Style15"/>
              <w:shd w:val="clear" w:color="auto" w:fill="auto"/>
              <w:spacing w:after="0" w:line="240" w:lineRule="auto"/>
              <w:rPr>
                <w:color w:val="70AD47" w:themeColor="accent6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9E899" w14:textId="77777777" w:rsidR="008D2355" w:rsidRDefault="5773786F" w:rsidP="72CAE1B0">
            <w:pPr>
              <w:pStyle w:val="Style15"/>
              <w:shd w:val="clear" w:color="auto" w:fill="auto"/>
              <w:spacing w:after="0" w:line="312" w:lineRule="auto"/>
              <w:rPr>
                <w:color w:val="70AD47" w:themeColor="accent6"/>
              </w:rPr>
            </w:pPr>
            <w:proofErr w:type="spellStart"/>
            <w:r>
              <w:t>xxxxxxxxxxxx</w:t>
            </w:r>
            <w:proofErr w:type="spellEnd"/>
          </w:p>
          <w:p w14:paraId="71F0753C" w14:textId="36B1929F" w:rsidR="008D2355" w:rsidRDefault="008D2355" w:rsidP="72CAE1B0">
            <w:pPr>
              <w:pStyle w:val="Style15"/>
              <w:shd w:val="clear" w:color="auto" w:fill="auto"/>
              <w:spacing w:after="0" w:line="312" w:lineRule="auto"/>
              <w:rPr>
                <w:color w:val="70AD47" w:themeColor="accent6"/>
              </w:rPr>
            </w:pPr>
          </w:p>
        </w:tc>
      </w:tr>
      <w:tr w:rsidR="008D2355" w14:paraId="2FFAB84E" w14:textId="77777777" w:rsidTr="72CAE1B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6B4FA" w14:textId="77777777" w:rsidR="008D2355" w:rsidRDefault="5773786F" w:rsidP="72CAE1B0">
            <w:pPr>
              <w:pStyle w:val="Style15"/>
              <w:shd w:val="clear" w:color="auto" w:fill="auto"/>
              <w:spacing w:after="0" w:line="240" w:lineRule="auto"/>
              <w:rPr>
                <w:color w:val="70AD47" w:themeColor="accent6"/>
              </w:rPr>
            </w:pPr>
            <w:proofErr w:type="spellStart"/>
            <w:r>
              <w:t>xxxxxxxxxxxxxxx</w:t>
            </w:r>
            <w:proofErr w:type="spellEnd"/>
          </w:p>
          <w:p w14:paraId="660E759B" w14:textId="6D059E9B" w:rsidR="008D2355" w:rsidRDefault="008D2355" w:rsidP="72CAE1B0">
            <w:pPr>
              <w:pStyle w:val="Style15"/>
              <w:shd w:val="clear" w:color="auto" w:fill="auto"/>
              <w:spacing w:after="0" w:line="240" w:lineRule="auto"/>
              <w:rPr>
                <w:color w:val="70AD47" w:themeColor="accent6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20F6D" w14:textId="7761CB51" w:rsidR="008D2355" w:rsidRPr="00D45367" w:rsidRDefault="5773786F" w:rsidP="72CAE1B0">
            <w:pPr>
              <w:pStyle w:val="Style15"/>
              <w:shd w:val="clear" w:color="auto" w:fill="auto"/>
              <w:spacing w:after="0"/>
              <w:rPr>
                <w:color w:val="auto"/>
                <w:lang w:val="en-US" w:eastAsia="en-US" w:bidi="en-US"/>
              </w:rPr>
            </w:pPr>
            <w:proofErr w:type="spellStart"/>
            <w:r w:rsidRPr="00D45367">
              <w:rPr>
                <w:color w:val="auto"/>
                <w:lang w:val="en-US" w:eastAsia="en-US" w:bidi="en-US"/>
              </w:rPr>
              <w:t>xxxxxxxxxxxx</w:t>
            </w:r>
            <w:proofErr w:type="spellEnd"/>
          </w:p>
          <w:p w14:paraId="22272D45" w14:textId="05D505E2" w:rsidR="008D2355" w:rsidRDefault="008D2355" w:rsidP="72CAE1B0">
            <w:pPr>
              <w:pStyle w:val="Style15"/>
              <w:shd w:val="clear" w:color="auto" w:fill="auto"/>
              <w:spacing w:after="0"/>
              <w:rPr>
                <w:color w:val="70AD47" w:themeColor="accent6"/>
                <w:lang w:val="en-US" w:eastAsia="en-US" w:bidi="en-US"/>
              </w:rPr>
            </w:pPr>
          </w:p>
        </w:tc>
      </w:tr>
      <w:tr w:rsidR="008D2355" w14:paraId="0E3A733D" w14:textId="77777777" w:rsidTr="72CAE1B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C7703" w14:textId="77777777" w:rsidR="008D2355" w:rsidRDefault="5773786F" w:rsidP="72CAE1B0">
            <w:pPr>
              <w:pStyle w:val="Style15"/>
              <w:shd w:val="clear" w:color="auto" w:fill="auto"/>
              <w:spacing w:after="0" w:line="240" w:lineRule="auto"/>
              <w:rPr>
                <w:color w:val="70AD47" w:themeColor="accent6"/>
              </w:rPr>
            </w:pPr>
            <w:proofErr w:type="spellStart"/>
            <w:r>
              <w:t>xxxxxxxxxxxxxxx</w:t>
            </w:r>
            <w:proofErr w:type="spellEnd"/>
          </w:p>
          <w:p w14:paraId="5E212565" w14:textId="64D72C0F" w:rsidR="008D2355" w:rsidRDefault="008D2355" w:rsidP="72CAE1B0">
            <w:pPr>
              <w:pStyle w:val="Style15"/>
              <w:shd w:val="clear" w:color="auto" w:fill="auto"/>
              <w:spacing w:after="0" w:line="240" w:lineRule="auto"/>
              <w:rPr>
                <w:color w:val="70AD47" w:themeColor="accent6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151E1" w14:textId="2BA1B4ED" w:rsidR="008D2355" w:rsidRPr="00D45367" w:rsidRDefault="5773786F" w:rsidP="72CAE1B0">
            <w:pPr>
              <w:pStyle w:val="Style15"/>
              <w:shd w:val="clear" w:color="auto" w:fill="auto"/>
              <w:spacing w:after="0" w:line="312" w:lineRule="auto"/>
              <w:rPr>
                <w:color w:val="auto"/>
                <w:lang w:val="en-US" w:eastAsia="en-US" w:bidi="en-US"/>
              </w:rPr>
            </w:pPr>
            <w:proofErr w:type="spellStart"/>
            <w:r w:rsidRPr="00D45367">
              <w:rPr>
                <w:color w:val="auto"/>
                <w:lang w:val="en-US" w:eastAsia="en-US" w:bidi="en-US"/>
              </w:rPr>
              <w:t>xxxxxxxxxxxx</w:t>
            </w:r>
            <w:proofErr w:type="spellEnd"/>
          </w:p>
          <w:p w14:paraId="513729BB" w14:textId="6CCB002A" w:rsidR="008D2355" w:rsidRDefault="008D2355" w:rsidP="72CAE1B0">
            <w:pPr>
              <w:pStyle w:val="Style15"/>
              <w:shd w:val="clear" w:color="auto" w:fill="auto"/>
              <w:spacing w:after="0" w:line="312" w:lineRule="auto"/>
              <w:rPr>
                <w:color w:val="70AD47" w:themeColor="accent6"/>
                <w:lang w:val="en-US" w:eastAsia="en-US" w:bidi="en-US"/>
              </w:rPr>
            </w:pPr>
          </w:p>
        </w:tc>
      </w:tr>
    </w:tbl>
    <w:p w14:paraId="672A6659" w14:textId="77777777" w:rsidR="008D2355" w:rsidRDefault="008D2355">
      <w:pPr>
        <w:spacing w:after="279" w:line="1" w:lineRule="exact"/>
      </w:pPr>
    </w:p>
    <w:p w14:paraId="0586FD65" w14:textId="77777777" w:rsidR="008D2355" w:rsidRDefault="00D45367">
      <w:pPr>
        <w:pStyle w:val="Style10"/>
        <w:numPr>
          <w:ilvl w:val="0"/>
          <w:numId w:val="2"/>
        </w:numPr>
        <w:shd w:val="clear" w:color="auto" w:fill="auto"/>
        <w:tabs>
          <w:tab w:val="left" w:pos="323"/>
        </w:tabs>
        <w:spacing w:after="580"/>
        <w:jc w:val="both"/>
      </w:pPr>
      <w:r>
        <w:t xml:space="preserve">Objednatel podpisem této Smlouvy potvrzuje, že Kontaktní osoba je oprávněna zastupovat jej v </w:t>
      </w:r>
      <w:r>
        <w:t>komunikaci s Poskytovatelem, a to až do doby, než Objednatel písemně oznámí Poskytovateli novou Kontaktní osobu.</w:t>
      </w:r>
    </w:p>
    <w:p w14:paraId="2453A6AF" w14:textId="77777777" w:rsidR="008D2355" w:rsidRDefault="00D45367">
      <w:pPr>
        <w:pStyle w:val="Style8"/>
        <w:keepNext/>
        <w:keepLines/>
        <w:numPr>
          <w:ilvl w:val="0"/>
          <w:numId w:val="1"/>
        </w:numPr>
        <w:shd w:val="clear" w:color="auto" w:fill="auto"/>
        <w:tabs>
          <w:tab w:val="left" w:pos="381"/>
        </w:tabs>
      </w:pPr>
      <w:bookmarkStart w:id="15" w:name="bookmark15"/>
      <w:bookmarkStart w:id="16" w:name="bookmark16"/>
      <w:bookmarkStart w:id="17" w:name="bookmark17"/>
      <w:r>
        <w:t>Doba trvání smlouvy</w:t>
      </w:r>
      <w:bookmarkEnd w:id="15"/>
      <w:bookmarkEnd w:id="16"/>
      <w:bookmarkEnd w:id="17"/>
    </w:p>
    <w:p w14:paraId="52A04ECC" w14:textId="77777777" w:rsidR="008D2355" w:rsidRDefault="00D45367">
      <w:pPr>
        <w:pStyle w:val="Style10"/>
        <w:numPr>
          <w:ilvl w:val="0"/>
          <w:numId w:val="4"/>
        </w:numPr>
        <w:shd w:val="clear" w:color="auto" w:fill="auto"/>
        <w:tabs>
          <w:tab w:val="left" w:pos="289"/>
        </w:tabs>
        <w:jc w:val="both"/>
      </w:pPr>
      <w:r>
        <w:t>Tato smlouva se uzavírá na dobu určitou od 1.ledna 2022 do 31.prosince 2023.</w:t>
      </w:r>
    </w:p>
    <w:p w14:paraId="56897E63" w14:textId="77777777" w:rsidR="008D2355" w:rsidRDefault="00D45367">
      <w:pPr>
        <w:pStyle w:val="Style10"/>
        <w:numPr>
          <w:ilvl w:val="0"/>
          <w:numId w:val="4"/>
        </w:numPr>
        <w:shd w:val="clear" w:color="auto" w:fill="auto"/>
        <w:tabs>
          <w:tab w:val="left" w:pos="304"/>
        </w:tabs>
        <w:spacing w:after="580"/>
        <w:jc w:val="both"/>
      </w:pPr>
      <w:r>
        <w:t>Obě smluvní strany mohou tuto smlouvu vypovědě</w:t>
      </w:r>
      <w:r>
        <w:t>t. Výpovědní lhůta je stanovena v délce 3 měsíců ode dne doručení druhé straně.</w:t>
      </w:r>
    </w:p>
    <w:p w14:paraId="65490B0A" w14:textId="77777777" w:rsidR="008D2355" w:rsidRDefault="00D45367">
      <w:pPr>
        <w:pStyle w:val="Style8"/>
        <w:keepNext/>
        <w:keepLines/>
        <w:numPr>
          <w:ilvl w:val="0"/>
          <w:numId w:val="1"/>
        </w:numPr>
        <w:shd w:val="clear" w:color="auto" w:fill="auto"/>
        <w:tabs>
          <w:tab w:val="left" w:pos="390"/>
        </w:tabs>
      </w:pPr>
      <w:bookmarkStart w:id="18" w:name="bookmark18"/>
      <w:bookmarkStart w:id="19" w:name="bookmark19"/>
      <w:bookmarkStart w:id="20" w:name="bookmark20"/>
      <w:r>
        <w:t>Cena plnění</w:t>
      </w:r>
      <w:bookmarkEnd w:id="18"/>
      <w:bookmarkEnd w:id="19"/>
      <w:bookmarkEnd w:id="20"/>
    </w:p>
    <w:p w14:paraId="4DF63312" w14:textId="77777777" w:rsidR="008D2355" w:rsidRDefault="00D45367">
      <w:pPr>
        <w:pStyle w:val="Style10"/>
        <w:numPr>
          <w:ilvl w:val="0"/>
          <w:numId w:val="5"/>
        </w:numPr>
        <w:shd w:val="clear" w:color="auto" w:fill="auto"/>
        <w:tabs>
          <w:tab w:val="left" w:pos="309"/>
        </w:tabs>
        <w:jc w:val="both"/>
      </w:pPr>
      <w:r>
        <w:t xml:space="preserve">Cena předmětu smlouvy za jeden kalendářní měsíc se dohodou smluvních stran stanovuje ve výši 27 800,- Kč (slovy dvacet sedm tisíc osm set korun českých) bez </w:t>
      </w:r>
      <w:r>
        <w:t>DPH. Za každých 10.000 evidenčních čísel nad rozsah 250.000 dle čl. I odst. 2 bude Poskytovatel Objednateli účtovat částku 1 000,- Kč (slovy jeden tisíc korun českých).</w:t>
      </w:r>
    </w:p>
    <w:p w14:paraId="75ABE7BF" w14:textId="77777777" w:rsidR="008D2355" w:rsidRDefault="00D45367">
      <w:pPr>
        <w:pStyle w:val="Style10"/>
        <w:numPr>
          <w:ilvl w:val="0"/>
          <w:numId w:val="5"/>
        </w:numPr>
        <w:shd w:val="clear" w:color="auto" w:fill="auto"/>
        <w:tabs>
          <w:tab w:val="left" w:pos="304"/>
        </w:tabs>
        <w:jc w:val="both"/>
      </w:pPr>
      <w:r>
        <w:t>Platby budou prováděny měsíčně na základě faktur vystavených Poskytovatelem. Faktury bu</w:t>
      </w:r>
      <w:r>
        <w:t>dou vystavovány dle prokazatelně čerpaných služeb. Výkaz prokazatelně čerpaných služeb Objednatelem schválených za dané období bude povinnou přílohou každé faktury. Nebude-li doložen, bude faktura vrácena Poskytovateli.</w:t>
      </w:r>
    </w:p>
    <w:p w14:paraId="1ADB99D4" w14:textId="77777777" w:rsidR="008D2355" w:rsidRDefault="00D45367">
      <w:pPr>
        <w:pStyle w:val="Style10"/>
        <w:numPr>
          <w:ilvl w:val="0"/>
          <w:numId w:val="5"/>
        </w:numPr>
        <w:shd w:val="clear" w:color="auto" w:fill="auto"/>
        <w:tabs>
          <w:tab w:val="left" w:pos="304"/>
        </w:tabs>
        <w:spacing w:line="305" w:lineRule="auto"/>
        <w:jc w:val="both"/>
        <w:sectPr w:rsidR="008D2355">
          <w:headerReference w:type="default" r:id="rId10"/>
          <w:footerReference w:type="default" r:id="rId11"/>
          <w:pgSz w:w="11909" w:h="16834"/>
          <w:pgMar w:top="1469" w:right="1431" w:bottom="1003" w:left="1400" w:header="0" w:footer="3" w:gutter="0"/>
          <w:pgNumType w:start="1"/>
          <w:cols w:space="720"/>
          <w:noEndnote/>
          <w:docGrid w:linePitch="360"/>
        </w:sectPr>
      </w:pPr>
      <w:r>
        <w:t xml:space="preserve">Splatnost faktur je stanovena na 30 dnů ode dne doručení Objednateli. Veškeré daňové doklady budou obsahovat všechny náležitosti řádného účetního a daňového dokladu ve smyslu </w:t>
      </w:r>
      <w:r>
        <w:t>zákonných ustanovení. Objednatel je oprávněn před uplynutím doby splatnosti vrátit bez proplacení daňový doklad, který neobsahuje uvedené náležitosti, přičemž Objednatel vždy</w:t>
      </w:r>
    </w:p>
    <w:p w14:paraId="3FBD0119" w14:textId="77777777" w:rsidR="008D2355" w:rsidRDefault="00D45367">
      <w:pPr>
        <w:pStyle w:val="Style10"/>
        <w:shd w:val="clear" w:color="auto" w:fill="auto"/>
        <w:spacing w:after="240" w:line="341" w:lineRule="auto"/>
        <w:ind w:firstLine="7320"/>
        <w:jc w:val="both"/>
      </w:pPr>
      <w:r>
        <w:lastRenderedPageBreak/>
        <w:t>Č.j. 2021/5555/NM označí důvod takového vrácení. Oprávněným vrácením dokladu přes</w:t>
      </w:r>
      <w:r>
        <w:t>tává běžet lhůta splatnosti. Celá lhůta splatnosti začne běžet znovu ode dne doručení opraveného či nově vyhotoveného daňového dokladu.</w:t>
      </w:r>
    </w:p>
    <w:p w14:paraId="5C73E3A7" w14:textId="77777777" w:rsidR="008D2355" w:rsidRDefault="00D45367">
      <w:pPr>
        <w:pStyle w:val="Style10"/>
        <w:numPr>
          <w:ilvl w:val="0"/>
          <w:numId w:val="5"/>
        </w:numPr>
        <w:shd w:val="clear" w:color="auto" w:fill="auto"/>
        <w:tabs>
          <w:tab w:val="left" w:pos="298"/>
        </w:tabs>
        <w:spacing w:after="580" w:line="310" w:lineRule="auto"/>
        <w:jc w:val="both"/>
      </w:pPr>
      <w:r>
        <w:t>Pokud je Objednatel bez zavinění na straně Poskytovatele v prodlení s platbami dle této Smlouvy, Poskytovatel má právo z</w:t>
      </w:r>
      <w:r>
        <w:t>astavit plnění této Smlouvy až do doby uhrazení závazku Objednatele.</w:t>
      </w:r>
    </w:p>
    <w:p w14:paraId="48461303" w14:textId="77777777" w:rsidR="008D2355" w:rsidRDefault="00D45367">
      <w:pPr>
        <w:pStyle w:val="Style8"/>
        <w:keepNext/>
        <w:keepLines/>
        <w:numPr>
          <w:ilvl w:val="0"/>
          <w:numId w:val="1"/>
        </w:numPr>
        <w:shd w:val="clear" w:color="auto" w:fill="auto"/>
        <w:tabs>
          <w:tab w:val="left" w:pos="332"/>
        </w:tabs>
        <w:spacing w:line="310" w:lineRule="auto"/>
      </w:pPr>
      <w:bookmarkStart w:id="21" w:name="bookmark26"/>
      <w:bookmarkStart w:id="22" w:name="bookmark27"/>
      <w:bookmarkStart w:id="23" w:name="bookmark28"/>
      <w:r>
        <w:t>Další ujednání</w:t>
      </w:r>
      <w:bookmarkEnd w:id="21"/>
      <w:bookmarkEnd w:id="22"/>
      <w:bookmarkEnd w:id="23"/>
    </w:p>
    <w:p w14:paraId="2AC5E74A" w14:textId="77777777" w:rsidR="008D2355" w:rsidRDefault="00D45367">
      <w:pPr>
        <w:pStyle w:val="Style10"/>
        <w:numPr>
          <w:ilvl w:val="0"/>
          <w:numId w:val="6"/>
        </w:numPr>
        <w:shd w:val="clear" w:color="auto" w:fill="auto"/>
        <w:tabs>
          <w:tab w:val="left" w:pos="298"/>
        </w:tabs>
        <w:jc w:val="both"/>
      </w:pPr>
      <w:r>
        <w:t>Poskytovatel se zavazuje mít uzavřenou pojistnou smlouvu na pojištění odpovědnosti za škodu způsobenou jeho činností třetí osobě, a to min. ve výši 5 mil. Kč. Náklady na po</w:t>
      </w:r>
      <w:r>
        <w:t>jištění nese Poskytovatel a má je zahrnuty ve sjednané ceně.</w:t>
      </w:r>
    </w:p>
    <w:p w14:paraId="0E5A40F6" w14:textId="77777777" w:rsidR="008D2355" w:rsidRDefault="00D45367">
      <w:pPr>
        <w:pStyle w:val="Style10"/>
        <w:numPr>
          <w:ilvl w:val="0"/>
          <w:numId w:val="6"/>
        </w:numPr>
        <w:shd w:val="clear" w:color="auto" w:fill="auto"/>
        <w:tabs>
          <w:tab w:val="left" w:pos="303"/>
        </w:tabs>
        <w:jc w:val="both"/>
      </w:pPr>
      <w:r>
        <w:t>Veškerá data spravovaná či získaná v rámci poskytování služby dle této smlouvy jsou vlastnictvím Objednatele. Poskytovatel se zavazuje, že bez předchozího písemného souhlasu Objednatele neposkytn</w:t>
      </w:r>
      <w:r>
        <w:t>e data třetí osobě. Zároveň se Poskytovatel zavazuje učinit taková opatření, aby třetí osoby k těmto datům neměly přístup. Tato povinnost trvá i po ukončení poskytování služeb dle této smlouvy.</w:t>
      </w:r>
    </w:p>
    <w:p w14:paraId="29E5AED2" w14:textId="77777777" w:rsidR="008D2355" w:rsidRDefault="00D45367">
      <w:pPr>
        <w:pStyle w:val="Style10"/>
        <w:numPr>
          <w:ilvl w:val="0"/>
          <w:numId w:val="6"/>
        </w:numPr>
        <w:shd w:val="clear" w:color="auto" w:fill="auto"/>
        <w:tabs>
          <w:tab w:val="left" w:pos="308"/>
        </w:tabs>
        <w:spacing w:line="305" w:lineRule="auto"/>
        <w:jc w:val="both"/>
      </w:pPr>
      <w:r>
        <w:t xml:space="preserve">Poskytovatel se zavazuje provádět pravidelné zálohy </w:t>
      </w:r>
      <w:r>
        <w:t>datového obsahu a protokolů o práci systému MUSEION-ONLINE. Tyto zálohy budou prováděny každé pondělí až sobotu mezi 0:00 a 6:00. Poskytovatel bude ověřovat funkčnost a úplnost těchto záloh. Každá takováto záloha bude opatřena uznávanou elektronickou pečet</w:t>
      </w:r>
      <w:r>
        <w:t>í a elektronickým časovým razítkem. V případě nutné obnovy po havárii Poskytovatel po dohodě s Objednatelem použije některou z těchto záloh.</w:t>
      </w:r>
    </w:p>
    <w:p w14:paraId="713105E7" w14:textId="77777777" w:rsidR="008D2355" w:rsidRDefault="00D45367">
      <w:pPr>
        <w:pStyle w:val="Style10"/>
        <w:numPr>
          <w:ilvl w:val="0"/>
          <w:numId w:val="6"/>
        </w:numPr>
        <w:shd w:val="clear" w:color="auto" w:fill="auto"/>
        <w:tabs>
          <w:tab w:val="left" w:pos="303"/>
        </w:tabs>
        <w:spacing w:line="302" w:lineRule="auto"/>
        <w:jc w:val="both"/>
      </w:pPr>
      <w:r>
        <w:t>Poskytovatel umožní Objednateli zabezpečený přístup k zálohám dle předchozího odstavce, a to po dobu poskytování sl</w:t>
      </w:r>
      <w:r>
        <w:t>užeb dle této smlouvy a jeden měsíc po ukončení tohoto poskytování. Objednatel se zavazuje tyto zálohy archivovat na vlastních zařízeních.</w:t>
      </w:r>
    </w:p>
    <w:p w14:paraId="7D5051FF" w14:textId="77777777" w:rsidR="008D2355" w:rsidRDefault="00D45367">
      <w:pPr>
        <w:pStyle w:val="Style10"/>
        <w:numPr>
          <w:ilvl w:val="0"/>
          <w:numId w:val="6"/>
        </w:numPr>
        <w:shd w:val="clear" w:color="auto" w:fill="auto"/>
        <w:tabs>
          <w:tab w:val="left" w:pos="303"/>
        </w:tabs>
        <w:spacing w:after="580" w:line="310" w:lineRule="auto"/>
      </w:pPr>
      <w:r>
        <w:t>Poskytovatel poskytne Objednateli školení v rozsahu 5 hodin.</w:t>
      </w:r>
    </w:p>
    <w:p w14:paraId="26DBB1EA" w14:textId="77777777" w:rsidR="008D2355" w:rsidRDefault="00D45367">
      <w:pPr>
        <w:pStyle w:val="Style23"/>
        <w:shd w:val="clear" w:color="auto" w:fill="auto"/>
      </w:pPr>
      <w:r>
        <w:t>VI. Sankce</w:t>
      </w:r>
    </w:p>
    <w:p w14:paraId="746326AB" w14:textId="77777777" w:rsidR="008D2355" w:rsidRDefault="00D45367">
      <w:pPr>
        <w:pStyle w:val="Style10"/>
        <w:numPr>
          <w:ilvl w:val="0"/>
          <w:numId w:val="7"/>
        </w:numPr>
        <w:shd w:val="clear" w:color="auto" w:fill="auto"/>
        <w:tabs>
          <w:tab w:val="left" w:pos="298"/>
        </w:tabs>
        <w:spacing w:after="140" w:line="329" w:lineRule="auto"/>
      </w:pPr>
      <w:r>
        <w:t>V případě, že Poskytovatel nedodrží garantova</w:t>
      </w:r>
      <w:r>
        <w:t xml:space="preserve">nou dostupnost systému MUSEION-ONLINE v rámci kalendářního měsíce uvedenou v příloze </w:t>
      </w:r>
      <w:proofErr w:type="spellStart"/>
      <w:r>
        <w:t>č.l</w:t>
      </w:r>
      <w:proofErr w:type="spellEnd"/>
      <w:r>
        <w:t xml:space="preserve"> této smlouvy, je povinen zaplatit Objednateli smluvní pokutu ve výši 1 Kč za každou i započatou minutu, o kterou byla doba skutečné dostupnosti kratší než doba dostupn</w:t>
      </w:r>
      <w:r>
        <w:t xml:space="preserve">osti garantované dle přílohy </w:t>
      </w:r>
      <w:proofErr w:type="spellStart"/>
      <w:r>
        <w:t>č.l</w:t>
      </w:r>
      <w:proofErr w:type="spellEnd"/>
      <w:r>
        <w:t xml:space="preserve"> této smlouvy.</w:t>
      </w:r>
    </w:p>
    <w:p w14:paraId="38CDEA86" w14:textId="77777777" w:rsidR="008D2355" w:rsidRDefault="00D45367">
      <w:pPr>
        <w:pStyle w:val="Style10"/>
        <w:numPr>
          <w:ilvl w:val="0"/>
          <w:numId w:val="7"/>
        </w:numPr>
        <w:shd w:val="clear" w:color="auto" w:fill="auto"/>
        <w:tabs>
          <w:tab w:val="left" w:pos="289"/>
        </w:tabs>
        <w:spacing w:after="140" w:line="331" w:lineRule="auto"/>
      </w:pPr>
      <w:r>
        <w:t>a) V případě, že Poskytovatel nezpřístupní objednateli zálohu dle čl. V. odst. 4 je povinen Objednateli zaplatit smluvní pokutu ve výši 500 Kč za každý den prodlení.</w:t>
      </w:r>
    </w:p>
    <w:p w14:paraId="03D50566" w14:textId="77777777" w:rsidR="008D2355" w:rsidRDefault="00D45367">
      <w:pPr>
        <w:pStyle w:val="Style10"/>
        <w:shd w:val="clear" w:color="auto" w:fill="auto"/>
        <w:spacing w:after="140" w:line="331" w:lineRule="auto"/>
      </w:pPr>
      <w:r>
        <w:t>b) V případě, že Poskytovatel nepředá objed</w:t>
      </w:r>
      <w:r>
        <w:t>nateli zálohu dle čl. V odst. 4 při ukončení či přerušení poskytování služeb dle této smlouvy je povinen Objednateli zaplatit smluvní pokutu ve výši 3.000 Kč za každý den prodlení.</w:t>
      </w:r>
    </w:p>
    <w:p w14:paraId="6B75D308" w14:textId="77777777" w:rsidR="008D2355" w:rsidRDefault="00D45367">
      <w:pPr>
        <w:pStyle w:val="Style10"/>
        <w:numPr>
          <w:ilvl w:val="0"/>
          <w:numId w:val="7"/>
        </w:numPr>
        <w:shd w:val="clear" w:color="auto" w:fill="auto"/>
        <w:tabs>
          <w:tab w:val="left" w:pos="289"/>
        </w:tabs>
        <w:spacing w:after="140" w:line="331" w:lineRule="auto"/>
      </w:pPr>
      <w:r>
        <w:t>V případě, že Poskytovatel neumožní Objednateli zadat požadavek na servisní</w:t>
      </w:r>
      <w:r>
        <w:t xml:space="preserve"> zásah z důvodu nedostupnosti služeb Hot-line ani HelpDesk, způsobené výpadkem uvedených služeb</w:t>
      </w:r>
      <w:r>
        <w:br w:type="page"/>
      </w:r>
      <w:r>
        <w:lastRenderedPageBreak/>
        <w:t>č.j. 2021/5555/NM na straně Poskytovatele, je Objednatel oprávněn po Poskytovateli požadovat smluvní pokutu ve výši 1.000 Kč za každý jednotlivý případ.</w:t>
      </w:r>
    </w:p>
    <w:p w14:paraId="2D9E31B4" w14:textId="77777777" w:rsidR="008D2355" w:rsidRDefault="00D45367">
      <w:pPr>
        <w:pStyle w:val="Style10"/>
        <w:numPr>
          <w:ilvl w:val="0"/>
          <w:numId w:val="7"/>
        </w:numPr>
        <w:shd w:val="clear" w:color="auto" w:fill="auto"/>
        <w:tabs>
          <w:tab w:val="left" w:pos="300"/>
        </w:tabs>
        <w:spacing w:after="140" w:line="329" w:lineRule="auto"/>
      </w:pPr>
      <w:r>
        <w:t>V přípa</w:t>
      </w:r>
      <w:r>
        <w:t>dě, že Objednatel je v prodlení s úhradou faktury, je povinen uhradit Poskytovateli úrok z prodlení v zákonně výši. V případě, že Objednatel je v prodlení s úhradou faktury, Poskytovatel na tuto skutečnost upozorní písemným sdělením kontaktní osobu Objedna</w:t>
      </w:r>
      <w:r>
        <w:t>tele.</w:t>
      </w:r>
    </w:p>
    <w:p w14:paraId="061308F4" w14:textId="77777777" w:rsidR="008D2355" w:rsidRDefault="00D45367">
      <w:pPr>
        <w:pStyle w:val="Style10"/>
        <w:numPr>
          <w:ilvl w:val="0"/>
          <w:numId w:val="7"/>
        </w:numPr>
        <w:shd w:val="clear" w:color="auto" w:fill="auto"/>
        <w:tabs>
          <w:tab w:val="left" w:pos="300"/>
        </w:tabs>
        <w:spacing w:after="140" w:line="331" w:lineRule="auto"/>
      </w:pPr>
      <w:r>
        <w:t>Smluvní pokuty a úrok z prodlení jsou splatně do 30 dnů od doručení jejich vyžádání oprávněnou smluvní stranou straně povinně. Platby budou provedeny bezhotovostním bankovním převodem na účet oprávněné smluvní strany.</w:t>
      </w:r>
    </w:p>
    <w:p w14:paraId="411438A3" w14:textId="77777777" w:rsidR="008D2355" w:rsidRDefault="00D45367">
      <w:pPr>
        <w:pStyle w:val="Style10"/>
        <w:shd w:val="clear" w:color="auto" w:fill="auto"/>
        <w:spacing w:after="440" w:line="331" w:lineRule="auto"/>
      </w:pPr>
      <w:r>
        <w:t xml:space="preserve">7. Ujednání o smluvních </w:t>
      </w:r>
      <w:r>
        <w:t>pokutách se nedotýkají náhrady škody, ke které je Poskytovatel povinen v celém rozsahu.</w:t>
      </w:r>
    </w:p>
    <w:p w14:paraId="78AD6956" w14:textId="77777777" w:rsidR="008D2355" w:rsidRDefault="00D45367">
      <w:pPr>
        <w:pStyle w:val="Style8"/>
        <w:keepNext/>
        <w:keepLines/>
        <w:shd w:val="clear" w:color="auto" w:fill="auto"/>
        <w:spacing w:line="317" w:lineRule="auto"/>
      </w:pPr>
      <w:bookmarkStart w:id="24" w:name="bookmark29"/>
      <w:bookmarkStart w:id="25" w:name="bookmark30"/>
      <w:bookmarkStart w:id="26" w:name="bookmark31"/>
      <w:r>
        <w:t>VII. Závěrečná ustanovení</w:t>
      </w:r>
      <w:bookmarkEnd w:id="24"/>
      <w:bookmarkEnd w:id="25"/>
      <w:bookmarkEnd w:id="26"/>
    </w:p>
    <w:p w14:paraId="6CDD82F1" w14:textId="77777777" w:rsidR="008D2355" w:rsidRDefault="00D45367">
      <w:pPr>
        <w:pStyle w:val="Style10"/>
        <w:numPr>
          <w:ilvl w:val="0"/>
          <w:numId w:val="8"/>
        </w:numPr>
        <w:shd w:val="clear" w:color="auto" w:fill="auto"/>
        <w:tabs>
          <w:tab w:val="left" w:pos="296"/>
        </w:tabs>
      </w:pPr>
      <w:r>
        <w:t>Tato Smlouva může být měněna pouze písemnými dodatky vlastnoručně podepsanými oprávněnými zástupci smluvních stran.</w:t>
      </w:r>
    </w:p>
    <w:p w14:paraId="3DFBADA7" w14:textId="77777777" w:rsidR="008D2355" w:rsidRDefault="00D45367">
      <w:pPr>
        <w:pStyle w:val="Style10"/>
        <w:numPr>
          <w:ilvl w:val="0"/>
          <w:numId w:val="8"/>
        </w:numPr>
        <w:shd w:val="clear" w:color="auto" w:fill="auto"/>
        <w:tabs>
          <w:tab w:val="left" w:pos="300"/>
        </w:tabs>
      </w:pPr>
      <w:r>
        <w:t xml:space="preserve">Otázky výslovně tímto </w:t>
      </w:r>
      <w:r>
        <w:t>dodatkem neupravené se řídí zejména ustanoveními zákona č. 89/2021 Sb., občanský zákoník.</w:t>
      </w:r>
    </w:p>
    <w:p w14:paraId="1E51B073" w14:textId="77777777" w:rsidR="008D2355" w:rsidRDefault="00D45367">
      <w:pPr>
        <w:pStyle w:val="Style10"/>
        <w:numPr>
          <w:ilvl w:val="0"/>
          <w:numId w:val="8"/>
        </w:numPr>
        <w:shd w:val="clear" w:color="auto" w:fill="auto"/>
        <w:tabs>
          <w:tab w:val="left" w:pos="310"/>
        </w:tabs>
      </w:pPr>
      <w:r>
        <w:t>Smluvní strany berou na vědomí a souhlasí s uveřejněním Smlouvy v registru smluv dle zákona č. 340/2015 Sb., o zvláštních podmínkách účinnosti některých smluv, uveřej</w:t>
      </w:r>
      <w:r>
        <w:t>ňování těchto smluv a o registru smluv (zákon o registru smluv).</w:t>
      </w:r>
    </w:p>
    <w:p w14:paraId="75B37375" w14:textId="77777777" w:rsidR="008D2355" w:rsidRDefault="00D45367">
      <w:pPr>
        <w:pStyle w:val="Style10"/>
        <w:numPr>
          <w:ilvl w:val="0"/>
          <w:numId w:val="8"/>
        </w:numPr>
        <w:shd w:val="clear" w:color="auto" w:fill="auto"/>
        <w:tabs>
          <w:tab w:val="left" w:pos="300"/>
        </w:tabs>
      </w:pPr>
      <w:r>
        <w:t>Tato Smlouva nabývá platnosti dnem jejího podpisu oběma smluvními stranami a účinností dnem jejího zveřejnění v registru smluv. Je podepsána elektronicky.</w:t>
      </w:r>
    </w:p>
    <w:p w14:paraId="3B9C59AE" w14:textId="62523B89" w:rsidR="008D2355" w:rsidRDefault="00D45367">
      <w:pPr>
        <w:pStyle w:val="Style10"/>
        <w:numPr>
          <w:ilvl w:val="0"/>
          <w:numId w:val="8"/>
        </w:numPr>
        <w:shd w:val="clear" w:color="auto" w:fill="auto"/>
        <w:tabs>
          <w:tab w:val="left" w:pos="300"/>
        </w:tabs>
        <w:spacing w:line="302" w:lineRule="auto"/>
      </w:pPr>
      <w:r>
        <w:rPr>
          <w:noProof/>
        </w:rPr>
        <mc:AlternateContent>
          <mc:Choice Requires="wps">
            <w:drawing>
              <wp:anchor distT="1778000" distB="0" distL="0" distR="0" simplePos="0" relativeHeight="125829382" behindDoc="0" locked="0" layoutInCell="1" allowOverlap="1" wp14:anchorId="601F3B5D" wp14:editId="0F7B0E7D">
                <wp:simplePos x="0" y="0"/>
                <wp:positionH relativeFrom="page">
                  <wp:posOffset>904875</wp:posOffset>
                </wp:positionH>
                <wp:positionV relativeFrom="paragraph">
                  <wp:posOffset>2321560</wp:posOffset>
                </wp:positionV>
                <wp:extent cx="3154680" cy="7302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730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477132" w14:textId="77777777" w:rsidR="008D2355" w:rsidRDefault="00D45367">
                            <w:pPr>
                              <w:pStyle w:val="Style1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Národní muzeum</w:t>
                            </w:r>
                          </w:p>
                          <w:p w14:paraId="10100D8A" w14:textId="77777777" w:rsidR="008D2355" w:rsidRDefault="00D45367">
                            <w:pPr>
                              <w:pStyle w:val="Style1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Ing. Martin Souček PhD.</w:t>
                            </w:r>
                          </w:p>
                          <w:p w14:paraId="5A93197E" w14:textId="77777777" w:rsidR="008D2355" w:rsidRDefault="00D45367">
                            <w:pPr>
                              <w:pStyle w:val="Style1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ředitel Odboru digitalizace a informačních systémů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F3B5D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71.25pt;margin-top:182.8pt;width:248.4pt;height:57.5pt;z-index:125829382;visibility:visible;mso-wrap-style:square;mso-height-percent:0;mso-wrap-distance-left:0;mso-wrap-distance-top:140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pHkQEAAB8DAAAOAAAAZHJzL2Uyb0RvYy54bWysUlFPwjAQfjfxPzR9lw0QJQuDaAjGxKgJ&#10;+gNK17Ima69pCxv/3mthYPTN+NJd727ffd93nS063ZC9cF6BKelwkFMiDIdKmW1JPz9WN1NKfGCm&#10;Yg0YUdKD8HQxv76atbYQI6ihqYQjCGJ80dqS1iHYIss8r4VmfgBWGCxKcJoFvLptVjnWIrpuslGe&#10;32UtuMo64MJ7zC6PRTpP+FIKHt6k9CKQpqTILaTTpXMTz2w+Y8XWMVsrfqLB/sBCM2Vw6BlqyQIj&#10;O6d+QWnFHXiQYcBBZyCl4iJpQDXD/Ieadc2sSFrQHG/PNvn/g+Wv+3dHVIW7G1JimMYdpbEE72hO&#10;a32BPWuLXaF7hA4b+7zHZNTcSafjF9UQrKPNh7O1oguEY3I8nNzeTbHEsXY/zkeT5H12+ds6H54E&#10;aBKDkjpcXXKU7V98QCbY2rfEYQZWqmliPlI8UolR6DZd0jPqaW6gOiD75tmgb/EN9IHrg80pOOI+&#10;7AJIlUZGwOPvpzm4hcTk9GLimr/fU9flXc+/AAAA//8DAFBLAwQUAAYACAAAACEAN6VJUuEAAAAL&#10;AQAADwAAAGRycy9kb3ducmV2LnhtbEyPwU7DMBBE70j8g7WVuFG7TWu1IU5VITghIdJw4OjEbhI1&#10;XofYbcPfs5zKcbRPM2+z3eR6drFj6DwqWMwFMIu1Nx02Cj7L18cNsBA1Gt17tAp+bIBdfn+X6dT4&#10;Kxb2cogNoxIMqVbQxjiknIe6tU6HuR8s0u3oR6cjxbHhZtRXKnc9XwohudMd0kKrB/vc2vp0ODsF&#10;+y8sXrrv9+qjOBZdWW4FvsmTUg+zaf8ELNop3mD40yd1yMmp8mc0gfWUV8s1oQoSuZbAiJDJNgFW&#10;KVhthASeZ/z/D/kvAAAA//8DAFBLAQItABQABgAIAAAAIQC2gziS/gAAAOEBAAATAAAAAAAAAAAA&#10;AAAAAAAAAABbQ29udGVudF9UeXBlc10ueG1sUEsBAi0AFAAGAAgAAAAhADj9If/WAAAAlAEAAAsA&#10;AAAAAAAAAAAAAAAALwEAAF9yZWxzLy5yZWxzUEsBAi0AFAAGAAgAAAAhABJaKkeRAQAAHwMAAA4A&#10;AAAAAAAAAAAAAAAALgIAAGRycy9lMm9Eb2MueG1sUEsBAi0AFAAGAAgAAAAhADelSVLhAAAACwEA&#10;AA8AAAAAAAAAAAAAAAAA6wMAAGRycy9kb3ducmV2LnhtbFBLBQYAAAAABAAEAPMAAAD5BAAAAAA=&#10;" filled="f" stroked="f">
                <v:textbox inset="0,0,0,0">
                  <w:txbxContent>
                    <w:p w14:paraId="55477132" w14:textId="77777777" w:rsidR="008D2355" w:rsidRDefault="00D45367">
                      <w:pPr>
                        <w:pStyle w:val="Style10"/>
                        <w:shd w:val="clear" w:color="auto" w:fill="auto"/>
                        <w:spacing w:after="60" w:line="240" w:lineRule="auto"/>
                      </w:pPr>
                      <w:r>
                        <w:t>Národní muzeum</w:t>
                      </w:r>
                    </w:p>
                    <w:p w14:paraId="10100D8A" w14:textId="77777777" w:rsidR="008D2355" w:rsidRDefault="00D45367">
                      <w:pPr>
                        <w:pStyle w:val="Style10"/>
                        <w:shd w:val="clear" w:color="auto" w:fill="auto"/>
                        <w:spacing w:after="60" w:line="240" w:lineRule="auto"/>
                      </w:pPr>
                      <w:r>
                        <w:t>Ing. Martin Souček PhD.</w:t>
                      </w:r>
                    </w:p>
                    <w:p w14:paraId="5A93197E" w14:textId="77777777" w:rsidR="008D2355" w:rsidRDefault="00D45367">
                      <w:pPr>
                        <w:pStyle w:val="Style10"/>
                        <w:shd w:val="clear" w:color="auto" w:fill="auto"/>
                        <w:spacing w:after="60" w:line="240" w:lineRule="auto"/>
                      </w:pPr>
                      <w:r>
                        <w:t>ředitel Odboru digitalizace a informačních systémů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713740" distL="0" distR="0" simplePos="0" relativeHeight="125829378" behindDoc="0" locked="0" layoutInCell="1" allowOverlap="1" wp14:anchorId="1BFED47B" wp14:editId="7E2B0927">
                <wp:simplePos x="0" y="0"/>
                <wp:positionH relativeFrom="page">
                  <wp:posOffset>942975</wp:posOffset>
                </wp:positionH>
                <wp:positionV relativeFrom="paragraph">
                  <wp:posOffset>1445260</wp:posOffset>
                </wp:positionV>
                <wp:extent cx="1167130" cy="5619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D546E4" w14:textId="56448131" w:rsidR="008D2355" w:rsidRDefault="008D2355">
                            <w:pPr>
                              <w:pStyle w:val="Style17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ED47B" id="Shape 7" o:spid="_x0000_s1027" type="#_x0000_t202" style="position:absolute;left:0;text-align:left;margin-left:74.25pt;margin-top:113.8pt;width:91.9pt;height:44.25pt;z-index:125829378;visibility:visible;mso-wrap-style:square;mso-height-percent:0;mso-wrap-distance-left:0;mso-wrap-distance-top:56pt;mso-wrap-distance-right:0;mso-wrap-distance-bottom:56.2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WkjAEAABYDAAAOAAAAZHJzL2Uyb0RvYy54bWysUttKAzEQfRf8h5B3u92KrS7dFqVUBFGh&#10;+gFpNukGNpmQxO72751kt63om/iSTOZy5syZzJedbsheOK/AlDQfjSkRhkOlzK6kH+/rq1tKfGCm&#10;Yg0YUdKD8HS5uLyYt7YQE6ihqYQjCGJ80dqS1iHYIss8r4VmfgRWGAxKcJoFfLpdVjnWIrpussl4&#10;PM1acJV1wIX36F31QbpI+FIKHl6l9CKQpqTILaTTpXMbz2wxZ8XOMVsrPtBgf2ChmTLY9AS1YoGR&#10;T6d+QWnFHXiQYcRBZyCl4iLNgNPk4x/TbGpmRZoFxfH2JJP/P1j+sn9zRFUlnVFimMYVpa5kFqVp&#10;rS8wY2MxJ3QP0OGKj36PzjhxJ52ON85CMI4iH07Cii4QHovy6Sy/xhDH2M00v5vdRJjsXG2dD48C&#10;NIlGSR0uLunJ9s8+9KnHlNjMwFo1TfRHij2VaIVu2w28t1AdkHbzZFCuuPqj4Y7GdjB6wPvPAFKl&#10;XhGpLx8aoPiJ7fBR4na/v1PW+TsvvgAAAP//AwBQSwMEFAAGAAgAAAAhAB3koNzgAAAACwEAAA8A&#10;AABkcnMvZG93bnJldi54bWxMj01PwzAMhu9I/IfISNxY+gFllKbThOCEhOjKgWPaeG21xilNtpV/&#10;jznBza/86PXjYrPYUZxw9oMjBfEqAoHUOjNQp+CjfrlZg/BBk9GjI1TwjR425eVFoXPjzlThaRc6&#10;wSXkc62gD2HKpfRtj1b7lZuQeLd3s9WB49xJM+szl9tRJlGUSasH4gu9nvCpx/awO1oF20+qnoev&#10;t+a92ldDXT9E9JodlLq+WraPIAIu4Q+GX31Wh5KdGnck48XI+XZ9x6iCJLnPQDCRpkkKouEhzmKQ&#10;ZSH//1D+AAAA//8DAFBLAQItABQABgAIAAAAIQC2gziS/gAAAOEBAAATAAAAAAAAAAAAAAAAAAAA&#10;AABbQ29udGVudF9UeXBlc10ueG1sUEsBAi0AFAAGAAgAAAAhADj9If/WAAAAlAEAAAsAAAAAAAAA&#10;AAAAAAAALwEAAF9yZWxzLy5yZWxzUEsBAi0AFAAGAAgAAAAhAAlzJaSMAQAAFgMAAA4AAAAAAAAA&#10;AAAAAAAALgIAAGRycy9lMm9Eb2MueG1sUEsBAi0AFAAGAAgAAAAhAB3koNzgAAAACwEAAA8AAAAA&#10;AAAAAAAAAAAA5gMAAGRycy9kb3ducmV2LnhtbFBLBQYAAAAABAAEAPMAAADzBAAAAAA=&#10;" filled="f" stroked="f">
                <v:textbox inset="0,0,0,0">
                  <w:txbxContent>
                    <w:p w14:paraId="16D546E4" w14:textId="56448131" w:rsidR="008D2355" w:rsidRDefault="008D2355">
                      <w:pPr>
                        <w:pStyle w:val="Style17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Smluvní strany prohlašují, že tato s</w:t>
      </w:r>
      <w:r>
        <w:t>mlouva byla sepsána podle jejich pravé a svobodné vůle, nikoli v tísni nebo za jinak jednostranně nevýhodných podmínek. Smlouvu si přečetly, souhlasí bez výhrad s jejím obsahem a na důkaz toho připojují své podpisy.</w:t>
      </w:r>
    </w:p>
    <w:p w14:paraId="186E049C" w14:textId="1059DBCF" w:rsidR="008D2355" w:rsidRDefault="00D45367">
      <w:pPr>
        <w:spacing w:line="1" w:lineRule="exact"/>
        <w:sectPr w:rsidR="008D2355">
          <w:headerReference w:type="default" r:id="rId12"/>
          <w:footerReference w:type="default" r:id="rId13"/>
          <w:pgSz w:w="11909" w:h="16834"/>
          <w:pgMar w:top="702" w:right="1395" w:bottom="855" w:left="1407" w:header="274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7550" distB="685800" distL="0" distR="0" simplePos="0" relativeHeight="125829380" behindDoc="0" locked="0" layoutInCell="1" allowOverlap="1" wp14:anchorId="60470F68" wp14:editId="33E733C9">
                <wp:simplePos x="0" y="0"/>
                <wp:positionH relativeFrom="page">
                  <wp:posOffset>2165985</wp:posOffset>
                </wp:positionH>
                <wp:positionV relativeFrom="paragraph">
                  <wp:posOffset>717550</wp:posOffset>
                </wp:positionV>
                <wp:extent cx="1182370" cy="9144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FFD14" w14:textId="57DE6D84" w:rsidR="008D2355" w:rsidRDefault="008D2355">
                            <w:pPr>
                              <w:pStyle w:val="Style10"/>
                              <w:shd w:val="clear" w:color="auto" w:fill="auto"/>
                              <w:spacing w:after="0" w:line="295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470F68" id="Shape 9" o:spid="_x0000_s1028" type="#_x0000_t202" style="position:absolute;margin-left:170.55pt;margin-top:56.5pt;width:93.1pt;height:1in;z-index:125829380;visibility:visible;mso-wrap-style:square;mso-wrap-distance-left:0;mso-wrap-distance-top:56.5pt;mso-wrap-distance-right:0;mso-wrap-distance-bottom:5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YogwEAAAMDAAAOAAAAZHJzL2Uyb0RvYy54bWysUlFLwzAQfhf8DyHvrt0cupV1AxkTQVSY&#10;/oA0TdZAkwtJXLt/7yVbN9E38SW93l2++77vslj1uiV74bwCU9LxKKdEGA61MruSfrxvbmaU+MBM&#10;zVowoqQH4elqeX216GwhJtBAWwtHEMT4orMlbUKwRZZ53gjN/AisMFiU4DQL+Ot2We1Yh+i6zSZ5&#10;fpd14GrrgAvvMbs+Fuky4UspeHiV0otA2pIit5BOl84qntlywYqdY7ZR/ESD/YGFZsrg0DPUmgVG&#10;Pp36BaUVd+BBhhEHnYGUioukAdWM8x9qtg2zImlBc7w92+T/D5a/7N8cUXVJ55QYpnFFaSqZR2s6&#10;6wvs2FrsCf0D9LjiIe8xGRX30un4RS0E62jy4Wys6APh8dJ4Nrm9xxLH2nw8nebJ+exy2zofHgVo&#10;EoOSOlxc8pPtn31AJtg6tMRhBjaqbWM+UjxSiVHoqz6pOdOsoD4g+/bJoGvxBQyBG4LqFAxo6HSa&#10;d3oVcZXf/9PMy9tdfgEAAP//AwBQSwMEFAAGAAgAAAAhAD5WPSbgAAAACwEAAA8AAABkcnMvZG93&#10;bnJldi54bWxMj8FOwzAQRO9I/IO1SNyonYS2EOJUFYITEiINB45O7CZW43WI3Tb8PcupHFfzNPum&#10;2MxuYCczBetRQrIQwAy2XlvsJHzWr3cPwEJUqNXg0Uj4MQE25fVVoXLtz1iZ0y52jEow5EpCH+OY&#10;cx7a3jgVFn40SNneT05FOqeO60mdqdwNPBVixZ2ySB96NZrn3rSH3dFJ2H5h9WK/35uPal/Zun4U&#10;+LY6SHl7M2+fgEUzxwsMf/qkDiU5Nf6IOrBBQnafJIRSkGQ0iohlus6ANRLS5VoALwv+f0P5CwAA&#10;//8DAFBLAQItABQABgAIAAAAIQC2gziS/gAAAOEBAAATAAAAAAAAAAAAAAAAAAAAAABbQ29udGVu&#10;dF9UeXBlc10ueG1sUEsBAi0AFAAGAAgAAAAhADj9If/WAAAAlAEAAAsAAAAAAAAAAAAAAAAALwEA&#10;AF9yZWxzLy5yZWxzUEsBAi0AFAAGAAgAAAAhABLMpiiDAQAAAwMAAA4AAAAAAAAAAAAAAAAALgIA&#10;AGRycy9lMm9Eb2MueG1sUEsBAi0AFAAGAAgAAAAhAD5WPSbgAAAACwEAAA8AAAAAAAAAAAAAAAAA&#10;3QMAAGRycy9kb3ducmV2LnhtbFBLBQYAAAAABAAEAPMAAADqBAAAAAA=&#10;" filled="f" stroked="f">
                <v:textbox inset="0,0,0,0">
                  <w:txbxContent>
                    <w:p w14:paraId="42FFFD14" w14:textId="57DE6D84" w:rsidR="008D2355" w:rsidRDefault="008D2355">
                      <w:pPr>
                        <w:pStyle w:val="Style10"/>
                        <w:shd w:val="clear" w:color="auto" w:fill="auto"/>
                        <w:spacing w:after="0" w:line="295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77290" distB="3810" distL="0" distR="0" simplePos="0" relativeHeight="125829384" behindDoc="0" locked="0" layoutInCell="1" allowOverlap="1" wp14:anchorId="2446CA79" wp14:editId="07777777">
                <wp:simplePos x="0" y="0"/>
                <wp:positionH relativeFrom="page">
                  <wp:posOffset>4470400</wp:posOffset>
                </wp:positionH>
                <wp:positionV relativeFrom="paragraph">
                  <wp:posOffset>1177290</wp:posOffset>
                </wp:positionV>
                <wp:extent cx="2018030" cy="11366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136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86CD5" w14:textId="54E68F3C" w:rsidR="008D2355" w:rsidRDefault="008D2355" w:rsidP="00D45367">
                            <w:pPr>
                              <w:pStyle w:val="Style19"/>
                              <w:shd w:val="clear" w:color="auto" w:fill="auto"/>
                              <w:spacing w:after="260"/>
                              <w:ind w:left="0" w:firstLine="0"/>
                            </w:pPr>
                          </w:p>
                          <w:p w14:paraId="72E5CA84" w14:textId="77777777" w:rsidR="008D2355" w:rsidRDefault="00D45367">
                            <w:pPr>
                              <w:pStyle w:val="Style10"/>
                              <w:shd w:val="clear" w:color="auto" w:fill="auto"/>
                              <w:spacing w:after="60" w:line="240" w:lineRule="auto"/>
                            </w:pPr>
                            <w:proofErr w:type="spellStart"/>
                            <w:r>
                              <w:t>Axiell</w:t>
                            </w:r>
                            <w:proofErr w:type="spellEnd"/>
                            <w:r>
                              <w:t>, s.r.o.</w:t>
                            </w:r>
                          </w:p>
                          <w:p w14:paraId="1AA75417" w14:textId="77777777" w:rsidR="008D2355" w:rsidRDefault="00D45367">
                            <w:pPr>
                              <w:pStyle w:val="Style1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Mgr. Pavel Mlčoch</w:t>
                            </w:r>
                          </w:p>
                          <w:p w14:paraId="51A37C16" w14:textId="77777777" w:rsidR="008D2355" w:rsidRDefault="00D45367">
                            <w:pPr>
                              <w:pStyle w:val="Style1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46CA79" id="Shape 13" o:spid="_x0000_s1029" type="#_x0000_t202" style="position:absolute;margin-left:352pt;margin-top:92.7pt;width:158.9pt;height:89.5pt;z-index:125829384;visibility:visible;mso-wrap-style:square;mso-wrap-distance-left:0;mso-wrap-distance-top:92.7pt;mso-wrap-distance-right:0;mso-wrap-distance-bottom: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TscgwEAAAYDAAAOAAAAZHJzL2Uyb0RvYy54bWysUlFLwzAQfhf8DyHvrt2GY5R1AxkTQVSY&#10;/oA0TdZAkwtJXLt/7yVbO9E38SW93F2/+77vstr0uiVH4bwCU9LpJKdEGA61MoeSfrzv7paU+MBM&#10;zVowoqQn4elmfXuz6mwhZtBAWwtHEMT4orMlbUKwRZZ53gjN/ASsMFiU4DQLeHWHrHasQ3TdZrM8&#10;X2QduNo64MJ7zG7PRbpO+FIKHl6l9CKQtqTILaTTpbOKZ7ZeseLgmG0Uv9Bgf2ChmTI4dITassDI&#10;p1O/oLTiDjzIMOGgM5BScZE0oJpp/kPNvmFWJC1ojrejTf7/YPnL8c0RVePu5pQYpnFHaSzBO5rT&#10;WV9gz95iV+gfoMfGIe8xGTX30un4RTUE62jzabRW9IFwTKK6ZT7HEsfadDpfLO6T+dn1d+t8eBSg&#10;SQxK6nB3yVJ2fPYBqWDr0BKnGdipto35yPHMJUahr/okaORfQX1C+u2TQePiIxgCNwTVJRjQ0Ow0&#10;7/Iw4ja/39PM6/NdfwEAAP//AwBQSwMEFAAGAAgAAAAhAMtdCgzhAAAADAEAAA8AAABkcnMvZG93&#10;bnJldi54bWxMj8FOwzAQRO9I/IO1SNyo3RJCm8apKgQnJNQ0HDg68TaxGq9D7Lbh73FPcFzNaPa9&#10;fDPZnp1x9MaRhPlMAENqnDbUSvis3h6WwHxQpFXvCCX8oIdNcXuTq0y7C5V43oeWxRHymZLQhTBk&#10;nPumQ6v8zA1IMTu40aoQz7HlelSXOG57vhAi5VYZih86NeBLh81xf7IStl9Uvprvj3pXHkpTVStB&#10;7+lRyvu7absGFnAKf2W44kd0KCJT7U6kPeslPIskuoQYLJ8SYNeGWMyjTS3hMU0S4EXO/0sUvwAA&#10;AP//AwBQSwECLQAUAAYACAAAACEAtoM4kv4AAADhAQAAEwAAAAAAAAAAAAAAAAAAAAAAW0NvbnRl&#10;bnRfVHlwZXNdLnhtbFBLAQItABQABgAIAAAAIQA4/SH/1gAAAJQBAAALAAAAAAAAAAAAAAAAAC8B&#10;AABfcmVscy8ucmVsc1BLAQItABQABgAIAAAAIQAN3TscgwEAAAYDAAAOAAAAAAAAAAAAAAAAAC4C&#10;AABkcnMvZTJvRG9jLnhtbFBLAQItABQABgAIAAAAIQDLXQoM4QAAAAwBAAAPAAAAAAAAAAAAAAAA&#10;AN0DAABkcnMvZG93bnJldi54bWxQSwUGAAAAAAQABADzAAAA6wQAAAAA&#10;" filled="f" stroked="f">
                <v:textbox inset="0,0,0,0">
                  <w:txbxContent>
                    <w:p w14:paraId="03A86CD5" w14:textId="54E68F3C" w:rsidR="008D2355" w:rsidRDefault="008D2355" w:rsidP="00D45367">
                      <w:pPr>
                        <w:pStyle w:val="Style19"/>
                        <w:shd w:val="clear" w:color="auto" w:fill="auto"/>
                        <w:spacing w:after="260"/>
                        <w:ind w:left="0" w:firstLine="0"/>
                      </w:pPr>
                    </w:p>
                    <w:p w14:paraId="72E5CA84" w14:textId="77777777" w:rsidR="008D2355" w:rsidRDefault="00D45367">
                      <w:pPr>
                        <w:pStyle w:val="Style10"/>
                        <w:shd w:val="clear" w:color="auto" w:fill="auto"/>
                        <w:spacing w:after="60" w:line="240" w:lineRule="auto"/>
                      </w:pPr>
                      <w:proofErr w:type="spellStart"/>
                      <w:r>
                        <w:t>Axiell</w:t>
                      </w:r>
                      <w:proofErr w:type="spellEnd"/>
                      <w:r>
                        <w:t>, s.r.o.</w:t>
                      </w:r>
                    </w:p>
                    <w:p w14:paraId="1AA75417" w14:textId="77777777" w:rsidR="008D2355" w:rsidRDefault="00D45367">
                      <w:pPr>
                        <w:pStyle w:val="Style10"/>
                        <w:shd w:val="clear" w:color="auto" w:fill="auto"/>
                        <w:spacing w:after="60" w:line="240" w:lineRule="auto"/>
                      </w:pPr>
                      <w:r>
                        <w:t>Mgr. Pavel Mlčoch</w:t>
                      </w:r>
                    </w:p>
                    <w:p w14:paraId="51A37C16" w14:textId="77777777" w:rsidR="008D2355" w:rsidRDefault="00D45367">
                      <w:pPr>
                        <w:pStyle w:val="Style10"/>
                        <w:shd w:val="clear" w:color="auto" w:fill="auto"/>
                        <w:spacing w:after="60" w:line="240" w:lineRule="auto"/>
                      </w:pPr>
                      <w:r>
                        <w:t>jednatel 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95705" distB="688975" distL="0" distR="0" simplePos="0" relativeHeight="125829386" behindDoc="0" locked="0" layoutInCell="1" allowOverlap="1" wp14:anchorId="776F2EE4" wp14:editId="07777777">
                <wp:simplePos x="0" y="0"/>
                <wp:positionH relativeFrom="page">
                  <wp:posOffset>4516120</wp:posOffset>
                </wp:positionH>
                <wp:positionV relativeFrom="paragraph">
                  <wp:posOffset>1195705</wp:posOffset>
                </wp:positionV>
                <wp:extent cx="777240" cy="4330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EF1B95" w14:textId="2C11C372" w:rsidR="008D2355" w:rsidRDefault="008D2355">
                            <w:pPr>
                              <w:pStyle w:val="Style2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6F2EE4" id="Shape 15" o:spid="_x0000_s1030" type="#_x0000_t202" style="position:absolute;margin-left:355.6pt;margin-top:94.15pt;width:61.2pt;height:34.1pt;z-index:125829386;visibility:visible;mso-wrap-style:square;mso-wrap-distance-left:0;mso-wrap-distance-top:94.15pt;mso-wrap-distance-right:0;mso-wrap-distance-bottom:5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BthAEAAAQDAAAOAAAAZHJzL2Uyb0RvYy54bWysUstOwzAQvCPxD5bvNOkDgqKmlVBVhIQA&#10;qfABrmM3lmKvZZsm/XvWbtMiuCEuznp3Mzsz6/my1y3ZC+cVmIqORzklwnColdlV9ON9fXNPiQ/M&#10;1KwFIyp6EJ4uF9dX886WYgINtLVwBEGMLztb0SYEW2aZ543QzI/ACoNFCU6zgFe3y2rHOkTXbTbJ&#10;87usA1dbB1x4j9nVsUgXCV9KwcOrlF4E0lYUuYV0unRu45kt5qzcOWYbxU802B9YaKYMDj1DrVhg&#10;5NOpX1BacQceZBhx0BlIqbhIGlDNOP+hZtMwK5IWNMfbs03+/2D5y/7NEVXj7m4pMUzjjtJYgnc0&#10;p7O+xJ6Nxa7QP0CPjUPeYzJq7qXT8YtqCNbR5sPZWtEHwjFZFMVkhhWOpdl0mhfJ+uzys3U+PArQ&#10;JAYVdbi5ZCjbP/uARLB1aImzDKxV28Z8ZHhkEqPQb/skZzaw3EJ9QPLtk0Hb4hMYAjcE21MwoKHV&#10;ad7pWcRdfr+nmZfHu/gCAAD//wMAUEsDBBQABgAIAAAAIQBKuZ6/4QAAAAsBAAAPAAAAZHJzL2Rv&#10;d25yZXYueG1sTI/LTsMwEEX3SPyDNUjsqPNQQwhxqgrBCqkiDQuWTuwmVuNxiN02/D3TFSxH9+je&#10;M+VmsSM769kbhwLiVQRMY+eUwV7AZ/P2kAPzQaKSo0Mt4Ed72FS3N6UslLtgrc/70DMqQV9IAUMI&#10;U8G57wZtpV+5SSNlBzdbGeice65meaFyO/IkijJupUFaGOSkXwbdHfcnK2D7hfWr+d61H/WhNk3z&#10;FOF7dhTi/m7ZPgMLegl/MFz1SR0qcmrdCZVno4DHOE4IpSDPU2BE5GmaAWsFJOtsDbwq+f8fql8A&#10;AAD//wMAUEsBAi0AFAAGAAgAAAAhALaDOJL+AAAA4QEAABMAAAAAAAAAAAAAAAAAAAAAAFtDb250&#10;ZW50X1R5cGVzXS54bWxQSwECLQAUAAYACAAAACEAOP0h/9YAAACUAQAACwAAAAAAAAAAAAAAAAAv&#10;AQAAX3JlbHMvLnJlbHNQSwECLQAUAAYACAAAACEAwelQbYQBAAAEAwAADgAAAAAAAAAAAAAAAAAu&#10;AgAAZHJzL2Uyb0RvYy54bWxQSwECLQAUAAYACAAAACEASrmev+EAAAALAQAADwAAAAAAAAAAAAAA&#10;AADeAwAAZHJzL2Rvd25yZXYueG1sUEsFBgAAAAAEAAQA8wAAAOwEAAAAAA==&#10;" filled="f" stroked="f">
                <v:textbox inset="0,0,0,0">
                  <w:txbxContent>
                    <w:p w14:paraId="7BEF1B95" w14:textId="2C11C372" w:rsidR="008D2355" w:rsidRDefault="008D2355">
                      <w:pPr>
                        <w:pStyle w:val="Style2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F24361" w14:textId="77777777" w:rsidR="008D2355" w:rsidRDefault="00D45367">
      <w:pPr>
        <w:pStyle w:val="Style2"/>
        <w:keepNext/>
        <w:keepLines/>
        <w:shd w:val="clear" w:color="auto" w:fill="auto"/>
        <w:spacing w:before="0" w:after="700"/>
      </w:pPr>
      <w:bookmarkStart w:id="27" w:name="bookmark32"/>
      <w:bookmarkStart w:id="28" w:name="bookmark33"/>
      <w:bookmarkStart w:id="29" w:name="bookmark34"/>
      <w:r>
        <w:lastRenderedPageBreak/>
        <w:t xml:space="preserve">Příloha </w:t>
      </w:r>
      <w:proofErr w:type="spellStart"/>
      <w:r>
        <w:t>č.l</w:t>
      </w:r>
      <w:proofErr w:type="spellEnd"/>
      <w:r>
        <w:t xml:space="preserve"> ke Smlouvě o poskytování služeb č.211211</w:t>
      </w:r>
      <w:bookmarkEnd w:id="27"/>
      <w:bookmarkEnd w:id="28"/>
      <w:bookmarkEnd w:id="29"/>
    </w:p>
    <w:p w14:paraId="63904040" w14:textId="77777777" w:rsidR="008D2355" w:rsidRDefault="00D45367">
      <w:pPr>
        <w:pStyle w:val="Style10"/>
        <w:shd w:val="clear" w:color="auto" w:fill="auto"/>
        <w:spacing w:after="140" w:line="334" w:lineRule="auto"/>
      </w:pPr>
      <w:r>
        <w:t>Rozsah poskytovaných služeb v rámci outsourcingu;</w:t>
      </w:r>
    </w:p>
    <w:p w14:paraId="274BF6F1" w14:textId="77777777" w:rsidR="008D2355" w:rsidRDefault="00D45367">
      <w:pPr>
        <w:pStyle w:val="Style10"/>
        <w:shd w:val="clear" w:color="auto" w:fill="auto"/>
        <w:spacing w:after="140" w:line="334" w:lineRule="auto"/>
      </w:pPr>
      <w:r>
        <w:rPr>
          <w:b/>
          <w:bCs/>
        </w:rPr>
        <w:t xml:space="preserve">Provoz systému </w:t>
      </w:r>
      <w:r>
        <w:t>MUSEION-ONLINE pro uživatele Objednatele s přístupem z počítačové sítě Objednatele i mimo ni a s garantovanou dostupností 99,5 % času v rámci kalendářního měsíce. Systém se považuje za dostupný, pokud se uživatel může k němu přihlásit, může procházet a upr</w:t>
      </w:r>
      <w:r>
        <w:t>avovat datový obsah systému v rozsahu svých oprávnění a může využívat kompletní funkčnost systému.</w:t>
      </w:r>
    </w:p>
    <w:p w14:paraId="720D9594" w14:textId="5AD007C4" w:rsidR="008D2355" w:rsidRDefault="72CAE1B0">
      <w:pPr>
        <w:pStyle w:val="Style10"/>
        <w:shd w:val="clear" w:color="auto" w:fill="auto"/>
        <w:spacing w:after="620" w:line="334" w:lineRule="auto"/>
      </w:pPr>
      <w:r>
        <w:rPr>
          <w:b/>
          <w:bCs/>
        </w:rPr>
        <w:t xml:space="preserve">Podpora uživatelů: </w:t>
      </w:r>
      <w:r>
        <w:t xml:space="preserve">služba </w:t>
      </w:r>
      <w:r>
        <w:rPr>
          <w:lang w:val="en-US" w:eastAsia="en-US" w:bidi="en-US"/>
        </w:rPr>
        <w:t>helpdesk (</w:t>
      </w:r>
      <w:proofErr w:type="spellStart"/>
      <w:r w:rsidR="2CBE853C">
        <w:rPr>
          <w:lang w:val="en-US" w:eastAsia="en-US" w:bidi="en-US"/>
        </w:rPr>
        <w:t>xxxxxxxxxxxx</w:t>
      </w:r>
      <w:proofErr w:type="spellEnd"/>
      <w:r>
        <w:rPr>
          <w:lang w:val="en-US" w:eastAsia="en-US" w:bidi="en-US"/>
        </w:rPr>
        <w:t xml:space="preserve">), </w:t>
      </w:r>
      <w:r>
        <w:t xml:space="preserve">poskytování podpory prostřednictvím elektronické pošty </w:t>
      </w:r>
      <w:r>
        <w:rPr>
          <w:lang w:val="en-US" w:eastAsia="en-US" w:bidi="en-US"/>
        </w:rPr>
        <w:t>(</w:t>
      </w:r>
      <w:proofErr w:type="spellStart"/>
      <w:r w:rsidR="68373BC8">
        <w:rPr>
          <w:lang w:val="en-US" w:eastAsia="en-US" w:bidi="en-US"/>
        </w:rPr>
        <w:t>xxxxxxxxxxxx</w:t>
      </w:r>
      <w:proofErr w:type="spellEnd"/>
      <w:r>
        <w:rPr>
          <w:lang w:val="en-US" w:eastAsia="en-US" w:bidi="en-US"/>
        </w:rPr>
        <w:t xml:space="preserve">) </w:t>
      </w:r>
      <w:r>
        <w:t xml:space="preserve">a telefonické poradenství v pracovní dny v době od 8:00 do 16:00 (tel. </w:t>
      </w:r>
      <w:proofErr w:type="spellStart"/>
      <w:r w:rsidR="69A5197E">
        <w:t>xxxxxxxxxxxxxx</w:t>
      </w:r>
      <w:proofErr w:type="spellEnd"/>
      <w:r>
        <w:t>).</w:t>
      </w:r>
    </w:p>
    <w:p w14:paraId="4862B7C4" w14:textId="77777777" w:rsidR="008D2355" w:rsidRDefault="00D45367">
      <w:pPr>
        <w:pStyle w:val="Style8"/>
        <w:keepNext/>
        <w:keepLines/>
        <w:shd w:val="clear" w:color="auto" w:fill="auto"/>
        <w:spacing w:after="140" w:line="334" w:lineRule="auto"/>
        <w:jc w:val="left"/>
      </w:pPr>
      <w:bookmarkStart w:id="30" w:name="bookmark35"/>
      <w:bookmarkStart w:id="31" w:name="bookmark36"/>
      <w:bookmarkStart w:id="32" w:name="bookmark37"/>
      <w:r>
        <w:t>Údržba a vývoj MUSEION-ONLINE v následujícím rozsahu:</w:t>
      </w:r>
      <w:bookmarkEnd w:id="30"/>
      <w:bookmarkEnd w:id="31"/>
      <w:bookmarkEnd w:id="32"/>
    </w:p>
    <w:p w14:paraId="2F1F402F" w14:textId="77777777" w:rsidR="008D2355" w:rsidRDefault="00D45367">
      <w:pPr>
        <w:pStyle w:val="Style10"/>
        <w:numPr>
          <w:ilvl w:val="0"/>
          <w:numId w:val="9"/>
        </w:numPr>
        <w:shd w:val="clear" w:color="auto" w:fill="auto"/>
        <w:tabs>
          <w:tab w:val="left" w:pos="720"/>
        </w:tabs>
        <w:spacing w:after="0" w:line="326" w:lineRule="auto"/>
        <w:ind w:left="740" w:hanging="380"/>
      </w:pPr>
      <w:r>
        <w:t>úpravy a rozvoj systému MUSEION, provozovaném v rámci služby MUSEION-ONLINE, provedené na základě požadavků Objedn</w:t>
      </w:r>
      <w:r>
        <w:t>atele a rozhodnutí Poskytovatele</w:t>
      </w:r>
    </w:p>
    <w:p w14:paraId="02576095" w14:textId="77777777" w:rsidR="008D2355" w:rsidRDefault="00D45367">
      <w:pPr>
        <w:pStyle w:val="Style10"/>
        <w:numPr>
          <w:ilvl w:val="0"/>
          <w:numId w:val="9"/>
        </w:numPr>
        <w:shd w:val="clear" w:color="auto" w:fill="auto"/>
        <w:tabs>
          <w:tab w:val="left" w:pos="720"/>
        </w:tabs>
        <w:spacing w:after="620" w:line="326" w:lineRule="auto"/>
        <w:ind w:firstLine="360"/>
      </w:pPr>
      <w:r>
        <w:t>úpravy systému na základě legislativních změn</w:t>
      </w:r>
    </w:p>
    <w:p w14:paraId="4B83E28E" w14:textId="77777777" w:rsidR="008D2355" w:rsidRDefault="00D45367">
      <w:pPr>
        <w:pStyle w:val="Style10"/>
        <w:shd w:val="clear" w:color="auto" w:fill="auto"/>
        <w:spacing w:after="620" w:line="331" w:lineRule="auto"/>
      </w:pPr>
      <w:r>
        <w:t>Výše uvedený vývoj bude poskytovatelem implementován jako nové verze MUSEION v termínech dle rozhodnutí Objednatele.</w:t>
      </w:r>
    </w:p>
    <w:p w14:paraId="07CF74D9" w14:textId="77777777" w:rsidR="008D2355" w:rsidRDefault="00D45367">
      <w:pPr>
        <w:pStyle w:val="Style10"/>
        <w:shd w:val="clear" w:color="auto" w:fill="auto"/>
        <w:spacing w:after="620" w:line="336" w:lineRule="auto"/>
      </w:pPr>
      <w:r>
        <w:t xml:space="preserve">Nové verze budou pro Objednatele k dispozici </w:t>
      </w:r>
      <w:r>
        <w:rPr>
          <w:lang w:val="en-US" w:eastAsia="en-US" w:bidi="en-US"/>
        </w:rPr>
        <w:t xml:space="preserve">online </w:t>
      </w:r>
      <w:r>
        <w:t xml:space="preserve">po instalaci na server </w:t>
      </w:r>
      <w:r>
        <w:rPr>
          <w:lang w:val="en-US" w:eastAsia="en-US" w:bidi="en-US"/>
        </w:rPr>
        <w:t>MUSEION</w:t>
      </w:r>
      <w:r>
        <w:rPr>
          <w:lang w:val="en-US" w:eastAsia="en-US" w:bidi="en-US"/>
        </w:rPr>
        <w:softHyphen/>
        <w:t>ONLINE.</w:t>
      </w:r>
    </w:p>
    <w:p w14:paraId="5BC54C41" w14:textId="77777777" w:rsidR="008D2355" w:rsidRDefault="00D45367">
      <w:pPr>
        <w:pStyle w:val="Style10"/>
        <w:shd w:val="clear" w:color="auto" w:fill="auto"/>
        <w:spacing w:after="140" w:line="334" w:lineRule="auto"/>
      </w:pPr>
      <w:r>
        <w:t>ÚDRŽBA MUSEION-ONLINE</w:t>
      </w:r>
    </w:p>
    <w:p w14:paraId="4E23BD86" w14:textId="77777777" w:rsidR="008D2355" w:rsidRDefault="00D45367">
      <w:pPr>
        <w:pStyle w:val="Style10"/>
        <w:shd w:val="clear" w:color="auto" w:fill="auto"/>
        <w:spacing w:after="140" w:line="334" w:lineRule="auto"/>
      </w:pPr>
      <w:r>
        <w:t>Údržba systému pokrývá níže uvedené práce:</w:t>
      </w:r>
    </w:p>
    <w:p w14:paraId="6FA61B4F" w14:textId="77777777" w:rsidR="008D2355" w:rsidRDefault="00D45367">
      <w:pPr>
        <w:pStyle w:val="Style10"/>
        <w:numPr>
          <w:ilvl w:val="0"/>
          <w:numId w:val="9"/>
        </w:numPr>
        <w:shd w:val="clear" w:color="auto" w:fill="auto"/>
        <w:tabs>
          <w:tab w:val="left" w:pos="720"/>
        </w:tabs>
        <w:spacing w:after="0" w:line="334" w:lineRule="auto"/>
        <w:ind w:firstLine="360"/>
      </w:pPr>
      <w:r>
        <w:t xml:space="preserve">instalace a zabezpečení přístupů pomocí </w:t>
      </w:r>
      <w:r>
        <w:rPr>
          <w:lang w:val="en-US" w:eastAsia="en-US" w:bidi="en-US"/>
        </w:rPr>
        <w:t xml:space="preserve">https </w:t>
      </w:r>
      <w:r>
        <w:t>certifikátu</w:t>
      </w:r>
    </w:p>
    <w:p w14:paraId="7B793F87" w14:textId="77777777" w:rsidR="008D2355" w:rsidRDefault="00D45367">
      <w:pPr>
        <w:pStyle w:val="Style10"/>
        <w:numPr>
          <w:ilvl w:val="0"/>
          <w:numId w:val="9"/>
        </w:numPr>
        <w:shd w:val="clear" w:color="auto" w:fill="auto"/>
        <w:tabs>
          <w:tab w:val="left" w:pos="720"/>
        </w:tabs>
        <w:spacing w:after="0" w:line="334" w:lineRule="auto"/>
        <w:ind w:firstLine="360"/>
      </w:pPr>
      <w:r>
        <w:t>provádění bezpečnostních aktualizací serve</w:t>
      </w:r>
      <w:r>
        <w:t>rů MUSEION-ONLINE</w:t>
      </w:r>
    </w:p>
    <w:p w14:paraId="677E31F7" w14:textId="77777777" w:rsidR="008D2355" w:rsidRDefault="00D45367">
      <w:pPr>
        <w:pStyle w:val="Style10"/>
        <w:numPr>
          <w:ilvl w:val="0"/>
          <w:numId w:val="9"/>
        </w:numPr>
        <w:shd w:val="clear" w:color="auto" w:fill="auto"/>
        <w:tabs>
          <w:tab w:val="left" w:pos="720"/>
        </w:tabs>
        <w:spacing w:after="0" w:line="334" w:lineRule="auto"/>
        <w:ind w:firstLine="360"/>
      </w:pPr>
      <w:r>
        <w:t xml:space="preserve">pravidelné optimalizace výkonu </w:t>
      </w:r>
      <w:proofErr w:type="spellStart"/>
      <w:r>
        <w:t>Museion</w:t>
      </w:r>
      <w:proofErr w:type="spellEnd"/>
      <w:r>
        <w:t>, jeho databáze a řešení jako celku</w:t>
      </w:r>
    </w:p>
    <w:p w14:paraId="2262C2B9" w14:textId="77777777" w:rsidR="008D2355" w:rsidRDefault="00D45367">
      <w:pPr>
        <w:pStyle w:val="Style10"/>
        <w:numPr>
          <w:ilvl w:val="0"/>
          <w:numId w:val="9"/>
        </w:numPr>
        <w:shd w:val="clear" w:color="auto" w:fill="auto"/>
        <w:tabs>
          <w:tab w:val="left" w:pos="720"/>
        </w:tabs>
        <w:spacing w:after="0" w:line="334" w:lineRule="auto"/>
        <w:ind w:firstLine="360"/>
      </w:pPr>
      <w:r>
        <w:t>základní kontrola konzistence databáze</w:t>
      </w:r>
    </w:p>
    <w:p w14:paraId="3D8B0A0C" w14:textId="77777777" w:rsidR="008D2355" w:rsidRDefault="00D45367">
      <w:pPr>
        <w:pStyle w:val="Style10"/>
        <w:numPr>
          <w:ilvl w:val="0"/>
          <w:numId w:val="9"/>
        </w:numPr>
        <w:shd w:val="clear" w:color="auto" w:fill="auto"/>
        <w:tabs>
          <w:tab w:val="left" w:pos="720"/>
        </w:tabs>
        <w:spacing w:after="140" w:line="334" w:lineRule="auto"/>
        <w:ind w:firstLine="360"/>
      </w:pPr>
      <w:r>
        <w:t>zálohování kompletních dat</w:t>
      </w:r>
    </w:p>
    <w:sectPr w:rsidR="008D2355">
      <w:headerReference w:type="default" r:id="rId14"/>
      <w:footerReference w:type="default" r:id="rId15"/>
      <w:pgSz w:w="11909" w:h="16834"/>
      <w:pgMar w:top="1402" w:right="1432" w:bottom="1402" w:left="14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A7DF" w14:textId="77777777" w:rsidR="00000000" w:rsidRDefault="00D45367">
      <w:r>
        <w:separator/>
      </w:r>
    </w:p>
  </w:endnote>
  <w:endnote w:type="continuationSeparator" w:id="0">
    <w:p w14:paraId="625BF48D" w14:textId="77777777" w:rsidR="00000000" w:rsidRDefault="00D4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3E5D" w14:textId="77777777" w:rsidR="008D2355" w:rsidRDefault="00D453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B3F08C6" wp14:editId="07777777">
              <wp:simplePos x="0" y="0"/>
              <wp:positionH relativeFrom="page">
                <wp:posOffset>3738880</wp:posOffset>
              </wp:positionH>
              <wp:positionV relativeFrom="page">
                <wp:posOffset>10134600</wp:posOffset>
              </wp:positionV>
              <wp:extent cx="57785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A645E" w14:textId="77777777" w:rsidR="008D2355" w:rsidRDefault="00D45367">
                          <w:pPr>
                            <w:pStyle w:val="Style4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43D969AE">
            <v:shape id="_x0000_s1029" style="position:absolute;margin-left:294.40000000000003pt;margin-top:798.pt;width:4.5499999999999998pt;height:7.7000000000000002pt;z-index:-188744061;mso-wrap-style:none;mso-wrap-distance-left:0;mso-wrap-distance-right:0;mso-position-horizontal-relative:page;mso-position-vertical-relative:page" wrapcoords="0 0" filled="f" stroked="f" type="#_x0000_t202">
              <v:textbox style="mso-fit-shape-to-text:t" inset="0,0,0,0">
                <w:txbxContent>
                  <w:p w14:paraId="00B8D6FB" wp14:textId="77777777"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hAnsi="Arial" w:eastAsia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8B94" w14:textId="77777777" w:rsidR="008D2355" w:rsidRDefault="00D453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B610BEE" wp14:editId="07777777">
              <wp:simplePos x="0" y="0"/>
              <wp:positionH relativeFrom="page">
                <wp:posOffset>3740150</wp:posOffset>
              </wp:positionH>
              <wp:positionV relativeFrom="page">
                <wp:posOffset>10203815</wp:posOffset>
              </wp:positionV>
              <wp:extent cx="6096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FC7B24" w14:textId="77777777" w:rsidR="008D2355" w:rsidRDefault="00D45367">
                          <w:pPr>
                            <w:pStyle w:val="Style4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73AE5646">
            <v:shape id="_x0000_s1031" style="position:absolute;margin-left:294.5pt;margin-top:803.45000000000005pt;width:4.7999999999999998pt;height:7.9000000000000004pt;z-index:-188744059;mso-wrap-style:none;mso-wrap-distance-left:0;mso-wrap-distance-right:0;mso-position-horizontal-relative:page;mso-position-vertical-relative:page" wrapcoords="0 0" filled="f" stroked="f" type="#_x0000_t202">
              <v:textbox style="mso-fit-shape-to-text:t" inset="0,0,0,0">
                <w:txbxContent>
                  <w:p w14:paraId="46AE0C79" wp14:textId="77777777"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hAnsi="Arial" w:eastAsia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A141" w14:textId="77777777" w:rsidR="008D2355" w:rsidRDefault="00D453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650C688" wp14:editId="07777777">
              <wp:simplePos x="0" y="0"/>
              <wp:positionH relativeFrom="page">
                <wp:posOffset>3738880</wp:posOffset>
              </wp:positionH>
              <wp:positionV relativeFrom="page">
                <wp:posOffset>10134600</wp:posOffset>
              </wp:positionV>
              <wp:extent cx="57785" cy="977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F029D" w14:textId="77777777" w:rsidR="008D2355" w:rsidRDefault="00D45367">
                          <w:pPr>
                            <w:pStyle w:val="Style4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206DE707">
            <v:shape id="_x0000_s1045" style="position:absolute;margin-left:294.40000000000003pt;margin-top:798.pt;width:4.5499999999999998pt;height:7.7000000000000002pt;z-index:-188744055;mso-wrap-style:none;mso-wrap-distance-left:0;mso-wrap-distance-right:0;mso-position-horizontal-relative:page;mso-position-vertical-relative:page" wrapcoords="0 0" filled="f" stroked="f" type="#_x0000_t202">
              <v:textbox style="mso-fit-shape-to-text:t" inset="0,0,0,0">
                <w:txbxContent>
                  <w:p w14:paraId="1FCF10CF" wp14:textId="77777777"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hAnsi="Arial" w:eastAsia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6C7B" w14:textId="77777777" w:rsidR="008D2355" w:rsidRDefault="008D2355"/>
  </w:footnote>
  <w:footnote w:type="continuationSeparator" w:id="0">
    <w:p w14:paraId="02EB378F" w14:textId="77777777" w:rsidR="008D2355" w:rsidRDefault="008D23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EA33" w14:textId="77777777" w:rsidR="008D2355" w:rsidRDefault="00D453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B19A1E9" wp14:editId="07777777">
              <wp:simplePos x="0" y="0"/>
              <wp:positionH relativeFrom="page">
                <wp:posOffset>5552440</wp:posOffset>
              </wp:positionH>
              <wp:positionV relativeFrom="page">
                <wp:posOffset>463550</wp:posOffset>
              </wp:positionV>
              <wp:extent cx="1085215" cy="140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21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106F8" w14:textId="77777777" w:rsidR="008D2355" w:rsidRDefault="00D45367">
                          <w:pPr>
                            <w:pStyle w:val="Style4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Č.j.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2021/5555/NM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546175A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margin-left:437.19999999999999pt;margin-top:36.5pt;width:85.450000000000003pt;height:11.050000000000001pt;z-index:-188744063;mso-wrap-style:none;mso-wrap-distance-left:0;mso-wrap-distance-right:0;mso-position-horizontal-relative:page;mso-position-vertical-relative:page" wrapcoords="0 0" filled="f" stroked="f" type="#_x0000_t202">
              <v:textbox style="mso-fit-shape-to-text:t" inset="0,0,0,0">
                <w:txbxContent>
                  <w:p w14:paraId="15B6E468" wp14:textId="77777777"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Č.j. 2021/5555/NM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501D" w14:textId="77777777" w:rsidR="008D2355" w:rsidRDefault="008D23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5E95" w14:textId="77777777" w:rsidR="008D2355" w:rsidRDefault="00D453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AA2EC37" wp14:editId="07777777">
              <wp:simplePos x="0" y="0"/>
              <wp:positionH relativeFrom="page">
                <wp:posOffset>5552440</wp:posOffset>
              </wp:positionH>
              <wp:positionV relativeFrom="page">
                <wp:posOffset>463550</wp:posOffset>
              </wp:positionV>
              <wp:extent cx="1085215" cy="14033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21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4F8D7" w14:textId="77777777" w:rsidR="008D2355" w:rsidRDefault="00D45367">
                          <w:pPr>
                            <w:pStyle w:val="Style4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Č.j. 2021/5555/NM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06C97998">
            <v:shape id="_x0000_s1043" style="position:absolute;margin-left:437.19999999999999pt;margin-top:36.5pt;width:85.450000000000003pt;height:11.050000000000001pt;z-index:-188744057;mso-wrap-style:none;mso-wrap-distance-left:0;mso-wrap-distance-right:0;mso-position-horizontal-relative:page;mso-position-vertical-relative:page" wrapcoords="0 0" filled="f" stroked="f" type="#_x0000_t202">
              <v:textbox style="mso-fit-shape-to-text:t" inset="0,0,0,0">
                <w:txbxContent>
                  <w:p w14:paraId="74EFA7C1" wp14:textId="77777777"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Č.j. 2021/5555/NM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C29"/>
    <w:multiLevelType w:val="multilevel"/>
    <w:tmpl w:val="424CC0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056AAF"/>
    <w:multiLevelType w:val="multilevel"/>
    <w:tmpl w:val="31DE7DC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15B85"/>
    <w:multiLevelType w:val="multilevel"/>
    <w:tmpl w:val="92FE9E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F56FE"/>
    <w:multiLevelType w:val="multilevel"/>
    <w:tmpl w:val="14B606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22EFA"/>
    <w:multiLevelType w:val="multilevel"/>
    <w:tmpl w:val="D8C8FD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414594"/>
    <w:multiLevelType w:val="multilevel"/>
    <w:tmpl w:val="FADA12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1F3998"/>
    <w:multiLevelType w:val="multilevel"/>
    <w:tmpl w:val="7E62DD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4B35EB"/>
    <w:multiLevelType w:val="multilevel"/>
    <w:tmpl w:val="644A04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686670"/>
    <w:multiLevelType w:val="multilevel"/>
    <w:tmpl w:val="65CA9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59B23A"/>
    <w:rsid w:val="008D2355"/>
    <w:rsid w:val="00D45367"/>
    <w:rsid w:val="022A4CEC"/>
    <w:rsid w:val="0611E8A2"/>
    <w:rsid w:val="08806613"/>
    <w:rsid w:val="198A4CD0"/>
    <w:rsid w:val="2A084F9F"/>
    <w:rsid w:val="2CBE853C"/>
    <w:rsid w:val="33361809"/>
    <w:rsid w:val="3559B23A"/>
    <w:rsid w:val="5773786F"/>
    <w:rsid w:val="63AB108F"/>
    <w:rsid w:val="68373BC8"/>
    <w:rsid w:val="69A5197E"/>
    <w:rsid w:val="72CAE1B0"/>
    <w:rsid w:val="7AD893B8"/>
    <w:rsid w:val="7BBB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2F0A"/>
  <w15:docId w15:val="{979F55F5-76F4-44CB-A703-04A86E5D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before="160" w:after="820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280" w:line="307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280" w:line="307" w:lineRule="auto"/>
    </w:pPr>
    <w:rPr>
      <w:rFonts w:ascii="Arial" w:eastAsia="Arial" w:hAnsi="Arial" w:cs="Arial"/>
      <w:sz w:val="20"/>
      <w:szCs w:val="20"/>
    </w:rPr>
  </w:style>
  <w:style w:type="paragraph" w:customStyle="1" w:styleId="Style13">
    <w:name w:val="Style 13"/>
    <w:basedOn w:val="Normln"/>
    <w:link w:val="CharStyle1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280" w:line="307" w:lineRule="auto"/>
    </w:pPr>
    <w:rPr>
      <w:rFonts w:ascii="Arial" w:eastAsia="Arial" w:hAnsi="Arial" w:cs="Arial"/>
      <w:sz w:val="20"/>
      <w:szCs w:val="20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60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130" w:line="288" w:lineRule="auto"/>
      <w:ind w:left="1680" w:firstLine="20"/>
    </w:pPr>
    <w:rPr>
      <w:rFonts w:ascii="Arial" w:eastAsia="Arial" w:hAnsi="Arial" w:cs="Arial"/>
      <w:sz w:val="12"/>
      <w:szCs w:val="12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288" w:lineRule="auto"/>
    </w:pPr>
    <w:rPr>
      <w:rFonts w:ascii="Arial" w:eastAsia="Arial" w:hAnsi="Arial" w:cs="Arial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240"/>
      <w:jc w:val="center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iden_x010d_n_x00ed__x0020_syst_x00e9_m xmlns="29cf88d1-fac0-4e18-b4ca-b302876f48cf">
      <Value>Bach</Value>
    </Eviden_x010d_n_x00ed__x0020_syst_x00e9_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3" ma:contentTypeDescription="Vytvoří nový dokument" ma:contentTypeScope="" ma:versionID="8db91511f96c6abbbbad7ceea92b9739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5b66215efb933eb630f297ed4ef18d07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Eviden_x010d_n_x00ed__x0020_syst_x00e9_m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viden_x010d_n_x00ed__x0020_syst_x00e9_m" ma:index="16" nillable="true" ma:displayName="Evidenční systém" ma:default="Bach" ma:description="Zkušební sloupec" ma:internalName="Eviden_x010d_n_x00ed__x0020_syst_x00e9_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ach"/>
                        <xsd:enumeration value="Demus"/>
                        <xsd:enumeration value="Verbi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DCE9C-33C3-4241-92FD-BF4014E5763C}">
  <ds:schemaRefs>
    <ds:schemaRef ds:uri="http://schemas.microsoft.com/office/2006/metadata/properties"/>
    <ds:schemaRef ds:uri="http://schemas.microsoft.com/office/infopath/2007/PartnerControls"/>
    <ds:schemaRef ds:uri="29cf88d1-fac0-4e18-b4ca-b302876f48cf"/>
  </ds:schemaRefs>
</ds:datastoreItem>
</file>

<file path=customXml/itemProps2.xml><?xml version="1.0" encoding="utf-8"?>
<ds:datastoreItem xmlns:ds="http://schemas.openxmlformats.org/officeDocument/2006/customXml" ds:itemID="{E98D0192-528A-425C-8D4F-74010D3CA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58157-60D2-45B6-83FE-F3533C3CD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1330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Markéta</dc:creator>
  <cp:lastModifiedBy>Dvořáková Markéta</cp:lastModifiedBy>
  <cp:revision>2</cp:revision>
  <dcterms:created xsi:type="dcterms:W3CDTF">2022-01-18T10:46:00Z</dcterms:created>
  <dcterms:modified xsi:type="dcterms:W3CDTF">2022-01-18T10:46:00Z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</Properties>
</file>