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4977F" w14:textId="77777777" w:rsidR="00E10367" w:rsidRDefault="00E10367"/>
    <w:p w14:paraId="6FE4A179" w14:textId="77777777" w:rsidR="00E10367" w:rsidRDefault="00E10367"/>
    <w:p w14:paraId="3113A3F5" w14:textId="77777777" w:rsidR="00E10367" w:rsidRDefault="00E10367"/>
    <w:tbl>
      <w:tblPr>
        <w:tblW w:w="0" w:type="auto"/>
        <w:tblLook w:val="01E0" w:firstRow="1" w:lastRow="1" w:firstColumn="1" w:lastColumn="1" w:noHBand="0" w:noVBand="0"/>
      </w:tblPr>
      <w:tblGrid>
        <w:gridCol w:w="7586"/>
      </w:tblGrid>
      <w:tr w:rsidR="005216A4" w:rsidRPr="00F878C7" w14:paraId="776C69AA" w14:textId="77777777" w:rsidTr="00C6482A">
        <w:trPr>
          <w:trHeight w:val="5216"/>
        </w:trPr>
        <w:tc>
          <w:tcPr>
            <w:tcW w:w="7586" w:type="dxa"/>
            <w:shd w:val="clear" w:color="auto" w:fill="auto"/>
          </w:tcPr>
          <w:p w14:paraId="5985B15D" w14:textId="77777777" w:rsidR="005216A4" w:rsidRPr="00F878C7" w:rsidRDefault="005216A4" w:rsidP="00C6482A">
            <w:pPr>
              <w:ind w:left="1134"/>
              <w:rPr>
                <w:rFonts w:ascii="HelveticaNeueLT W1G 55 Roman" w:eastAsia="Calibri" w:hAnsi="HelveticaNeueLT W1G 55 Roman" w:cs="Arial"/>
                <w:b/>
                <w:lang w:val="cs-CZ"/>
              </w:rPr>
            </w:pPr>
            <w:proofErr w:type="spellStart"/>
            <w:r w:rsidRPr="00F878C7">
              <w:rPr>
                <w:rFonts w:ascii="HelveticaNeueLT W1G 55 Roman" w:eastAsia="Calibri" w:hAnsi="HelveticaNeueLT W1G 55 Roman" w:cs="Arial"/>
                <w:b/>
                <w:lang w:val="cs-CZ"/>
              </w:rPr>
              <w:t>Olympus</w:t>
            </w:r>
            <w:proofErr w:type="spellEnd"/>
            <w:r w:rsidRPr="00F878C7">
              <w:rPr>
                <w:rFonts w:ascii="HelveticaNeueLT W1G 55 Roman" w:eastAsia="Calibri" w:hAnsi="HelveticaNeueLT W1G 55 Roman" w:cs="Arial"/>
                <w:b/>
                <w:lang w:val="cs-CZ"/>
              </w:rPr>
              <w:t xml:space="preserve"> Czech Group, s.r.o., člen koncernu</w:t>
            </w:r>
          </w:p>
          <w:p w14:paraId="78F221EF" w14:textId="77777777" w:rsidR="005216A4" w:rsidRPr="00F878C7" w:rsidRDefault="005216A4" w:rsidP="00C6482A">
            <w:pPr>
              <w:spacing w:before="240" w:line="260" w:lineRule="atLeast"/>
              <w:ind w:left="1134"/>
              <w:jc w:val="both"/>
              <w:rPr>
                <w:rFonts w:ascii="HelveticaNeueLT W1G 55 Roman" w:eastAsia="Calibri" w:hAnsi="HelveticaNeueLT W1G 55 Roman" w:cs="Arial"/>
                <w:sz w:val="20"/>
                <w:lang w:val="cs-CZ"/>
              </w:rPr>
            </w:pPr>
            <w:r w:rsidRPr="00F878C7">
              <w:rPr>
                <w:rFonts w:ascii="HelveticaNeueLT W1G 55 Roman" w:eastAsia="Calibri" w:hAnsi="HelveticaNeueLT W1G 55 Roman" w:cs="Arial"/>
                <w:sz w:val="20"/>
                <w:lang w:val="cs-CZ"/>
              </w:rPr>
              <w:t>jako PRODÁVAJÍCÍ</w:t>
            </w:r>
          </w:p>
          <w:p w14:paraId="7C0CD644" w14:textId="77777777" w:rsidR="005216A4" w:rsidRPr="00F878C7" w:rsidRDefault="005216A4" w:rsidP="00C6482A">
            <w:pPr>
              <w:spacing w:before="240" w:line="260" w:lineRule="atLeast"/>
              <w:ind w:left="1134"/>
              <w:jc w:val="both"/>
              <w:rPr>
                <w:rFonts w:ascii="HelveticaNeueLT W1G 55 Roman" w:eastAsia="Calibri" w:hAnsi="HelveticaNeueLT W1G 55 Roman" w:cs="Arial"/>
                <w:b/>
                <w:lang w:val="cs-CZ"/>
              </w:rPr>
            </w:pPr>
          </w:p>
          <w:p w14:paraId="1384E611" w14:textId="77777777" w:rsidR="005216A4" w:rsidRPr="00F878C7" w:rsidRDefault="005216A4" w:rsidP="00C6482A">
            <w:pPr>
              <w:spacing w:before="240" w:line="260" w:lineRule="atLeast"/>
              <w:ind w:left="1134"/>
              <w:jc w:val="both"/>
              <w:rPr>
                <w:rFonts w:ascii="HelveticaNeueLT W1G 55 Roman" w:eastAsia="Calibri" w:hAnsi="HelveticaNeueLT W1G 55 Roman" w:cs="Arial"/>
                <w:b/>
                <w:lang w:val="cs-CZ"/>
              </w:rPr>
            </w:pPr>
          </w:p>
          <w:p w14:paraId="6C7ADB49" w14:textId="77777777" w:rsidR="005216A4" w:rsidRPr="00F878C7" w:rsidRDefault="005216A4" w:rsidP="00C6482A">
            <w:pPr>
              <w:spacing w:before="240" w:line="260" w:lineRule="atLeast"/>
              <w:ind w:left="1134"/>
              <w:jc w:val="both"/>
              <w:rPr>
                <w:rFonts w:ascii="HelveticaNeueLT W1G 55 Roman" w:eastAsia="Calibri" w:hAnsi="HelveticaNeueLT W1G 55 Roman" w:cs="Arial"/>
                <w:b/>
                <w:lang w:val="cs-CZ"/>
              </w:rPr>
            </w:pPr>
          </w:p>
          <w:p w14:paraId="67787D2E" w14:textId="77777777" w:rsidR="004B417A" w:rsidRPr="00F878C7" w:rsidRDefault="004B417A" w:rsidP="004B417A">
            <w:pPr>
              <w:spacing w:before="240" w:line="260" w:lineRule="atLeast"/>
              <w:ind w:left="1134"/>
              <w:jc w:val="both"/>
              <w:rPr>
                <w:rFonts w:ascii="HelveticaNeueLT W1G 55 Roman" w:eastAsia="Calibri" w:hAnsi="HelveticaNeueLT W1G 55 Roman" w:cs="Arial"/>
                <w:sz w:val="20"/>
                <w:lang w:val="cs-CZ"/>
              </w:rPr>
            </w:pPr>
            <w:r>
              <w:rPr>
                <w:rFonts w:ascii="HelveticaNeueLT W1G 55 Roman" w:eastAsia="Calibri" w:hAnsi="HelveticaNeueLT W1G 55 Roman" w:cs="Arial"/>
                <w:b/>
                <w:lang w:val="cs-CZ"/>
              </w:rPr>
              <w:t>Fakultní nemocnice Brno</w:t>
            </w:r>
          </w:p>
          <w:p w14:paraId="44BC9818" w14:textId="77777777" w:rsidR="005216A4" w:rsidRPr="00F878C7" w:rsidRDefault="005216A4" w:rsidP="00C6482A">
            <w:pPr>
              <w:spacing w:before="240" w:line="260" w:lineRule="atLeast"/>
              <w:ind w:left="1134"/>
              <w:jc w:val="both"/>
              <w:rPr>
                <w:rFonts w:ascii="HelveticaNeueLT W1G 55 Roman" w:eastAsia="Calibri" w:hAnsi="HelveticaNeueLT W1G 55 Roman" w:cs="Arial"/>
                <w:sz w:val="20"/>
                <w:lang w:val="cs-CZ"/>
              </w:rPr>
            </w:pPr>
            <w:r w:rsidRPr="00F878C7">
              <w:rPr>
                <w:rFonts w:ascii="HelveticaNeueLT W1G 55 Roman" w:eastAsia="Calibri" w:hAnsi="HelveticaNeueLT W1G 55 Roman" w:cs="Arial"/>
                <w:sz w:val="20"/>
                <w:lang w:val="cs-CZ"/>
              </w:rPr>
              <w:t>jako KUPUJÍCÍ</w:t>
            </w:r>
          </w:p>
          <w:p w14:paraId="1223BCC5" w14:textId="77777777" w:rsidR="005216A4" w:rsidRPr="00F878C7" w:rsidRDefault="005216A4" w:rsidP="00C6482A">
            <w:pPr>
              <w:spacing w:before="240" w:line="260" w:lineRule="atLeast"/>
              <w:ind w:left="1134"/>
              <w:jc w:val="both"/>
              <w:rPr>
                <w:rFonts w:ascii="HelveticaNeueLT W1G 55 Roman" w:eastAsia="Calibri" w:hAnsi="HelveticaNeueLT W1G 55 Roman" w:cs="Arial"/>
                <w:sz w:val="20"/>
                <w:lang w:val="cs-CZ"/>
              </w:rPr>
            </w:pPr>
          </w:p>
          <w:p w14:paraId="000D8233" w14:textId="77777777" w:rsidR="005216A4" w:rsidRPr="00F878C7" w:rsidRDefault="005216A4" w:rsidP="00C6482A">
            <w:pPr>
              <w:spacing w:before="240" w:line="260" w:lineRule="atLeast"/>
              <w:ind w:left="1134"/>
              <w:jc w:val="both"/>
              <w:rPr>
                <w:rFonts w:ascii="HelveticaNeueLT W1G 55 Roman" w:eastAsia="Calibri" w:hAnsi="HelveticaNeueLT W1G 55 Roman" w:cs="Arial"/>
                <w:sz w:val="20"/>
                <w:lang w:val="cs-CZ"/>
              </w:rPr>
            </w:pPr>
          </w:p>
          <w:p w14:paraId="21488D96" w14:textId="77777777" w:rsidR="005216A4" w:rsidRPr="00F878C7" w:rsidRDefault="005216A4" w:rsidP="00C6482A">
            <w:pPr>
              <w:spacing w:before="240" w:line="260" w:lineRule="atLeast"/>
              <w:ind w:left="1134"/>
              <w:jc w:val="both"/>
              <w:rPr>
                <w:rFonts w:ascii="HelveticaNeueLT W1G 55 Roman" w:eastAsia="Calibri" w:hAnsi="HelveticaNeueLT W1G 55 Roman" w:cs="Arial"/>
                <w:sz w:val="20"/>
                <w:lang w:val="cs-CZ"/>
              </w:rPr>
            </w:pPr>
          </w:p>
        </w:tc>
      </w:tr>
    </w:tbl>
    <w:p w14:paraId="151E92C0" w14:textId="77777777" w:rsidR="005216A4" w:rsidRPr="00F878C7" w:rsidRDefault="005216A4" w:rsidP="005216A4">
      <w:pPr>
        <w:suppressAutoHyphens/>
        <w:spacing w:before="240" w:line="260" w:lineRule="atLeast"/>
        <w:ind w:left="1134"/>
        <w:rPr>
          <w:rFonts w:ascii="HelveticaNeueLT W1G 55 Roman" w:eastAsia="Times New Roman" w:hAnsi="HelveticaNeueLT W1G 55 Roman" w:cs="Arial"/>
          <w:sz w:val="40"/>
          <w:lang w:val="cs-CZ"/>
        </w:rPr>
      </w:pPr>
      <w:r w:rsidRPr="00F878C7">
        <w:rPr>
          <w:rFonts w:ascii="HelveticaNeueLT W1G 55 Roman" w:eastAsia="Times New Roman" w:hAnsi="HelveticaNeueLT W1G 55 Roman" w:cs="Arial"/>
          <w:sz w:val="40"/>
          <w:lang w:val="cs-CZ"/>
        </w:rPr>
        <w:t xml:space="preserve">Dohoda o podmínkách poskytnutí odměny </w:t>
      </w:r>
      <w:r w:rsidRPr="00F878C7">
        <w:rPr>
          <w:rFonts w:ascii="HelveticaNeueLT W1G 55 Roman" w:eastAsia="Times New Roman" w:hAnsi="HelveticaNeueLT W1G 55 Roman" w:cs="Arial"/>
          <w:sz w:val="40"/>
          <w:lang w:val="cs-CZ"/>
        </w:rPr>
        <w:br/>
        <w:t>za odběr zboží</w:t>
      </w:r>
    </w:p>
    <w:p w14:paraId="50F08A1E" w14:textId="77777777" w:rsidR="005216A4" w:rsidRPr="00F878C7" w:rsidRDefault="005216A4" w:rsidP="00433BE6">
      <w:pPr>
        <w:spacing w:after="0" w:line="240" w:lineRule="auto"/>
        <w:contextualSpacing/>
        <w:jc w:val="center"/>
        <w:rPr>
          <w:rFonts w:ascii="Arial" w:hAnsi="Arial" w:cs="Arial"/>
          <w:b/>
          <w:lang w:val="cs-CZ"/>
        </w:rPr>
      </w:pPr>
    </w:p>
    <w:p w14:paraId="36EF8DD8" w14:textId="77777777" w:rsidR="005216A4" w:rsidRPr="00F878C7" w:rsidRDefault="005216A4" w:rsidP="00433BE6">
      <w:pPr>
        <w:spacing w:after="0" w:line="240" w:lineRule="auto"/>
        <w:contextualSpacing/>
        <w:jc w:val="center"/>
        <w:rPr>
          <w:rFonts w:ascii="Arial" w:hAnsi="Arial" w:cs="Arial"/>
          <w:b/>
          <w:lang w:val="cs-CZ"/>
        </w:rPr>
      </w:pPr>
    </w:p>
    <w:p w14:paraId="1F21755B" w14:textId="77777777" w:rsidR="005216A4" w:rsidRPr="00F878C7" w:rsidRDefault="005216A4" w:rsidP="00433BE6">
      <w:pPr>
        <w:spacing w:after="0" w:line="240" w:lineRule="auto"/>
        <w:contextualSpacing/>
        <w:jc w:val="center"/>
        <w:rPr>
          <w:rFonts w:ascii="Arial" w:hAnsi="Arial" w:cs="Arial"/>
          <w:b/>
          <w:lang w:val="cs-CZ"/>
        </w:rPr>
      </w:pPr>
    </w:p>
    <w:p w14:paraId="619FEE63" w14:textId="77777777" w:rsidR="005216A4" w:rsidRPr="00F878C7" w:rsidRDefault="005216A4">
      <w:pPr>
        <w:rPr>
          <w:rFonts w:ascii="Arial" w:hAnsi="Arial" w:cs="Arial"/>
          <w:b/>
          <w:lang w:val="cs-CZ"/>
        </w:rPr>
      </w:pPr>
      <w:r w:rsidRPr="00F878C7">
        <w:rPr>
          <w:rFonts w:ascii="Arial" w:hAnsi="Arial" w:cs="Arial"/>
          <w:b/>
          <w:lang w:val="cs-CZ"/>
        </w:rPr>
        <w:br w:type="page"/>
      </w:r>
    </w:p>
    <w:p w14:paraId="4F892CFF" w14:textId="77777777" w:rsidR="005216A4" w:rsidRPr="00F878C7" w:rsidRDefault="005216A4" w:rsidP="005216A4">
      <w:pPr>
        <w:suppressAutoHyphens/>
        <w:spacing w:before="240" w:line="312" w:lineRule="exact"/>
        <w:jc w:val="both"/>
        <w:rPr>
          <w:rFonts w:ascii="HelveticaNeueLT W1G 55 Roman" w:eastAsia="Calibri" w:hAnsi="HelveticaNeueLT W1G 55 Roman" w:cs="Arial"/>
          <w:b/>
          <w:sz w:val="20"/>
          <w:lang w:val="cs-CZ"/>
        </w:rPr>
      </w:pPr>
      <w:r w:rsidRPr="00F878C7">
        <w:rPr>
          <w:rFonts w:ascii="HelveticaNeueLT W1G 55 Roman" w:eastAsia="Calibri" w:hAnsi="HelveticaNeueLT W1G 55 Roman" w:cs="Arial"/>
          <w:b/>
          <w:sz w:val="20"/>
          <w:lang w:val="cs-CZ"/>
        </w:rPr>
        <w:lastRenderedPageBreak/>
        <w:t xml:space="preserve">UZAVŘENÁ </w:t>
      </w:r>
      <w:proofErr w:type="gramStart"/>
      <w:r w:rsidRPr="00F878C7">
        <w:rPr>
          <w:rFonts w:ascii="HelveticaNeueLT W1G 55 Roman" w:eastAsia="Calibri" w:hAnsi="HelveticaNeueLT W1G 55 Roman" w:cs="Arial"/>
          <w:b/>
          <w:sz w:val="20"/>
          <w:lang w:val="cs-CZ"/>
        </w:rPr>
        <w:t>MEZI</w:t>
      </w:r>
      <w:proofErr w:type="gramEnd"/>
      <w:r w:rsidRPr="00F878C7">
        <w:rPr>
          <w:rFonts w:ascii="HelveticaNeueLT W1G 55 Roman" w:eastAsia="Calibri" w:hAnsi="HelveticaNeueLT W1G 55 Roman" w:cs="Arial"/>
          <w:b/>
          <w:sz w:val="20"/>
          <w:lang w:val="cs-CZ"/>
        </w:rPr>
        <w:t>:</w:t>
      </w:r>
    </w:p>
    <w:p w14:paraId="5C901517" w14:textId="77777777" w:rsidR="00433BE6" w:rsidRPr="00F878C7" w:rsidRDefault="00433BE6" w:rsidP="00433BE6">
      <w:pPr>
        <w:spacing w:after="0" w:line="240" w:lineRule="auto"/>
        <w:contextualSpacing/>
        <w:rPr>
          <w:rFonts w:ascii="Arial" w:hAnsi="Arial" w:cs="Arial"/>
          <w:sz w:val="20"/>
          <w:lang w:val="cs-CZ"/>
        </w:rPr>
      </w:pPr>
    </w:p>
    <w:p w14:paraId="1E86071F" w14:textId="77777777" w:rsidR="00433BE6" w:rsidRPr="00F878C7" w:rsidRDefault="00433BE6" w:rsidP="00433BE6">
      <w:pPr>
        <w:spacing w:after="0" w:line="240" w:lineRule="auto"/>
        <w:contextualSpacing/>
        <w:rPr>
          <w:rFonts w:ascii="Arial" w:hAnsi="Arial" w:cs="Arial"/>
          <w:b/>
          <w:sz w:val="20"/>
          <w:lang w:val="cs-CZ"/>
        </w:rPr>
      </w:pPr>
      <w:proofErr w:type="spellStart"/>
      <w:r w:rsidRPr="00F878C7">
        <w:rPr>
          <w:rFonts w:ascii="Arial" w:hAnsi="Arial" w:cs="Arial"/>
          <w:b/>
          <w:sz w:val="20"/>
          <w:lang w:val="cs-CZ"/>
        </w:rPr>
        <w:t>Olympus</w:t>
      </w:r>
      <w:proofErr w:type="spellEnd"/>
      <w:r w:rsidRPr="00F878C7">
        <w:rPr>
          <w:rFonts w:ascii="Arial" w:hAnsi="Arial" w:cs="Arial"/>
          <w:b/>
          <w:sz w:val="20"/>
          <w:lang w:val="cs-CZ"/>
        </w:rPr>
        <w:t xml:space="preserve"> Czech Group, s.r.o., člen koncernu</w:t>
      </w:r>
    </w:p>
    <w:p w14:paraId="16CBFC18" w14:textId="77777777" w:rsidR="00433BE6" w:rsidRPr="00F878C7" w:rsidRDefault="00433BE6" w:rsidP="00433BE6">
      <w:pPr>
        <w:spacing w:after="0" w:line="240" w:lineRule="auto"/>
        <w:contextualSpacing/>
        <w:rPr>
          <w:rFonts w:ascii="Arial" w:hAnsi="Arial" w:cs="Arial"/>
          <w:sz w:val="20"/>
          <w:lang w:val="cs-CZ"/>
        </w:rPr>
      </w:pPr>
      <w:r w:rsidRPr="00F878C7">
        <w:rPr>
          <w:rFonts w:ascii="Arial" w:hAnsi="Arial" w:cs="Arial"/>
          <w:sz w:val="20"/>
          <w:lang w:val="cs-CZ"/>
        </w:rPr>
        <w:t>se sídlem Evropská 176/16, 16041 Praha 6</w:t>
      </w:r>
    </w:p>
    <w:p w14:paraId="2A92D14D" w14:textId="11D0D3F7" w:rsidR="00433BE6" w:rsidRPr="00F878C7" w:rsidRDefault="00433BE6" w:rsidP="00433BE6">
      <w:pPr>
        <w:spacing w:after="0" w:line="240" w:lineRule="auto"/>
        <w:contextualSpacing/>
        <w:rPr>
          <w:rFonts w:ascii="Arial" w:hAnsi="Arial" w:cs="Arial"/>
          <w:sz w:val="20"/>
          <w:lang w:val="cs-CZ"/>
        </w:rPr>
      </w:pPr>
      <w:r w:rsidRPr="00F878C7">
        <w:rPr>
          <w:rFonts w:ascii="Arial" w:hAnsi="Arial" w:cs="Arial"/>
          <w:sz w:val="20"/>
          <w:lang w:val="cs-CZ"/>
        </w:rPr>
        <w:t>IČ</w:t>
      </w:r>
      <w:r w:rsidR="00A06AB0">
        <w:rPr>
          <w:rFonts w:ascii="Arial" w:hAnsi="Arial" w:cs="Arial"/>
          <w:sz w:val="20"/>
          <w:lang w:val="cs-CZ"/>
        </w:rPr>
        <w:t>O</w:t>
      </w:r>
      <w:r w:rsidRPr="00F878C7">
        <w:rPr>
          <w:rFonts w:ascii="Arial" w:hAnsi="Arial" w:cs="Arial"/>
          <w:sz w:val="20"/>
          <w:lang w:val="cs-CZ"/>
        </w:rPr>
        <w:t>: 27068641</w:t>
      </w:r>
    </w:p>
    <w:p w14:paraId="5D7453BB" w14:textId="77777777" w:rsidR="00433BE6" w:rsidRPr="00F878C7" w:rsidRDefault="00433BE6" w:rsidP="00433BE6">
      <w:pPr>
        <w:spacing w:after="0" w:line="240" w:lineRule="auto"/>
        <w:contextualSpacing/>
        <w:rPr>
          <w:rFonts w:ascii="Arial" w:hAnsi="Arial" w:cs="Arial"/>
          <w:sz w:val="20"/>
          <w:lang w:val="cs-CZ"/>
        </w:rPr>
      </w:pPr>
      <w:r w:rsidRPr="00F878C7">
        <w:rPr>
          <w:rFonts w:ascii="Arial" w:hAnsi="Arial" w:cs="Arial"/>
          <w:sz w:val="20"/>
          <w:lang w:val="cs-CZ"/>
        </w:rPr>
        <w:t>DIČ: CZ27068641</w:t>
      </w:r>
    </w:p>
    <w:p w14:paraId="52BD2831" w14:textId="77777777" w:rsidR="00433BE6" w:rsidRPr="00F878C7" w:rsidRDefault="00433BE6" w:rsidP="00433BE6">
      <w:pPr>
        <w:spacing w:after="0" w:line="240" w:lineRule="auto"/>
        <w:contextualSpacing/>
        <w:rPr>
          <w:rFonts w:ascii="Arial" w:hAnsi="Arial" w:cs="Arial"/>
          <w:sz w:val="20"/>
          <w:lang w:val="cs-CZ"/>
        </w:rPr>
      </w:pPr>
      <w:r w:rsidRPr="00F878C7">
        <w:rPr>
          <w:rFonts w:ascii="Arial" w:hAnsi="Arial" w:cs="Arial"/>
          <w:sz w:val="20"/>
          <w:lang w:val="cs-CZ"/>
        </w:rPr>
        <w:t>zapsaná v obchodním rejstříku u Městského soudu v Praze, oddíl C, vložka 93921</w:t>
      </w:r>
    </w:p>
    <w:p w14:paraId="3DBBB1EC" w14:textId="3CFDBC4F" w:rsidR="00433BE6" w:rsidRPr="00F878C7" w:rsidRDefault="00433BE6" w:rsidP="00433BE6">
      <w:pPr>
        <w:spacing w:after="0" w:line="240" w:lineRule="auto"/>
        <w:contextualSpacing/>
        <w:rPr>
          <w:rFonts w:ascii="Arial" w:hAnsi="Arial" w:cs="Arial"/>
          <w:sz w:val="20"/>
          <w:lang w:val="cs-CZ"/>
        </w:rPr>
      </w:pPr>
      <w:r w:rsidRPr="00F878C7">
        <w:rPr>
          <w:rFonts w:ascii="Arial" w:hAnsi="Arial" w:cs="Arial"/>
          <w:sz w:val="20"/>
          <w:lang w:val="cs-CZ"/>
        </w:rPr>
        <w:t xml:space="preserve">zastoupená </w:t>
      </w:r>
      <w:r w:rsidRPr="009E59AA">
        <w:rPr>
          <w:rFonts w:ascii="Arial" w:hAnsi="Arial" w:cs="Arial"/>
          <w:sz w:val="20"/>
          <w:lang w:val="cs-CZ"/>
        </w:rPr>
        <w:t xml:space="preserve">Radkem </w:t>
      </w:r>
      <w:proofErr w:type="spellStart"/>
      <w:r w:rsidRPr="009E59AA">
        <w:rPr>
          <w:rFonts w:ascii="Arial" w:hAnsi="Arial" w:cs="Arial"/>
          <w:sz w:val="20"/>
          <w:lang w:val="cs-CZ"/>
        </w:rPr>
        <w:t>Šubotníkem</w:t>
      </w:r>
      <w:proofErr w:type="spellEnd"/>
      <w:r w:rsidRPr="009E59AA">
        <w:rPr>
          <w:rFonts w:ascii="Arial" w:hAnsi="Arial" w:cs="Arial"/>
          <w:sz w:val="20"/>
          <w:lang w:val="cs-CZ"/>
        </w:rPr>
        <w:t xml:space="preserve"> a </w:t>
      </w:r>
      <w:r w:rsidR="00001022" w:rsidRPr="009E59AA">
        <w:rPr>
          <w:rFonts w:ascii="Arial" w:hAnsi="Arial" w:cs="Arial"/>
          <w:sz w:val="20"/>
          <w:lang w:val="cs-CZ"/>
        </w:rPr>
        <w:t>Ing. Ivo Lukešem</w:t>
      </w:r>
      <w:r w:rsidRPr="009E59AA">
        <w:rPr>
          <w:rFonts w:ascii="Arial" w:hAnsi="Arial" w:cs="Arial"/>
          <w:sz w:val="20"/>
          <w:lang w:val="cs-CZ"/>
        </w:rPr>
        <w:t>,</w:t>
      </w:r>
      <w:r w:rsidRPr="00F878C7">
        <w:rPr>
          <w:rFonts w:ascii="Arial" w:hAnsi="Arial" w:cs="Arial"/>
          <w:sz w:val="20"/>
          <w:lang w:val="cs-CZ"/>
        </w:rPr>
        <w:t xml:space="preserve"> prokuristy</w:t>
      </w:r>
    </w:p>
    <w:p w14:paraId="64A58792" w14:textId="77777777" w:rsidR="00433BE6" w:rsidRPr="00F878C7" w:rsidRDefault="00433BE6" w:rsidP="00433BE6">
      <w:pPr>
        <w:spacing w:after="0" w:line="240" w:lineRule="auto"/>
        <w:contextualSpacing/>
        <w:rPr>
          <w:rFonts w:ascii="Arial" w:hAnsi="Arial" w:cs="Arial"/>
          <w:sz w:val="20"/>
          <w:lang w:val="cs-CZ"/>
        </w:rPr>
      </w:pPr>
    </w:p>
    <w:p w14:paraId="3D4EC7E7" w14:textId="77777777" w:rsidR="00433BE6" w:rsidRPr="00F878C7" w:rsidRDefault="00433BE6" w:rsidP="00433BE6">
      <w:pPr>
        <w:spacing w:after="0" w:line="240" w:lineRule="auto"/>
        <w:contextualSpacing/>
        <w:rPr>
          <w:rFonts w:ascii="Arial" w:hAnsi="Arial" w:cs="Arial"/>
          <w:sz w:val="20"/>
          <w:lang w:val="cs-CZ"/>
        </w:rPr>
      </w:pPr>
      <w:r w:rsidRPr="00F878C7">
        <w:rPr>
          <w:rFonts w:ascii="Arial" w:hAnsi="Arial" w:cs="Arial"/>
          <w:sz w:val="20"/>
          <w:lang w:val="cs-CZ"/>
        </w:rPr>
        <w:t>(dále jen “</w:t>
      </w:r>
      <w:r w:rsidRPr="00F878C7">
        <w:rPr>
          <w:rFonts w:ascii="Arial" w:hAnsi="Arial" w:cs="Arial"/>
          <w:b/>
          <w:sz w:val="20"/>
          <w:lang w:val="cs-CZ"/>
        </w:rPr>
        <w:t>Prodávající</w:t>
      </w:r>
      <w:r w:rsidRPr="00F878C7">
        <w:rPr>
          <w:rFonts w:ascii="Arial" w:hAnsi="Arial" w:cs="Arial"/>
          <w:sz w:val="20"/>
          <w:lang w:val="cs-CZ"/>
        </w:rPr>
        <w:t>”)</w:t>
      </w:r>
      <w:bookmarkStart w:id="0" w:name="_GoBack"/>
      <w:bookmarkEnd w:id="0"/>
    </w:p>
    <w:p w14:paraId="1257B6EC" w14:textId="77777777" w:rsidR="00433BE6" w:rsidRPr="00F878C7" w:rsidRDefault="00433BE6" w:rsidP="00433BE6">
      <w:pPr>
        <w:spacing w:after="0" w:line="240" w:lineRule="auto"/>
        <w:contextualSpacing/>
        <w:rPr>
          <w:rFonts w:ascii="Arial" w:hAnsi="Arial" w:cs="Arial"/>
          <w:sz w:val="20"/>
          <w:lang w:val="cs-CZ"/>
        </w:rPr>
      </w:pPr>
    </w:p>
    <w:p w14:paraId="4A113295" w14:textId="77777777" w:rsidR="00433BE6" w:rsidRPr="00F878C7" w:rsidRDefault="00433BE6" w:rsidP="00433BE6">
      <w:pPr>
        <w:spacing w:after="0" w:line="240" w:lineRule="auto"/>
        <w:contextualSpacing/>
        <w:rPr>
          <w:rFonts w:ascii="Arial" w:hAnsi="Arial" w:cs="Arial"/>
          <w:sz w:val="20"/>
          <w:lang w:val="cs-CZ"/>
        </w:rPr>
      </w:pPr>
      <w:r w:rsidRPr="00F878C7">
        <w:rPr>
          <w:rFonts w:ascii="Arial" w:hAnsi="Arial" w:cs="Arial"/>
          <w:sz w:val="20"/>
          <w:lang w:val="cs-CZ"/>
        </w:rPr>
        <w:t>a</w:t>
      </w:r>
    </w:p>
    <w:p w14:paraId="10CE5679" w14:textId="77777777" w:rsidR="00433BE6" w:rsidRPr="00F878C7" w:rsidRDefault="00433BE6" w:rsidP="00433BE6">
      <w:pPr>
        <w:spacing w:after="0" w:line="240" w:lineRule="auto"/>
        <w:contextualSpacing/>
        <w:rPr>
          <w:rFonts w:ascii="Arial" w:hAnsi="Arial" w:cs="Arial"/>
          <w:sz w:val="20"/>
          <w:lang w:val="cs-CZ"/>
        </w:rPr>
      </w:pPr>
    </w:p>
    <w:p w14:paraId="5214B9E4" w14:textId="77777777" w:rsidR="00D10AF6" w:rsidRDefault="00D10AF6" w:rsidP="00D10AF6">
      <w:pPr>
        <w:pStyle w:val="Default"/>
        <w:rPr>
          <w:sz w:val="20"/>
          <w:szCs w:val="20"/>
        </w:rPr>
      </w:pPr>
      <w:r>
        <w:rPr>
          <w:b/>
          <w:bCs/>
          <w:sz w:val="20"/>
          <w:szCs w:val="20"/>
        </w:rPr>
        <w:t xml:space="preserve">Fakultní nemocnice Brno </w:t>
      </w:r>
    </w:p>
    <w:p w14:paraId="730C5705" w14:textId="1AAA38F5" w:rsidR="00A06AB0" w:rsidRDefault="00D10AF6" w:rsidP="00D10AF6">
      <w:pPr>
        <w:pStyle w:val="Default"/>
        <w:rPr>
          <w:sz w:val="20"/>
          <w:szCs w:val="20"/>
        </w:rPr>
      </w:pPr>
      <w:r>
        <w:rPr>
          <w:sz w:val="20"/>
          <w:szCs w:val="20"/>
        </w:rPr>
        <w:t xml:space="preserve">se sídlem Jihlavská 340/20, 625 00 Brno </w:t>
      </w:r>
      <w:r w:rsidR="00A06AB0">
        <w:rPr>
          <w:sz w:val="20"/>
          <w:szCs w:val="20"/>
        </w:rPr>
        <w:t>–</w:t>
      </w:r>
      <w:r>
        <w:rPr>
          <w:sz w:val="20"/>
          <w:szCs w:val="20"/>
        </w:rPr>
        <w:t xml:space="preserve"> Bohunice</w:t>
      </w:r>
    </w:p>
    <w:p w14:paraId="002C36C0" w14:textId="0F57C661" w:rsidR="00D10AF6" w:rsidRDefault="00D10AF6" w:rsidP="00D10AF6">
      <w:pPr>
        <w:pStyle w:val="Default"/>
        <w:rPr>
          <w:sz w:val="20"/>
          <w:szCs w:val="20"/>
        </w:rPr>
      </w:pPr>
      <w:r>
        <w:rPr>
          <w:sz w:val="20"/>
          <w:szCs w:val="20"/>
        </w:rPr>
        <w:t xml:space="preserve">IČO: 652 69 705 </w:t>
      </w:r>
    </w:p>
    <w:p w14:paraId="3B3D0BD6" w14:textId="77777777" w:rsidR="00D10AF6" w:rsidRDefault="00D10AF6" w:rsidP="00D10AF6">
      <w:pPr>
        <w:pStyle w:val="Default"/>
        <w:rPr>
          <w:sz w:val="20"/>
          <w:szCs w:val="20"/>
        </w:rPr>
      </w:pPr>
      <w:r>
        <w:rPr>
          <w:sz w:val="20"/>
          <w:szCs w:val="20"/>
        </w:rPr>
        <w:t xml:space="preserve">DIČ: CZ 652 69 705 </w:t>
      </w:r>
    </w:p>
    <w:p w14:paraId="3EC96A4A" w14:textId="6B183FBF" w:rsidR="00433BE6" w:rsidRPr="00543891" w:rsidRDefault="00D10AF6" w:rsidP="00543891">
      <w:pPr>
        <w:pStyle w:val="Default"/>
        <w:rPr>
          <w:sz w:val="20"/>
          <w:szCs w:val="20"/>
        </w:rPr>
      </w:pPr>
      <w:r>
        <w:rPr>
          <w:sz w:val="20"/>
          <w:szCs w:val="20"/>
        </w:rPr>
        <w:t>státní příspěvková organizace zřízená rozhodnutím Ministerstva zdravotnictví České republiky zastoupená prof. MUDr. Jaroslavem Štěrbou, Ph.D., ředitelem</w:t>
      </w:r>
    </w:p>
    <w:p w14:paraId="4FFF6370" w14:textId="77777777" w:rsidR="00433BE6" w:rsidRPr="00F878C7" w:rsidRDefault="00433BE6" w:rsidP="00433BE6">
      <w:pPr>
        <w:spacing w:after="0" w:line="240" w:lineRule="auto"/>
        <w:contextualSpacing/>
        <w:rPr>
          <w:rFonts w:ascii="Arial" w:hAnsi="Arial" w:cs="Arial"/>
          <w:sz w:val="20"/>
          <w:lang w:val="cs-CZ"/>
        </w:rPr>
      </w:pPr>
      <w:r w:rsidRPr="00F878C7">
        <w:rPr>
          <w:rFonts w:ascii="Arial" w:hAnsi="Arial" w:cs="Arial"/>
          <w:sz w:val="20"/>
          <w:lang w:val="cs-CZ"/>
        </w:rPr>
        <w:t>(dále jen “</w:t>
      </w:r>
      <w:r w:rsidRPr="00F878C7">
        <w:rPr>
          <w:rFonts w:ascii="Arial" w:hAnsi="Arial" w:cs="Arial"/>
          <w:b/>
          <w:sz w:val="20"/>
          <w:lang w:val="cs-CZ"/>
        </w:rPr>
        <w:t>Kupující</w:t>
      </w:r>
      <w:r w:rsidRPr="00F878C7">
        <w:rPr>
          <w:rFonts w:ascii="Arial" w:hAnsi="Arial" w:cs="Arial"/>
          <w:sz w:val="20"/>
          <w:lang w:val="cs-CZ"/>
        </w:rPr>
        <w:t>”)</w:t>
      </w:r>
    </w:p>
    <w:p w14:paraId="13968F44" w14:textId="77777777" w:rsidR="00433BE6" w:rsidRPr="00F878C7" w:rsidRDefault="00433BE6" w:rsidP="00433BE6">
      <w:pPr>
        <w:spacing w:after="0" w:line="240" w:lineRule="auto"/>
        <w:contextualSpacing/>
        <w:rPr>
          <w:rFonts w:ascii="Arial" w:hAnsi="Arial" w:cs="Arial"/>
          <w:sz w:val="20"/>
          <w:lang w:val="cs-CZ"/>
        </w:rPr>
      </w:pPr>
    </w:p>
    <w:p w14:paraId="1202D370" w14:textId="77777777" w:rsidR="00433BE6" w:rsidRPr="00F878C7" w:rsidRDefault="00433BE6" w:rsidP="00433BE6">
      <w:pPr>
        <w:spacing w:after="0" w:line="240" w:lineRule="auto"/>
        <w:contextualSpacing/>
        <w:rPr>
          <w:rFonts w:ascii="Arial" w:hAnsi="Arial" w:cs="Arial"/>
          <w:sz w:val="20"/>
          <w:lang w:val="cs-CZ"/>
        </w:rPr>
      </w:pPr>
      <w:r w:rsidRPr="00F878C7">
        <w:rPr>
          <w:rFonts w:ascii="Arial" w:hAnsi="Arial" w:cs="Arial"/>
          <w:sz w:val="20"/>
          <w:lang w:val="cs-CZ"/>
        </w:rPr>
        <w:t>(společně dále jen jako “</w:t>
      </w:r>
      <w:r w:rsidRPr="00F878C7">
        <w:rPr>
          <w:rFonts w:ascii="Arial" w:hAnsi="Arial" w:cs="Arial"/>
          <w:b/>
          <w:sz w:val="20"/>
          <w:lang w:val="cs-CZ"/>
        </w:rPr>
        <w:t>Účastníci dohody</w:t>
      </w:r>
      <w:r w:rsidRPr="00F878C7">
        <w:rPr>
          <w:rFonts w:ascii="Arial" w:hAnsi="Arial" w:cs="Arial"/>
          <w:sz w:val="20"/>
          <w:lang w:val="cs-CZ"/>
        </w:rPr>
        <w:t>”)</w:t>
      </w:r>
    </w:p>
    <w:p w14:paraId="117617DA" w14:textId="77777777" w:rsidR="00433BE6" w:rsidRPr="00F878C7" w:rsidRDefault="00433BE6" w:rsidP="00433BE6">
      <w:pPr>
        <w:spacing w:after="0" w:line="240" w:lineRule="auto"/>
        <w:contextualSpacing/>
        <w:rPr>
          <w:rFonts w:ascii="Arial" w:hAnsi="Arial" w:cs="Arial"/>
          <w:sz w:val="20"/>
          <w:lang w:val="cs-CZ"/>
        </w:rPr>
      </w:pPr>
    </w:p>
    <w:p w14:paraId="7A7DC774" w14:textId="77777777" w:rsidR="00433BE6" w:rsidRPr="00F878C7" w:rsidRDefault="00433BE6" w:rsidP="00433BE6">
      <w:pPr>
        <w:spacing w:after="0" w:line="240" w:lineRule="auto"/>
        <w:contextualSpacing/>
        <w:rPr>
          <w:rFonts w:ascii="Arial" w:hAnsi="Arial" w:cs="Arial"/>
          <w:sz w:val="20"/>
          <w:lang w:val="cs-CZ"/>
        </w:rPr>
      </w:pPr>
    </w:p>
    <w:p w14:paraId="4659B55C" w14:textId="77777777" w:rsidR="00433BE6" w:rsidRPr="00F878C7" w:rsidRDefault="00433BE6" w:rsidP="00433BE6">
      <w:pPr>
        <w:spacing w:after="0" w:line="240" w:lineRule="auto"/>
        <w:contextualSpacing/>
        <w:rPr>
          <w:rFonts w:ascii="Arial" w:hAnsi="Arial" w:cs="Arial"/>
          <w:sz w:val="20"/>
          <w:lang w:val="cs-CZ"/>
        </w:rPr>
      </w:pPr>
      <w:r w:rsidRPr="00F878C7">
        <w:rPr>
          <w:rFonts w:ascii="Arial" w:hAnsi="Arial" w:cs="Arial"/>
          <w:sz w:val="20"/>
          <w:lang w:val="cs-CZ"/>
        </w:rPr>
        <w:t>uzavřeli níže uvedeného dne, měsíce a roku dle § 1746 odstavce 2 zákona č. 89/2012 Sb., občanského zákoníku (dále jen “</w:t>
      </w:r>
      <w:r w:rsidRPr="00F878C7">
        <w:rPr>
          <w:rFonts w:ascii="Arial" w:hAnsi="Arial" w:cs="Arial"/>
          <w:b/>
          <w:sz w:val="20"/>
          <w:lang w:val="cs-CZ"/>
        </w:rPr>
        <w:t>Občanský zákoník</w:t>
      </w:r>
      <w:r w:rsidRPr="00F878C7">
        <w:rPr>
          <w:rFonts w:ascii="Arial" w:hAnsi="Arial" w:cs="Arial"/>
          <w:sz w:val="20"/>
          <w:lang w:val="cs-CZ"/>
        </w:rPr>
        <w:t>”), tuto Dohodu o podmínkách poskytnutí odměny za odběr zboží (dále jen “</w:t>
      </w:r>
      <w:r w:rsidRPr="00F878C7">
        <w:rPr>
          <w:rFonts w:ascii="Arial" w:hAnsi="Arial" w:cs="Arial"/>
          <w:b/>
          <w:sz w:val="20"/>
          <w:lang w:val="cs-CZ"/>
        </w:rPr>
        <w:t>Dohoda</w:t>
      </w:r>
      <w:r w:rsidRPr="00F878C7">
        <w:rPr>
          <w:rFonts w:ascii="Arial" w:hAnsi="Arial" w:cs="Arial"/>
          <w:sz w:val="20"/>
          <w:lang w:val="cs-CZ"/>
        </w:rPr>
        <w:t>”):</w:t>
      </w:r>
    </w:p>
    <w:p w14:paraId="7A8F6CF3" w14:textId="77777777" w:rsidR="00433BE6" w:rsidRPr="00F878C7" w:rsidRDefault="00433BE6" w:rsidP="00433BE6">
      <w:pPr>
        <w:spacing w:after="0" w:line="240" w:lineRule="auto"/>
        <w:contextualSpacing/>
        <w:rPr>
          <w:rFonts w:ascii="Arial" w:hAnsi="Arial" w:cs="Arial"/>
          <w:sz w:val="20"/>
          <w:lang w:val="cs-CZ"/>
        </w:rPr>
      </w:pPr>
    </w:p>
    <w:p w14:paraId="6B53A102" w14:textId="77777777" w:rsidR="00366976" w:rsidRPr="00F878C7" w:rsidRDefault="00366976" w:rsidP="00433BE6">
      <w:pPr>
        <w:spacing w:after="0" w:line="240" w:lineRule="auto"/>
        <w:contextualSpacing/>
        <w:rPr>
          <w:rFonts w:ascii="Arial" w:hAnsi="Arial" w:cs="Arial"/>
          <w:sz w:val="20"/>
          <w:lang w:val="cs-CZ"/>
        </w:rPr>
      </w:pPr>
    </w:p>
    <w:p w14:paraId="0254B7F3" w14:textId="77777777" w:rsidR="00F67E72" w:rsidRPr="00F878C7" w:rsidRDefault="00E10367" w:rsidP="00F67E72">
      <w:pPr>
        <w:pStyle w:val="Odstavecseseznamem"/>
        <w:numPr>
          <w:ilvl w:val="0"/>
          <w:numId w:val="1"/>
        </w:numPr>
        <w:spacing w:after="0" w:line="240" w:lineRule="auto"/>
        <w:jc w:val="center"/>
        <w:rPr>
          <w:rFonts w:ascii="Arial" w:hAnsi="Arial" w:cs="Arial"/>
          <w:b/>
          <w:sz w:val="20"/>
          <w:lang w:val="cs-CZ"/>
        </w:rPr>
      </w:pPr>
      <w:r w:rsidRPr="00F878C7">
        <w:rPr>
          <w:rFonts w:ascii="Arial" w:hAnsi="Arial" w:cs="Arial"/>
          <w:b/>
          <w:sz w:val="20"/>
          <w:lang w:val="cs-CZ"/>
        </w:rPr>
        <w:t>ÚVODNÍ USTANOVENÍ</w:t>
      </w:r>
    </w:p>
    <w:p w14:paraId="0721A040" w14:textId="77777777" w:rsidR="00433BE6" w:rsidRPr="00F878C7" w:rsidRDefault="00433BE6" w:rsidP="008840B7">
      <w:pPr>
        <w:spacing w:after="0" w:line="240" w:lineRule="auto"/>
        <w:contextualSpacing/>
        <w:jc w:val="both"/>
        <w:rPr>
          <w:rFonts w:ascii="Arial" w:hAnsi="Arial" w:cs="Arial"/>
          <w:sz w:val="20"/>
          <w:lang w:val="cs-CZ"/>
        </w:rPr>
      </w:pPr>
    </w:p>
    <w:p w14:paraId="5A48FC87" w14:textId="14E81A21" w:rsidR="00AF0EEF" w:rsidRDefault="00AF0EEF"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Pr>
          <w:rFonts w:ascii="Arial" w:hAnsi="Arial" w:cs="Arial"/>
          <w:sz w:val="20"/>
          <w:lang w:val="cs-CZ"/>
        </w:rPr>
        <w:t>Kupující a Prodávající konstatují, že Kupující má zájem nakupovat od Prodávajícího zboží. Kupující s ohledem na interní procesy a</w:t>
      </w:r>
      <w:r w:rsidR="00CA2E38">
        <w:rPr>
          <w:rFonts w:ascii="Arial" w:hAnsi="Arial" w:cs="Arial"/>
          <w:sz w:val="20"/>
          <w:lang w:val="cs-CZ"/>
        </w:rPr>
        <w:t xml:space="preserve"> na </w:t>
      </w:r>
      <w:r>
        <w:rPr>
          <w:rFonts w:ascii="Arial" w:hAnsi="Arial" w:cs="Arial"/>
          <w:sz w:val="20"/>
          <w:lang w:val="cs-CZ"/>
        </w:rPr>
        <w:t>v čase proměnlivé provozní potřeby nemůže činit nákupy jednorázově, ale pouze průběžně dle skutečné provozní potřeby. Prodávající ve svých interních systémech nemá možnost při obdržení</w:t>
      </w:r>
      <w:r w:rsidR="00C250B6">
        <w:rPr>
          <w:rFonts w:ascii="Arial" w:hAnsi="Arial" w:cs="Arial"/>
          <w:sz w:val="20"/>
          <w:lang w:val="cs-CZ"/>
        </w:rPr>
        <w:t xml:space="preserve"> dílčí </w:t>
      </w:r>
      <w:r>
        <w:rPr>
          <w:rFonts w:ascii="Arial" w:hAnsi="Arial" w:cs="Arial"/>
          <w:sz w:val="20"/>
          <w:lang w:val="cs-CZ"/>
        </w:rPr>
        <w:t>objednávky v tentýž okamžik vyhodnotit jaký je součet dříve objednaného zboží. Toto je možno</w:t>
      </w:r>
      <w:r w:rsidR="00C250B6">
        <w:rPr>
          <w:rFonts w:ascii="Arial" w:hAnsi="Arial" w:cs="Arial"/>
          <w:sz w:val="20"/>
          <w:lang w:val="cs-CZ"/>
        </w:rPr>
        <w:t xml:space="preserve"> při zachování efektivity využití pracovních zdrojů</w:t>
      </w:r>
      <w:r>
        <w:rPr>
          <w:rFonts w:ascii="Arial" w:hAnsi="Arial" w:cs="Arial"/>
          <w:sz w:val="20"/>
          <w:lang w:val="cs-CZ"/>
        </w:rPr>
        <w:t xml:space="preserve"> pouze zpětně po uplynutí určitého období manuálním </w:t>
      </w:r>
      <w:r w:rsidR="00C250B6">
        <w:rPr>
          <w:rFonts w:ascii="Arial" w:hAnsi="Arial" w:cs="Arial"/>
          <w:sz w:val="20"/>
          <w:lang w:val="cs-CZ"/>
        </w:rPr>
        <w:t>sloučením dat o dosud uskutečněných nákupech</w:t>
      </w:r>
      <w:r>
        <w:rPr>
          <w:rFonts w:ascii="Arial" w:hAnsi="Arial" w:cs="Arial"/>
          <w:sz w:val="20"/>
          <w:lang w:val="cs-CZ"/>
        </w:rPr>
        <w:t xml:space="preserve"> v systémech. </w:t>
      </w:r>
    </w:p>
    <w:p w14:paraId="0E6CE046" w14:textId="02BFF45D" w:rsidR="00206081" w:rsidRPr="00F878C7" w:rsidRDefault="00B8101D"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Pr>
          <w:rFonts w:ascii="Arial" w:hAnsi="Arial" w:cs="Arial"/>
          <w:sz w:val="20"/>
          <w:lang w:val="cs-CZ"/>
        </w:rPr>
        <w:t xml:space="preserve">Jelikož </w:t>
      </w:r>
      <w:r w:rsidR="00206081">
        <w:rPr>
          <w:rFonts w:ascii="Arial" w:hAnsi="Arial" w:cs="Arial"/>
          <w:sz w:val="20"/>
          <w:lang w:val="cs-CZ"/>
        </w:rPr>
        <w:t xml:space="preserve">není možno </w:t>
      </w:r>
      <w:r w:rsidR="00C250B6">
        <w:rPr>
          <w:rFonts w:ascii="Arial" w:hAnsi="Arial" w:cs="Arial"/>
          <w:sz w:val="20"/>
          <w:lang w:val="cs-CZ"/>
        </w:rPr>
        <w:t xml:space="preserve">v momentě dílčí objednávky </w:t>
      </w:r>
      <w:r w:rsidR="00206081">
        <w:rPr>
          <w:rFonts w:ascii="Arial" w:hAnsi="Arial" w:cs="Arial"/>
          <w:sz w:val="20"/>
          <w:lang w:val="cs-CZ"/>
        </w:rPr>
        <w:t>stanovit celkov</w:t>
      </w:r>
      <w:r w:rsidR="00BC748F">
        <w:rPr>
          <w:rFonts w:ascii="Arial" w:hAnsi="Arial" w:cs="Arial"/>
          <w:sz w:val="20"/>
          <w:lang w:val="cs-CZ"/>
        </w:rPr>
        <w:t>ý</w:t>
      </w:r>
      <w:r w:rsidR="00206081">
        <w:rPr>
          <w:rFonts w:ascii="Arial" w:hAnsi="Arial" w:cs="Arial"/>
          <w:sz w:val="20"/>
          <w:lang w:val="cs-CZ"/>
        </w:rPr>
        <w:t xml:space="preserve"> objem</w:t>
      </w:r>
      <w:r w:rsidR="00BC748F">
        <w:rPr>
          <w:rFonts w:ascii="Arial" w:hAnsi="Arial" w:cs="Arial"/>
          <w:sz w:val="20"/>
          <w:lang w:val="cs-CZ"/>
        </w:rPr>
        <w:t xml:space="preserve"> nakoupeného</w:t>
      </w:r>
      <w:r w:rsidR="00206081">
        <w:rPr>
          <w:rFonts w:ascii="Arial" w:hAnsi="Arial" w:cs="Arial"/>
          <w:sz w:val="20"/>
          <w:lang w:val="cs-CZ"/>
        </w:rPr>
        <w:t xml:space="preserve"> zboží a vyčíslit aplikovatelný </w:t>
      </w:r>
      <w:r w:rsidR="00AF0EEF">
        <w:rPr>
          <w:rFonts w:ascii="Arial" w:hAnsi="Arial" w:cs="Arial"/>
          <w:sz w:val="20"/>
          <w:lang w:val="cs-CZ"/>
        </w:rPr>
        <w:t xml:space="preserve">množstevní </w:t>
      </w:r>
      <w:r w:rsidR="00206081">
        <w:rPr>
          <w:rFonts w:ascii="Arial" w:hAnsi="Arial" w:cs="Arial"/>
          <w:sz w:val="20"/>
          <w:lang w:val="cs-CZ"/>
        </w:rPr>
        <w:t xml:space="preserve">bonus, jsou touto Dohodou dopředu sjednávány aplikovatelné výše množstevních finančních bonusů, které se </w:t>
      </w:r>
      <w:r w:rsidR="00E7294A">
        <w:rPr>
          <w:rFonts w:ascii="Arial" w:hAnsi="Arial" w:cs="Arial"/>
          <w:sz w:val="20"/>
          <w:lang w:val="cs-CZ"/>
        </w:rPr>
        <w:t xml:space="preserve">v případě </w:t>
      </w:r>
      <w:r w:rsidR="00206081">
        <w:rPr>
          <w:rFonts w:ascii="Arial" w:hAnsi="Arial" w:cs="Arial"/>
          <w:sz w:val="20"/>
          <w:lang w:val="cs-CZ"/>
        </w:rPr>
        <w:t xml:space="preserve">v budoucnu </w:t>
      </w:r>
      <w:r w:rsidR="00E7294A">
        <w:rPr>
          <w:rFonts w:ascii="Arial" w:hAnsi="Arial" w:cs="Arial"/>
          <w:sz w:val="20"/>
          <w:lang w:val="cs-CZ"/>
        </w:rPr>
        <w:t>nakumulovaného objemu nakoupeného zboží</w:t>
      </w:r>
      <w:r w:rsidR="00206081">
        <w:rPr>
          <w:rFonts w:ascii="Arial" w:hAnsi="Arial" w:cs="Arial"/>
          <w:sz w:val="20"/>
          <w:lang w:val="cs-CZ"/>
        </w:rPr>
        <w:t xml:space="preserve"> aplikují.  </w:t>
      </w:r>
    </w:p>
    <w:p w14:paraId="79806FF7" w14:textId="77777777" w:rsidR="00AB313E" w:rsidRPr="00F878C7" w:rsidRDefault="00AB313E" w:rsidP="00AB313E">
      <w:pPr>
        <w:spacing w:after="0" w:line="240" w:lineRule="auto"/>
        <w:rPr>
          <w:rFonts w:ascii="Arial" w:hAnsi="Arial" w:cs="Arial"/>
          <w:sz w:val="20"/>
          <w:lang w:val="cs-CZ"/>
        </w:rPr>
      </w:pPr>
    </w:p>
    <w:p w14:paraId="4F545758" w14:textId="77777777" w:rsidR="00AB313E" w:rsidRPr="00F878C7" w:rsidRDefault="00AB313E" w:rsidP="00AB313E">
      <w:pPr>
        <w:spacing w:after="0" w:line="240" w:lineRule="auto"/>
        <w:rPr>
          <w:rFonts w:ascii="Arial" w:hAnsi="Arial" w:cs="Arial"/>
          <w:sz w:val="20"/>
          <w:lang w:val="cs-CZ"/>
        </w:rPr>
      </w:pPr>
    </w:p>
    <w:p w14:paraId="71A7AFE5" w14:textId="77777777" w:rsidR="00AB313E" w:rsidRPr="00F878C7" w:rsidRDefault="00E10367" w:rsidP="00AB313E">
      <w:pPr>
        <w:pStyle w:val="Odstavecseseznamem"/>
        <w:numPr>
          <w:ilvl w:val="0"/>
          <w:numId w:val="1"/>
        </w:numPr>
        <w:spacing w:after="0" w:line="240" w:lineRule="auto"/>
        <w:jc w:val="center"/>
        <w:rPr>
          <w:rFonts w:ascii="Arial" w:hAnsi="Arial" w:cs="Arial"/>
          <w:b/>
          <w:sz w:val="20"/>
          <w:lang w:val="cs-CZ"/>
        </w:rPr>
      </w:pPr>
      <w:r w:rsidRPr="00F878C7">
        <w:rPr>
          <w:rFonts w:ascii="Arial" w:hAnsi="Arial" w:cs="Arial"/>
          <w:b/>
          <w:sz w:val="20"/>
          <w:lang w:val="cs-CZ"/>
        </w:rPr>
        <w:t>PŘEDMĚT DOHODY</w:t>
      </w:r>
    </w:p>
    <w:p w14:paraId="4913D7BB" w14:textId="77777777" w:rsidR="00AB313E" w:rsidRPr="00F878C7" w:rsidRDefault="00AB313E" w:rsidP="00AB313E">
      <w:pPr>
        <w:spacing w:after="0" w:line="240" w:lineRule="auto"/>
        <w:ind w:left="360"/>
        <w:rPr>
          <w:rFonts w:ascii="Arial" w:hAnsi="Arial" w:cs="Arial"/>
          <w:sz w:val="20"/>
          <w:lang w:val="cs-CZ"/>
        </w:rPr>
      </w:pPr>
    </w:p>
    <w:p w14:paraId="1947FE5F" w14:textId="273F1F69" w:rsidR="00F67E72" w:rsidRPr="00F878C7" w:rsidRDefault="00AB313E"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Předmětem této Dohody je stanovení výše, způsobu výpočtu a podmínek pro vznik nároku Kupujícího na odměnu, která mu bude poskytovaná prodávajícím za odběr zbož</w:t>
      </w:r>
      <w:r w:rsidR="00E10367" w:rsidRPr="00F878C7">
        <w:rPr>
          <w:rFonts w:ascii="Arial" w:hAnsi="Arial" w:cs="Arial"/>
          <w:sz w:val="20"/>
          <w:lang w:val="cs-CZ"/>
        </w:rPr>
        <w:t xml:space="preserve">í </w:t>
      </w:r>
      <w:r w:rsidR="00590430">
        <w:rPr>
          <w:rFonts w:ascii="Arial" w:hAnsi="Arial" w:cs="Arial"/>
          <w:sz w:val="20"/>
          <w:lang w:val="cs-CZ"/>
        </w:rPr>
        <w:t xml:space="preserve">definovaného touto smlouvou. </w:t>
      </w:r>
      <w:r w:rsidRPr="00F878C7">
        <w:rPr>
          <w:rFonts w:ascii="Arial" w:hAnsi="Arial" w:cs="Arial"/>
          <w:sz w:val="20"/>
          <w:lang w:val="cs-CZ"/>
        </w:rPr>
        <w:t xml:space="preserve"> (</w:t>
      </w:r>
      <w:r w:rsidR="0050731A">
        <w:rPr>
          <w:rFonts w:ascii="Arial" w:hAnsi="Arial" w:cs="Arial"/>
          <w:sz w:val="20"/>
          <w:lang w:val="cs-CZ"/>
        </w:rPr>
        <w:t>D</w:t>
      </w:r>
      <w:r w:rsidRPr="00F878C7">
        <w:rPr>
          <w:rFonts w:ascii="Arial" w:hAnsi="Arial" w:cs="Arial"/>
          <w:sz w:val="20"/>
          <w:lang w:val="cs-CZ"/>
        </w:rPr>
        <w:t>ále také jen “</w:t>
      </w:r>
      <w:r w:rsidRPr="00F878C7">
        <w:rPr>
          <w:rFonts w:ascii="Arial" w:hAnsi="Arial" w:cs="Arial"/>
          <w:b/>
          <w:sz w:val="20"/>
          <w:lang w:val="cs-CZ"/>
        </w:rPr>
        <w:t>finanční bonus</w:t>
      </w:r>
      <w:r w:rsidRPr="00F878C7">
        <w:rPr>
          <w:rFonts w:ascii="Arial" w:hAnsi="Arial" w:cs="Arial"/>
          <w:sz w:val="20"/>
          <w:lang w:val="cs-CZ"/>
        </w:rPr>
        <w:t>”).</w:t>
      </w:r>
    </w:p>
    <w:p w14:paraId="79F64964" w14:textId="2B7B882F" w:rsidR="00AB313E" w:rsidRPr="00F878C7" w:rsidRDefault="00AB313E"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Finanční bonus náleží Kupujícímu z celkového součtu kupních cen odebraného zboží</w:t>
      </w:r>
      <w:r w:rsidR="00951314">
        <w:rPr>
          <w:rFonts w:ascii="Arial" w:hAnsi="Arial" w:cs="Arial"/>
          <w:sz w:val="20"/>
          <w:lang w:val="cs-CZ"/>
        </w:rPr>
        <w:t xml:space="preserve"> </w:t>
      </w:r>
      <w:r w:rsidR="00590430">
        <w:rPr>
          <w:rFonts w:ascii="Arial" w:hAnsi="Arial" w:cs="Arial"/>
          <w:sz w:val="20"/>
          <w:lang w:val="cs-CZ"/>
        </w:rPr>
        <w:t xml:space="preserve">uvedeného v Příloze č. 2 </w:t>
      </w:r>
      <w:proofErr w:type="gramStart"/>
      <w:r w:rsidR="00590430">
        <w:rPr>
          <w:rFonts w:ascii="Arial" w:hAnsi="Arial" w:cs="Arial"/>
          <w:sz w:val="20"/>
          <w:lang w:val="cs-CZ"/>
        </w:rPr>
        <w:t>této</w:t>
      </w:r>
      <w:proofErr w:type="gramEnd"/>
      <w:r w:rsidR="00590430">
        <w:rPr>
          <w:rFonts w:ascii="Arial" w:hAnsi="Arial" w:cs="Arial"/>
          <w:sz w:val="20"/>
          <w:lang w:val="cs-CZ"/>
        </w:rPr>
        <w:t xml:space="preserve"> Dohody</w:t>
      </w:r>
      <w:r w:rsidR="00951314">
        <w:rPr>
          <w:rFonts w:ascii="Arial" w:hAnsi="Arial" w:cs="Arial"/>
          <w:sz w:val="20"/>
          <w:lang w:val="cs-CZ"/>
        </w:rPr>
        <w:t xml:space="preserve"> </w:t>
      </w:r>
      <w:r w:rsidRPr="00F878C7">
        <w:rPr>
          <w:rFonts w:ascii="Arial" w:hAnsi="Arial" w:cs="Arial"/>
          <w:sz w:val="20"/>
          <w:lang w:val="cs-CZ"/>
        </w:rPr>
        <w:t>v Kč bez DPH za hodnocené období popsané v Příloze č. 1 této Dohody.</w:t>
      </w:r>
      <w:r w:rsidR="00E10367" w:rsidRPr="00F878C7">
        <w:rPr>
          <w:rFonts w:ascii="Arial" w:hAnsi="Arial" w:cs="Arial"/>
          <w:sz w:val="20"/>
          <w:lang w:val="cs-CZ"/>
        </w:rPr>
        <w:t xml:space="preserve"> Problematika DPH bude řešena d</w:t>
      </w:r>
      <w:r w:rsidRPr="00F878C7">
        <w:rPr>
          <w:rFonts w:ascii="Arial" w:hAnsi="Arial" w:cs="Arial"/>
          <w:sz w:val="20"/>
          <w:lang w:val="cs-CZ"/>
        </w:rPr>
        <w:t>l</w:t>
      </w:r>
      <w:r w:rsidR="00E10367" w:rsidRPr="00F878C7">
        <w:rPr>
          <w:rFonts w:ascii="Arial" w:hAnsi="Arial" w:cs="Arial"/>
          <w:sz w:val="20"/>
          <w:lang w:val="cs-CZ"/>
        </w:rPr>
        <w:t>e</w:t>
      </w:r>
      <w:r w:rsidRPr="00F878C7">
        <w:rPr>
          <w:rFonts w:ascii="Arial" w:hAnsi="Arial" w:cs="Arial"/>
          <w:sz w:val="20"/>
          <w:lang w:val="cs-CZ"/>
        </w:rPr>
        <w:t xml:space="preserve"> platné právní úpravy vztahující se k DPH.</w:t>
      </w:r>
      <w:r w:rsidR="00590430">
        <w:rPr>
          <w:rFonts w:ascii="Arial" w:hAnsi="Arial" w:cs="Arial"/>
          <w:sz w:val="20"/>
          <w:lang w:val="cs-CZ"/>
        </w:rPr>
        <w:t xml:space="preserve"> Pro vyloučení pochybností smluvní strany potvrzují, že na jiné zboží než uvedené v Příloze č. 2 </w:t>
      </w:r>
      <w:proofErr w:type="gramStart"/>
      <w:r w:rsidR="00590430">
        <w:rPr>
          <w:rFonts w:ascii="Arial" w:hAnsi="Arial" w:cs="Arial"/>
          <w:sz w:val="20"/>
          <w:lang w:val="cs-CZ"/>
        </w:rPr>
        <w:t>této</w:t>
      </w:r>
      <w:proofErr w:type="gramEnd"/>
      <w:r w:rsidR="00590430">
        <w:rPr>
          <w:rFonts w:ascii="Arial" w:hAnsi="Arial" w:cs="Arial"/>
          <w:sz w:val="20"/>
          <w:lang w:val="cs-CZ"/>
        </w:rPr>
        <w:t xml:space="preserve"> Dohody se fi</w:t>
      </w:r>
      <w:r w:rsidR="00543891">
        <w:rPr>
          <w:rFonts w:ascii="Arial" w:hAnsi="Arial" w:cs="Arial"/>
          <w:sz w:val="20"/>
          <w:lang w:val="cs-CZ"/>
        </w:rPr>
        <w:t>n</w:t>
      </w:r>
      <w:r w:rsidR="00590430">
        <w:rPr>
          <w:rFonts w:ascii="Arial" w:hAnsi="Arial" w:cs="Arial"/>
          <w:sz w:val="20"/>
          <w:lang w:val="cs-CZ"/>
        </w:rPr>
        <w:t xml:space="preserve">anční bonus nevztahuje. </w:t>
      </w:r>
    </w:p>
    <w:p w14:paraId="786A7B15" w14:textId="7E61AE9C" w:rsidR="00AB313E" w:rsidRPr="00F878C7" w:rsidRDefault="00AB313E"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Účastníci Dohody stanovili délku hodnoceného období společně na</w:t>
      </w:r>
      <w:r w:rsidR="000B42D5">
        <w:rPr>
          <w:rFonts w:ascii="Arial" w:hAnsi="Arial" w:cs="Arial"/>
          <w:sz w:val="20"/>
          <w:lang w:val="cs-CZ"/>
        </w:rPr>
        <w:t xml:space="preserve"> 1</w:t>
      </w:r>
      <w:r w:rsidRPr="00F878C7">
        <w:rPr>
          <w:rFonts w:ascii="Arial" w:hAnsi="Arial" w:cs="Arial"/>
          <w:sz w:val="20"/>
          <w:lang w:val="cs-CZ"/>
        </w:rPr>
        <w:t xml:space="preserve"> ka</w:t>
      </w:r>
      <w:r w:rsidR="00E10367" w:rsidRPr="00F878C7">
        <w:rPr>
          <w:rFonts w:ascii="Arial" w:hAnsi="Arial" w:cs="Arial"/>
          <w:sz w:val="20"/>
          <w:lang w:val="cs-CZ"/>
        </w:rPr>
        <w:t>lendářní rok po dobu trvání této</w:t>
      </w:r>
      <w:r w:rsidRPr="00F878C7">
        <w:rPr>
          <w:rFonts w:ascii="Arial" w:hAnsi="Arial" w:cs="Arial"/>
          <w:sz w:val="20"/>
          <w:lang w:val="cs-CZ"/>
        </w:rPr>
        <w:t xml:space="preserve"> Dohody.</w:t>
      </w:r>
    </w:p>
    <w:p w14:paraId="2800DB47" w14:textId="2DCAC0F5" w:rsidR="00AB313E" w:rsidRPr="00F878C7" w:rsidRDefault="00AB313E"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Prodávající je povinen ve lhůtě deseti (10) kalendářních dnů po uplynutí hodnoceného období písemně oznámit Kupujícímu údaje související s výší finančního bonusu.</w:t>
      </w:r>
      <w:r w:rsidR="007D2D8C">
        <w:rPr>
          <w:rFonts w:ascii="Arial" w:hAnsi="Arial" w:cs="Arial"/>
          <w:sz w:val="20"/>
          <w:lang w:val="cs-CZ"/>
        </w:rPr>
        <w:t xml:space="preserve"> Prodávající je oprávněn udělat vždy po uplynutí čtvrtletí předběžné vyhodnocení aplikovatelného</w:t>
      </w:r>
      <w:r w:rsidR="00011C90">
        <w:rPr>
          <w:rFonts w:ascii="Arial" w:hAnsi="Arial" w:cs="Arial"/>
          <w:sz w:val="20"/>
          <w:lang w:val="cs-CZ"/>
        </w:rPr>
        <w:t xml:space="preserve"> finančního</w:t>
      </w:r>
      <w:r w:rsidR="007D2D8C">
        <w:rPr>
          <w:rFonts w:ascii="Arial" w:hAnsi="Arial" w:cs="Arial"/>
          <w:sz w:val="20"/>
          <w:lang w:val="cs-CZ"/>
        </w:rPr>
        <w:t xml:space="preserve"> bonusu a </w:t>
      </w:r>
      <w:r w:rsidR="007D2D8C">
        <w:rPr>
          <w:rFonts w:ascii="Arial" w:hAnsi="Arial" w:cs="Arial"/>
          <w:sz w:val="20"/>
          <w:lang w:val="cs-CZ"/>
        </w:rPr>
        <w:lastRenderedPageBreak/>
        <w:t xml:space="preserve">vyplatit </w:t>
      </w:r>
      <w:r w:rsidR="00011C90">
        <w:rPr>
          <w:rFonts w:ascii="Arial" w:hAnsi="Arial" w:cs="Arial"/>
          <w:sz w:val="20"/>
          <w:lang w:val="cs-CZ"/>
        </w:rPr>
        <w:t xml:space="preserve">Kupujícímu </w:t>
      </w:r>
      <w:r w:rsidR="007D2D8C">
        <w:rPr>
          <w:rFonts w:ascii="Arial" w:hAnsi="Arial" w:cs="Arial"/>
          <w:sz w:val="20"/>
          <w:lang w:val="cs-CZ"/>
        </w:rPr>
        <w:t>zálohu na</w:t>
      </w:r>
      <w:r w:rsidR="00011C90">
        <w:rPr>
          <w:rFonts w:ascii="Arial" w:hAnsi="Arial" w:cs="Arial"/>
          <w:sz w:val="20"/>
          <w:lang w:val="cs-CZ"/>
        </w:rPr>
        <w:t xml:space="preserve"> finanční</w:t>
      </w:r>
      <w:r w:rsidR="007D2D8C">
        <w:rPr>
          <w:rFonts w:ascii="Arial" w:hAnsi="Arial" w:cs="Arial"/>
          <w:sz w:val="20"/>
          <w:lang w:val="cs-CZ"/>
        </w:rPr>
        <w:t xml:space="preserve"> bonus </w:t>
      </w:r>
      <w:r w:rsidR="000701E7">
        <w:rPr>
          <w:rFonts w:ascii="Arial" w:hAnsi="Arial" w:cs="Arial"/>
          <w:sz w:val="20"/>
          <w:lang w:val="cs-CZ"/>
        </w:rPr>
        <w:t>nepřesahující</w:t>
      </w:r>
      <w:r w:rsidR="00BA5644">
        <w:rPr>
          <w:rFonts w:ascii="Arial" w:hAnsi="Arial" w:cs="Arial"/>
          <w:sz w:val="20"/>
          <w:lang w:val="cs-CZ"/>
        </w:rPr>
        <w:t xml:space="preserve"> </w:t>
      </w:r>
      <w:r w:rsidR="004D174E">
        <w:rPr>
          <w:rFonts w:ascii="Arial" w:hAnsi="Arial" w:cs="Arial"/>
          <w:sz w:val="20"/>
          <w:lang w:val="cs-CZ"/>
        </w:rPr>
        <w:t>10</w:t>
      </w:r>
      <w:r w:rsidR="00BA5644">
        <w:rPr>
          <w:rFonts w:ascii="Arial" w:hAnsi="Arial" w:cs="Arial"/>
          <w:sz w:val="20"/>
          <w:lang w:val="cs-CZ"/>
        </w:rPr>
        <w:t xml:space="preserve"> </w:t>
      </w:r>
      <w:r w:rsidR="007D2D8C">
        <w:rPr>
          <w:rFonts w:ascii="Arial" w:hAnsi="Arial" w:cs="Arial"/>
          <w:sz w:val="20"/>
          <w:lang w:val="cs-CZ"/>
        </w:rPr>
        <w:t>% z odhadované celkové částky</w:t>
      </w:r>
      <w:r w:rsidR="00011C90">
        <w:rPr>
          <w:rFonts w:ascii="Arial" w:hAnsi="Arial" w:cs="Arial"/>
          <w:sz w:val="20"/>
          <w:lang w:val="cs-CZ"/>
        </w:rPr>
        <w:t xml:space="preserve"> finančního</w:t>
      </w:r>
      <w:r w:rsidR="007D2D8C">
        <w:rPr>
          <w:rFonts w:ascii="Arial" w:hAnsi="Arial" w:cs="Arial"/>
          <w:sz w:val="20"/>
          <w:lang w:val="cs-CZ"/>
        </w:rPr>
        <w:t xml:space="preserve"> bonusu. </w:t>
      </w:r>
      <w:r w:rsidR="00011C90">
        <w:rPr>
          <w:rFonts w:ascii="Arial" w:hAnsi="Arial" w:cs="Arial"/>
          <w:sz w:val="20"/>
          <w:lang w:val="cs-CZ"/>
        </w:rPr>
        <w:t xml:space="preserve">Kupující je povinen odpovídající část zálohy na bonus vrátit bez zbytečného odkladu od </w:t>
      </w:r>
      <w:r w:rsidR="003169F0">
        <w:rPr>
          <w:rFonts w:ascii="Arial" w:hAnsi="Arial" w:cs="Arial"/>
          <w:sz w:val="20"/>
          <w:lang w:val="cs-CZ"/>
        </w:rPr>
        <w:t xml:space="preserve">doručení písemné výzvy </w:t>
      </w:r>
      <w:r w:rsidR="00011C90">
        <w:rPr>
          <w:rFonts w:ascii="Arial" w:hAnsi="Arial" w:cs="Arial"/>
          <w:sz w:val="20"/>
          <w:lang w:val="cs-CZ"/>
        </w:rPr>
        <w:t>Prodávajícím</w:t>
      </w:r>
      <w:r w:rsidR="003169F0">
        <w:rPr>
          <w:rFonts w:ascii="Arial" w:hAnsi="Arial" w:cs="Arial"/>
          <w:sz w:val="20"/>
          <w:lang w:val="cs-CZ"/>
        </w:rPr>
        <w:t xml:space="preserve"> Kupujícímu</w:t>
      </w:r>
      <w:r w:rsidR="00011C90">
        <w:rPr>
          <w:rFonts w:ascii="Arial" w:hAnsi="Arial" w:cs="Arial"/>
          <w:sz w:val="20"/>
          <w:lang w:val="cs-CZ"/>
        </w:rPr>
        <w:t xml:space="preserve"> v případě, že po vyhodnocení celého hodnoceného období bude zji</w:t>
      </w:r>
      <w:r w:rsidR="00FC6082">
        <w:rPr>
          <w:rFonts w:ascii="Arial" w:hAnsi="Arial" w:cs="Arial"/>
          <w:sz w:val="20"/>
          <w:lang w:val="cs-CZ"/>
        </w:rPr>
        <w:t>š</w:t>
      </w:r>
      <w:r w:rsidR="00011C90">
        <w:rPr>
          <w:rFonts w:ascii="Arial" w:hAnsi="Arial" w:cs="Arial"/>
          <w:sz w:val="20"/>
          <w:lang w:val="cs-CZ"/>
        </w:rPr>
        <w:t xml:space="preserve">těn nárok na finanční bonus v nižší výši, než byly vyplacené zálohy. </w:t>
      </w:r>
    </w:p>
    <w:p w14:paraId="43E8F601" w14:textId="35E5F65A" w:rsidR="00AB313E" w:rsidRPr="00F878C7" w:rsidRDefault="00AB313E"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 xml:space="preserve">Po </w:t>
      </w:r>
      <w:r w:rsidR="003169F0">
        <w:rPr>
          <w:rFonts w:ascii="Arial" w:hAnsi="Arial" w:cs="Arial"/>
          <w:sz w:val="20"/>
          <w:lang w:val="cs-CZ"/>
        </w:rPr>
        <w:t>potvrzení správnosti</w:t>
      </w:r>
      <w:r w:rsidRPr="00F878C7">
        <w:rPr>
          <w:rFonts w:ascii="Arial" w:hAnsi="Arial" w:cs="Arial"/>
          <w:sz w:val="20"/>
          <w:lang w:val="cs-CZ"/>
        </w:rPr>
        <w:t xml:space="preserve"> oznámené výše finančního bonusu ze strany Kupujícího je Prodávající povinen vystavit nejpozději do deseti (10) kalendářních dnů příslušný</w:t>
      </w:r>
      <w:r w:rsidR="00E10367" w:rsidRPr="00F878C7">
        <w:rPr>
          <w:rFonts w:ascii="Arial" w:hAnsi="Arial" w:cs="Arial"/>
          <w:sz w:val="20"/>
          <w:lang w:val="cs-CZ"/>
        </w:rPr>
        <w:t xml:space="preserve"> daňový doklad s náležitostmi d</w:t>
      </w:r>
      <w:r w:rsidRPr="00F878C7">
        <w:rPr>
          <w:rFonts w:ascii="Arial" w:hAnsi="Arial" w:cs="Arial"/>
          <w:sz w:val="20"/>
          <w:lang w:val="cs-CZ"/>
        </w:rPr>
        <w:t>l</w:t>
      </w:r>
      <w:r w:rsidR="00E10367" w:rsidRPr="00F878C7">
        <w:rPr>
          <w:rFonts w:ascii="Arial" w:hAnsi="Arial" w:cs="Arial"/>
          <w:sz w:val="20"/>
          <w:lang w:val="cs-CZ"/>
        </w:rPr>
        <w:t>e</w:t>
      </w:r>
      <w:r w:rsidRPr="00F878C7">
        <w:rPr>
          <w:rFonts w:ascii="Arial" w:hAnsi="Arial" w:cs="Arial"/>
          <w:sz w:val="20"/>
          <w:lang w:val="cs-CZ"/>
        </w:rPr>
        <w:t xml:space="preserve"> pla</w:t>
      </w:r>
      <w:r w:rsidR="00E10367" w:rsidRPr="00F878C7">
        <w:rPr>
          <w:rFonts w:ascii="Arial" w:hAnsi="Arial" w:cs="Arial"/>
          <w:sz w:val="20"/>
          <w:lang w:val="cs-CZ"/>
        </w:rPr>
        <w:t>t</w:t>
      </w:r>
      <w:r w:rsidRPr="00F878C7">
        <w:rPr>
          <w:rFonts w:ascii="Arial" w:hAnsi="Arial" w:cs="Arial"/>
          <w:sz w:val="20"/>
          <w:lang w:val="cs-CZ"/>
        </w:rPr>
        <w:t xml:space="preserve">né legislativy daně z přidané hodnoty se splatností 90 dnů ode dne jejich vystavení. Opravný daňový doklad musí přesně specifikovat původní uskutečněná zdanitelná plnění </w:t>
      </w:r>
      <w:r w:rsidR="00ED3F42" w:rsidRPr="00F878C7">
        <w:rPr>
          <w:rFonts w:ascii="Arial" w:hAnsi="Arial" w:cs="Arial"/>
          <w:sz w:val="20"/>
          <w:lang w:val="cs-CZ"/>
        </w:rPr>
        <w:t>a důvody opravy. Na opravném daňovém dokladu musí být uveden rozdíl mezi opraveným a původním základem daně a rozdíl mezi opravenou a původní daní.</w:t>
      </w:r>
    </w:p>
    <w:p w14:paraId="5B325B94" w14:textId="77777777" w:rsidR="00ED3F42" w:rsidRPr="00F878C7" w:rsidRDefault="00ED3F42"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 xml:space="preserve">Prodávající je povinen uhradit finanční bonus ve lhůtě uvedené ve vystavených daňových dokladech. Prodávající je oprávněn nárok na zaplacení finančního bonusu započíst vůči neuhrazeným fakturám Prodávajícího pouze na základě písemné dohody Účastníků dohody. </w:t>
      </w:r>
    </w:p>
    <w:p w14:paraId="35F02717" w14:textId="77777777" w:rsidR="00ED3F42" w:rsidRPr="00F878C7" w:rsidRDefault="00ED3F42"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V případě, že tato Dohoda bude jakýmkoliv způsobem ukončena v průběhu hodnoceného období, má Kupující nárok na poměrnou část</w:t>
      </w:r>
      <w:r w:rsidR="00366976" w:rsidRPr="00F878C7">
        <w:rPr>
          <w:rFonts w:ascii="Arial" w:hAnsi="Arial" w:cs="Arial"/>
          <w:sz w:val="20"/>
          <w:lang w:val="cs-CZ"/>
        </w:rPr>
        <w:t xml:space="preserve"> finančního bonusu počítaného d</w:t>
      </w:r>
      <w:r w:rsidRPr="00F878C7">
        <w:rPr>
          <w:rFonts w:ascii="Arial" w:hAnsi="Arial" w:cs="Arial"/>
          <w:sz w:val="20"/>
          <w:lang w:val="cs-CZ"/>
        </w:rPr>
        <w:t>l</w:t>
      </w:r>
      <w:r w:rsidR="00366976" w:rsidRPr="00F878C7">
        <w:rPr>
          <w:rFonts w:ascii="Arial" w:hAnsi="Arial" w:cs="Arial"/>
          <w:sz w:val="20"/>
          <w:lang w:val="cs-CZ"/>
        </w:rPr>
        <w:t>e</w:t>
      </w:r>
      <w:r w:rsidRPr="00F878C7">
        <w:rPr>
          <w:rFonts w:ascii="Arial" w:hAnsi="Arial" w:cs="Arial"/>
          <w:sz w:val="20"/>
          <w:lang w:val="cs-CZ"/>
        </w:rPr>
        <w:t xml:space="preserve"> skutečné doby trvání Dohody. </w:t>
      </w:r>
    </w:p>
    <w:p w14:paraId="59186D87" w14:textId="77777777" w:rsidR="00ED3F42" w:rsidRPr="00F878C7" w:rsidRDefault="00ED3F42" w:rsidP="00ED3F42">
      <w:pPr>
        <w:spacing w:after="0" w:line="240" w:lineRule="auto"/>
        <w:rPr>
          <w:rFonts w:ascii="Arial" w:hAnsi="Arial" w:cs="Arial"/>
          <w:sz w:val="20"/>
          <w:lang w:val="cs-CZ"/>
        </w:rPr>
      </w:pPr>
    </w:p>
    <w:p w14:paraId="192EBB86" w14:textId="77777777" w:rsidR="00ED3F42" w:rsidRPr="00F878C7" w:rsidRDefault="00ED3F42" w:rsidP="00ED3F42">
      <w:pPr>
        <w:spacing w:after="0" w:line="240" w:lineRule="auto"/>
        <w:rPr>
          <w:rFonts w:ascii="Arial" w:hAnsi="Arial" w:cs="Arial"/>
          <w:sz w:val="20"/>
          <w:lang w:val="cs-CZ"/>
        </w:rPr>
      </w:pPr>
    </w:p>
    <w:p w14:paraId="30DCB13D" w14:textId="77777777" w:rsidR="00ED3F42" w:rsidRPr="00F878C7" w:rsidRDefault="00E10367" w:rsidP="007D5CB8">
      <w:pPr>
        <w:pStyle w:val="Odstavecseseznamem"/>
        <w:numPr>
          <w:ilvl w:val="0"/>
          <w:numId w:val="1"/>
        </w:numPr>
        <w:spacing w:after="0" w:line="240" w:lineRule="auto"/>
        <w:jc w:val="center"/>
        <w:rPr>
          <w:rFonts w:ascii="Arial" w:hAnsi="Arial" w:cs="Arial"/>
          <w:b/>
          <w:sz w:val="20"/>
          <w:lang w:val="cs-CZ"/>
        </w:rPr>
      </w:pPr>
      <w:r w:rsidRPr="00F878C7">
        <w:rPr>
          <w:rFonts w:ascii="Arial" w:hAnsi="Arial" w:cs="Arial"/>
          <w:b/>
          <w:sz w:val="20"/>
          <w:lang w:val="cs-CZ"/>
        </w:rPr>
        <w:t>ZÁVĚREČNÁ USTANOVENÍ</w:t>
      </w:r>
    </w:p>
    <w:p w14:paraId="1D88356C" w14:textId="77777777" w:rsidR="00ED3F42" w:rsidRPr="00F878C7" w:rsidRDefault="00ED3F42" w:rsidP="00ED3F42">
      <w:pPr>
        <w:spacing w:after="0" w:line="240" w:lineRule="auto"/>
        <w:rPr>
          <w:rFonts w:ascii="Arial" w:hAnsi="Arial" w:cs="Arial"/>
          <w:sz w:val="20"/>
          <w:lang w:val="cs-CZ"/>
        </w:rPr>
      </w:pPr>
    </w:p>
    <w:p w14:paraId="0D7635EC" w14:textId="5A00AA77" w:rsidR="00ED3F42" w:rsidRPr="00F878C7" w:rsidRDefault="00ED3F42"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Tato Dohoda je uzavřena na dobu určitou</w:t>
      </w:r>
      <w:r w:rsidR="00A06AB0">
        <w:rPr>
          <w:rFonts w:ascii="Arial" w:hAnsi="Arial" w:cs="Arial"/>
          <w:sz w:val="20"/>
          <w:lang w:val="cs-CZ"/>
        </w:rPr>
        <w:t>,</w:t>
      </w:r>
      <w:r w:rsidR="00C435B2">
        <w:rPr>
          <w:rFonts w:ascii="Arial" w:hAnsi="Arial" w:cs="Arial"/>
          <w:sz w:val="20"/>
          <w:lang w:val="cs-CZ"/>
        </w:rPr>
        <w:t xml:space="preserve"> </w:t>
      </w:r>
      <w:r w:rsidRPr="00F878C7">
        <w:rPr>
          <w:rFonts w:ascii="Arial" w:hAnsi="Arial" w:cs="Arial"/>
          <w:sz w:val="20"/>
          <w:lang w:val="cs-CZ"/>
        </w:rPr>
        <w:t xml:space="preserve">do </w:t>
      </w:r>
      <w:r w:rsidR="00BF06C6">
        <w:rPr>
          <w:rFonts w:ascii="Arial" w:hAnsi="Arial" w:cs="Arial"/>
          <w:sz w:val="20"/>
          <w:lang w:val="cs-CZ"/>
        </w:rPr>
        <w:t>31.</w:t>
      </w:r>
      <w:r w:rsidR="00C435B2">
        <w:rPr>
          <w:rFonts w:ascii="Arial" w:hAnsi="Arial" w:cs="Arial"/>
          <w:sz w:val="20"/>
          <w:lang w:val="cs-CZ"/>
        </w:rPr>
        <w:t xml:space="preserve"> </w:t>
      </w:r>
      <w:r w:rsidR="00BF06C6">
        <w:rPr>
          <w:rFonts w:ascii="Arial" w:hAnsi="Arial" w:cs="Arial"/>
          <w:sz w:val="20"/>
          <w:lang w:val="cs-CZ"/>
        </w:rPr>
        <w:t>12.</w:t>
      </w:r>
      <w:r w:rsidR="00C435B2">
        <w:rPr>
          <w:rFonts w:ascii="Arial" w:hAnsi="Arial" w:cs="Arial"/>
          <w:sz w:val="20"/>
          <w:lang w:val="cs-CZ"/>
        </w:rPr>
        <w:t xml:space="preserve"> </w:t>
      </w:r>
      <w:r w:rsidR="00BF06C6">
        <w:rPr>
          <w:rFonts w:ascii="Arial" w:hAnsi="Arial" w:cs="Arial"/>
          <w:sz w:val="20"/>
          <w:lang w:val="cs-CZ"/>
        </w:rPr>
        <w:t>2022</w:t>
      </w:r>
      <w:r w:rsidRPr="00F878C7">
        <w:rPr>
          <w:rFonts w:ascii="Arial" w:hAnsi="Arial" w:cs="Arial"/>
          <w:sz w:val="20"/>
          <w:lang w:val="cs-CZ"/>
        </w:rPr>
        <w:t>. Každý z Účastníků Dohody má právo tuto Dohodu vypovědět písemnou výpovědí i bez udání důvodu, a to s výpovědní dobou 1 měsíc. Výpovědní doba začíná běžet prvního dne kalendářního měsíce následujícího po měsíci, ve kterém byla vypovídané straně výpověď doručena.</w:t>
      </w:r>
      <w:r w:rsidR="0071775D">
        <w:rPr>
          <w:rFonts w:ascii="Arial" w:hAnsi="Arial" w:cs="Arial"/>
          <w:sz w:val="20"/>
          <w:lang w:val="cs-CZ"/>
        </w:rPr>
        <w:t xml:space="preserve"> </w:t>
      </w:r>
    </w:p>
    <w:p w14:paraId="7DD43F6C" w14:textId="77777777" w:rsidR="00ED3F42" w:rsidRPr="00F878C7" w:rsidRDefault="00ED3F42"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Veškeré změny a dodatky této Dohody musí být v písemné podobě a na téže listině podepsány všemi Účastníky dohody. Jinou změnu této Dohody Účas</w:t>
      </w:r>
      <w:r w:rsidR="00E10367" w:rsidRPr="00F878C7">
        <w:rPr>
          <w:rFonts w:ascii="Arial" w:hAnsi="Arial" w:cs="Arial"/>
          <w:sz w:val="20"/>
          <w:lang w:val="cs-CZ"/>
        </w:rPr>
        <w:t>t</w:t>
      </w:r>
      <w:r w:rsidRPr="00F878C7">
        <w:rPr>
          <w:rFonts w:ascii="Arial" w:hAnsi="Arial" w:cs="Arial"/>
          <w:sz w:val="20"/>
          <w:lang w:val="cs-CZ"/>
        </w:rPr>
        <w:t>níci dohody výslovně vyloučili.</w:t>
      </w:r>
    </w:p>
    <w:p w14:paraId="52921F06" w14:textId="77777777" w:rsidR="00ED3F42" w:rsidRPr="00F878C7" w:rsidRDefault="00ED3F42"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V právních poměrech touto Dohodou neupravených se tato Dohoda řídí právními předpisy České republiky, zejména Občanským zákoníkem.</w:t>
      </w:r>
    </w:p>
    <w:p w14:paraId="4ABD0EB5" w14:textId="77777777" w:rsidR="00ED3F42" w:rsidRPr="00F878C7" w:rsidRDefault="00ED3F42"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Pokud se jakékoliv ustanovení této Dohody později ukáže nebo bude určeno jako neplatné, neúčinné nebo nevynutitelné, pak taková neplatnost, neúčinnost nebo nevynutitelnost nezpůsobuje neplatno</w:t>
      </w:r>
      <w:r w:rsidR="00E10367" w:rsidRPr="00F878C7">
        <w:rPr>
          <w:rFonts w:ascii="Arial" w:hAnsi="Arial" w:cs="Arial"/>
          <w:sz w:val="20"/>
          <w:lang w:val="cs-CZ"/>
        </w:rPr>
        <w:t>s</w:t>
      </w:r>
      <w:r w:rsidRPr="00F878C7">
        <w:rPr>
          <w:rFonts w:ascii="Arial" w:hAnsi="Arial" w:cs="Arial"/>
          <w:sz w:val="20"/>
          <w:lang w:val="cs-CZ"/>
        </w:rPr>
        <w:t xml:space="preserve">t, neúčinnost nebo nevynutitelnost Dohody jako celku. V takovém případě </w:t>
      </w:r>
      <w:r w:rsidR="007D5CB8" w:rsidRPr="00F878C7">
        <w:rPr>
          <w:rFonts w:ascii="Arial" w:hAnsi="Arial" w:cs="Arial"/>
          <w:sz w:val="20"/>
          <w:lang w:val="cs-CZ"/>
        </w:rPr>
        <w:t>se Účastníci Dohody zavazují bez zbytečného prodlení nahradit po vzájemné dohodě neplatné, neúčinné nebo nevy</w:t>
      </w:r>
      <w:r w:rsidR="00E10367" w:rsidRPr="00F878C7">
        <w:rPr>
          <w:rFonts w:ascii="Arial" w:hAnsi="Arial" w:cs="Arial"/>
          <w:sz w:val="20"/>
          <w:lang w:val="cs-CZ"/>
        </w:rPr>
        <w:t>nuti</w:t>
      </w:r>
      <w:r w:rsidR="007D5CB8" w:rsidRPr="00F878C7">
        <w:rPr>
          <w:rFonts w:ascii="Arial" w:hAnsi="Arial" w:cs="Arial"/>
          <w:sz w:val="20"/>
          <w:lang w:val="cs-CZ"/>
        </w:rPr>
        <w:t xml:space="preserve">telné ustanovení Dohody novým ustanovením, jež nejblíže, v rozsahu povoleném právními předpisy České republiky, odpovídá úmyslu </w:t>
      </w:r>
      <w:r w:rsidR="00E10367" w:rsidRPr="00F878C7">
        <w:rPr>
          <w:rFonts w:ascii="Arial" w:hAnsi="Arial" w:cs="Arial"/>
          <w:sz w:val="20"/>
          <w:lang w:val="cs-CZ"/>
        </w:rPr>
        <w:t>Účastníků dohody v době uzavření</w:t>
      </w:r>
      <w:r w:rsidR="007D5CB8" w:rsidRPr="00F878C7">
        <w:rPr>
          <w:rFonts w:ascii="Arial" w:hAnsi="Arial" w:cs="Arial"/>
          <w:sz w:val="20"/>
          <w:lang w:val="cs-CZ"/>
        </w:rPr>
        <w:t xml:space="preserve"> této Dohody.</w:t>
      </w:r>
    </w:p>
    <w:p w14:paraId="51EA1450" w14:textId="77777777" w:rsidR="007D5CB8" w:rsidRPr="00F878C7" w:rsidRDefault="007D5CB8"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Veškeré spory vzniklé z této Dohody či z právních vztahů s ní souvisejících budou Účastníci Dohody řešit dohodou. V případě, že nebude možné spor urovnat dohodou, bude takový spor rozhodovat na návrh jednoho z Účastníků dohody věcně a místně příslušný soud v České republice.</w:t>
      </w:r>
    </w:p>
    <w:p w14:paraId="1C1A23BF" w14:textId="77777777" w:rsidR="007D5CB8" w:rsidRPr="00F878C7" w:rsidRDefault="007D5CB8"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 xml:space="preserve">Prodávající není oprávněn bez předchozího písemného souhlasu Kupujícího postoupit, převést, měnit, zastavit či jinak zatížit ani jakkoli jinak disponovat s touto Dohodou, její částí nebo jednotlivými právy či pohledávkami z ní vyplývajícími, či ujednat s třetí osobou převzetí povinností či dluhů </w:t>
      </w:r>
      <w:r w:rsidR="00A71EF0" w:rsidRPr="00F878C7">
        <w:rPr>
          <w:rFonts w:ascii="Arial" w:hAnsi="Arial" w:cs="Arial"/>
          <w:sz w:val="20"/>
          <w:lang w:val="cs-CZ"/>
        </w:rPr>
        <w:t xml:space="preserve">vyplývajících z této Dohody, a to po dobu trvání této Dohody. </w:t>
      </w:r>
    </w:p>
    <w:p w14:paraId="31DA1255" w14:textId="77777777" w:rsidR="005216A4" w:rsidRPr="00F878C7" w:rsidRDefault="005216A4"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Prodávající byl seznámen se skutečností, že tato Dohoda bude zveřejněna v souladu s příslušnými právními předpisy.</w:t>
      </w:r>
    </w:p>
    <w:p w14:paraId="15FE0659" w14:textId="66B43E90" w:rsidR="005216A4" w:rsidRPr="00F878C7" w:rsidRDefault="005216A4"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Prodávající tímto uděluje souhlas s uveřejněním této Dohody dl</w:t>
      </w:r>
      <w:r w:rsidR="00590430">
        <w:rPr>
          <w:rFonts w:ascii="Arial" w:hAnsi="Arial" w:cs="Arial"/>
          <w:sz w:val="20"/>
          <w:lang w:val="cs-CZ"/>
        </w:rPr>
        <w:t>e</w:t>
      </w:r>
      <w:r w:rsidRPr="00F878C7">
        <w:rPr>
          <w:rFonts w:ascii="Arial" w:hAnsi="Arial" w:cs="Arial"/>
          <w:sz w:val="20"/>
          <w:lang w:val="cs-CZ"/>
        </w:rPr>
        <w:t xml:space="preserve"> zákona č. 340/2015 Sb. o zvláštních podmínkách účinnosti některých smluv, uveřejňování těchto smluv a o registru smluv (dále jen “</w:t>
      </w:r>
      <w:r w:rsidR="00E10367" w:rsidRPr="00F878C7">
        <w:rPr>
          <w:rFonts w:ascii="Arial" w:hAnsi="Arial" w:cs="Arial"/>
          <w:sz w:val="20"/>
          <w:lang w:val="cs-CZ"/>
        </w:rPr>
        <w:t>Z</w:t>
      </w:r>
      <w:r w:rsidRPr="00F878C7">
        <w:rPr>
          <w:rFonts w:ascii="Arial" w:hAnsi="Arial" w:cs="Arial"/>
          <w:sz w:val="20"/>
          <w:lang w:val="cs-CZ"/>
        </w:rPr>
        <w:t>ákon o registru smluv”), a zákona č. 106/1999 Sb. o svobodném přístupu k informacím.</w:t>
      </w:r>
    </w:p>
    <w:p w14:paraId="4D46320A" w14:textId="77777777" w:rsidR="005216A4" w:rsidRPr="00F878C7" w:rsidRDefault="005216A4"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Účastníci dohody se doh</w:t>
      </w:r>
      <w:r w:rsidR="0025255A" w:rsidRPr="00F878C7">
        <w:rPr>
          <w:rFonts w:ascii="Arial" w:hAnsi="Arial" w:cs="Arial"/>
          <w:sz w:val="20"/>
          <w:lang w:val="cs-CZ"/>
        </w:rPr>
        <w:t>o</w:t>
      </w:r>
      <w:r w:rsidRPr="00F878C7">
        <w:rPr>
          <w:rFonts w:ascii="Arial" w:hAnsi="Arial" w:cs="Arial"/>
          <w:sz w:val="20"/>
          <w:lang w:val="cs-CZ"/>
        </w:rPr>
        <w:t xml:space="preserve">dli, že Kupující uveřejní Dohodu v Registru smluv </w:t>
      </w:r>
      <w:r w:rsidR="0025255A" w:rsidRPr="00F878C7">
        <w:rPr>
          <w:rFonts w:ascii="Arial" w:hAnsi="Arial" w:cs="Arial"/>
          <w:sz w:val="20"/>
          <w:lang w:val="cs-CZ"/>
        </w:rPr>
        <w:t>ve lhůtě dané zákonem o registr</w:t>
      </w:r>
      <w:r w:rsidRPr="00F878C7">
        <w:rPr>
          <w:rFonts w:ascii="Arial" w:hAnsi="Arial" w:cs="Arial"/>
          <w:sz w:val="20"/>
          <w:lang w:val="cs-CZ"/>
        </w:rPr>
        <w:t>u smluv, a o tomto Prodávajícího ke dni uveřejnění informuje.</w:t>
      </w:r>
    </w:p>
    <w:p w14:paraId="18FA7BD5" w14:textId="77777777" w:rsidR="005216A4" w:rsidRPr="00F878C7" w:rsidRDefault="005216A4"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Účastníci dohody souhlasí s uveřejněním svých osobních údajů.</w:t>
      </w:r>
    </w:p>
    <w:p w14:paraId="5C6D57D2" w14:textId="77777777" w:rsidR="005216A4" w:rsidRPr="00F878C7" w:rsidRDefault="005216A4"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Dohoda nabývá účinnos</w:t>
      </w:r>
      <w:r w:rsidR="0025255A" w:rsidRPr="00F878C7">
        <w:rPr>
          <w:rFonts w:ascii="Arial" w:hAnsi="Arial" w:cs="Arial"/>
          <w:sz w:val="20"/>
          <w:lang w:val="cs-CZ"/>
        </w:rPr>
        <w:t>t</w:t>
      </w:r>
      <w:r w:rsidRPr="00F878C7">
        <w:rPr>
          <w:rFonts w:ascii="Arial" w:hAnsi="Arial" w:cs="Arial"/>
          <w:sz w:val="20"/>
          <w:lang w:val="cs-CZ"/>
        </w:rPr>
        <w:t>i nejdříve dnem uveřejnění v registru smluv v souladu s ustanovením §</w:t>
      </w:r>
      <w:r w:rsidR="0025255A" w:rsidRPr="00F878C7">
        <w:rPr>
          <w:rFonts w:ascii="Arial" w:hAnsi="Arial" w:cs="Arial"/>
          <w:sz w:val="20"/>
          <w:lang w:val="cs-CZ"/>
        </w:rPr>
        <w:t xml:space="preserve"> 6 </w:t>
      </w:r>
      <w:proofErr w:type="gramStart"/>
      <w:r w:rsidR="0025255A" w:rsidRPr="00F878C7">
        <w:rPr>
          <w:rFonts w:ascii="Arial" w:hAnsi="Arial" w:cs="Arial"/>
          <w:sz w:val="20"/>
          <w:lang w:val="cs-CZ"/>
        </w:rPr>
        <w:t>odst.1 Z</w:t>
      </w:r>
      <w:r w:rsidRPr="00F878C7">
        <w:rPr>
          <w:rFonts w:ascii="Arial" w:hAnsi="Arial" w:cs="Arial"/>
          <w:sz w:val="20"/>
          <w:lang w:val="cs-CZ"/>
        </w:rPr>
        <w:t>ákona</w:t>
      </w:r>
      <w:proofErr w:type="gramEnd"/>
      <w:r w:rsidRPr="00F878C7">
        <w:rPr>
          <w:rFonts w:ascii="Arial" w:hAnsi="Arial" w:cs="Arial"/>
          <w:sz w:val="20"/>
          <w:lang w:val="cs-CZ"/>
        </w:rPr>
        <w:t xml:space="preserve"> o registru smluv.</w:t>
      </w:r>
    </w:p>
    <w:p w14:paraId="69CEEB07" w14:textId="77777777" w:rsidR="005216A4" w:rsidRPr="00F878C7" w:rsidRDefault="005216A4"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 xml:space="preserve">Účastníci dohody jsou povinni označit údaje v Dohodě, které jsou chráněny zvláštními zákony a nemohou být poskytnuty, a to žlutou barvou zvýraznění textu či přímo ve zvláštním ustanovení </w:t>
      </w:r>
      <w:r w:rsidRPr="00F878C7">
        <w:rPr>
          <w:rFonts w:ascii="Arial" w:hAnsi="Arial" w:cs="Arial"/>
          <w:sz w:val="20"/>
          <w:lang w:val="cs-CZ"/>
        </w:rPr>
        <w:lastRenderedPageBreak/>
        <w:t xml:space="preserve">Dohody je označit např. </w:t>
      </w:r>
      <w:r w:rsidR="0025255A" w:rsidRPr="00F878C7">
        <w:rPr>
          <w:rFonts w:ascii="Arial" w:hAnsi="Arial" w:cs="Arial"/>
          <w:sz w:val="20"/>
          <w:lang w:val="cs-CZ"/>
        </w:rPr>
        <w:t>j</w:t>
      </w:r>
      <w:r w:rsidRPr="00F878C7">
        <w:rPr>
          <w:rFonts w:ascii="Arial" w:hAnsi="Arial" w:cs="Arial"/>
          <w:sz w:val="20"/>
          <w:lang w:val="cs-CZ"/>
        </w:rPr>
        <w:t>ako obchodní tajemství nebo jinou utajovanou skutečnost podle zvláštního zákona.</w:t>
      </w:r>
    </w:p>
    <w:p w14:paraId="421B6048" w14:textId="77777777" w:rsidR="005216A4" w:rsidRPr="00F878C7" w:rsidRDefault="005216A4"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Tato Dohoda byla sepsána ve dvou vyhotoveních s platností originálu, z nichž každý z Účastníků dohody ob</w:t>
      </w:r>
      <w:r w:rsidR="0025255A" w:rsidRPr="00F878C7">
        <w:rPr>
          <w:rFonts w:ascii="Arial" w:hAnsi="Arial" w:cs="Arial"/>
          <w:sz w:val="20"/>
          <w:lang w:val="cs-CZ"/>
        </w:rPr>
        <w:t>dr</w:t>
      </w:r>
      <w:r w:rsidRPr="00F878C7">
        <w:rPr>
          <w:rFonts w:ascii="Arial" w:hAnsi="Arial" w:cs="Arial"/>
          <w:sz w:val="20"/>
          <w:lang w:val="cs-CZ"/>
        </w:rPr>
        <w:t>ží po jednom.</w:t>
      </w:r>
    </w:p>
    <w:p w14:paraId="2F4983D9" w14:textId="77777777" w:rsidR="005216A4" w:rsidRPr="00F878C7" w:rsidRDefault="005216A4" w:rsidP="008840B7">
      <w:pPr>
        <w:pStyle w:val="Odstavecseseznamem"/>
        <w:numPr>
          <w:ilvl w:val="1"/>
          <w:numId w:val="1"/>
        </w:numPr>
        <w:spacing w:after="120" w:line="240" w:lineRule="auto"/>
        <w:ind w:left="567" w:hanging="567"/>
        <w:contextualSpacing w:val="0"/>
        <w:jc w:val="both"/>
        <w:rPr>
          <w:rFonts w:ascii="Arial" w:hAnsi="Arial" w:cs="Arial"/>
          <w:sz w:val="20"/>
          <w:lang w:val="cs-CZ"/>
        </w:rPr>
      </w:pPr>
      <w:r w:rsidRPr="00F878C7">
        <w:rPr>
          <w:rFonts w:ascii="Arial" w:hAnsi="Arial" w:cs="Arial"/>
          <w:sz w:val="20"/>
          <w:lang w:val="cs-CZ"/>
        </w:rPr>
        <w:t>Účastníci dohody prohlašují, že Dohodu řádně přečetli, s celým jejím obsahem souhlasí a na důkaz toho, že se jedná o projev jejich svobodné a vážné vůle, který není činěn v tísni ani za nápadně nevýhodných podmínek, připojují své podpisy.</w:t>
      </w:r>
    </w:p>
    <w:p w14:paraId="3253DF92" w14:textId="77777777" w:rsidR="00ED3F42" w:rsidRPr="00F878C7" w:rsidRDefault="00ED3F42" w:rsidP="008840B7">
      <w:pPr>
        <w:spacing w:after="0" w:line="240" w:lineRule="auto"/>
        <w:jc w:val="both"/>
        <w:rPr>
          <w:rFonts w:ascii="Arial" w:hAnsi="Arial" w:cs="Arial"/>
          <w:sz w:val="20"/>
          <w:lang w:val="cs-CZ"/>
        </w:rPr>
      </w:pPr>
    </w:p>
    <w:p w14:paraId="56B49F4E" w14:textId="77777777" w:rsidR="005216A4" w:rsidRPr="00F878C7" w:rsidRDefault="005216A4" w:rsidP="00ED3F42">
      <w:pPr>
        <w:spacing w:after="0" w:line="240" w:lineRule="auto"/>
        <w:rPr>
          <w:rFonts w:ascii="Arial" w:hAnsi="Arial" w:cs="Arial"/>
          <w:sz w:val="20"/>
          <w:lang w:val="cs-CZ"/>
        </w:rPr>
      </w:pPr>
    </w:p>
    <w:p w14:paraId="6A50672C" w14:textId="77777777" w:rsidR="00366976" w:rsidRPr="00F878C7" w:rsidRDefault="00366976" w:rsidP="00366976">
      <w:pPr>
        <w:tabs>
          <w:tab w:val="left" w:pos="1620"/>
          <w:tab w:val="left" w:pos="4536"/>
        </w:tabs>
        <w:suppressAutoHyphens/>
        <w:snapToGrid w:val="0"/>
        <w:rPr>
          <w:rFonts w:ascii="HelveticaNeueLT W1G 55 Roman" w:eastAsia="Calibri" w:hAnsi="HelveticaNeueLT W1G 55 Roman" w:cs="Arial"/>
          <w:b/>
          <w:sz w:val="20"/>
          <w:szCs w:val="20"/>
          <w:lang w:val="cs-CZ"/>
        </w:rPr>
      </w:pPr>
      <w:r w:rsidRPr="00F878C7">
        <w:rPr>
          <w:rFonts w:ascii="HelveticaNeueLT W1G 55 Roman" w:eastAsia="Calibri" w:hAnsi="HelveticaNeueLT W1G 55 Roman" w:cs="Arial"/>
          <w:b/>
          <w:sz w:val="20"/>
          <w:szCs w:val="20"/>
          <w:lang w:val="cs-CZ"/>
        </w:rPr>
        <w:t>Za Prodávajícího</w:t>
      </w:r>
      <w:r w:rsidRPr="00F878C7">
        <w:rPr>
          <w:rFonts w:ascii="HelveticaNeueLT W1G 55 Roman" w:eastAsia="Calibri" w:hAnsi="HelveticaNeueLT W1G 55 Roman" w:cs="Arial"/>
          <w:b/>
          <w:sz w:val="20"/>
          <w:szCs w:val="20"/>
          <w:lang w:val="cs-CZ"/>
        </w:rPr>
        <w:tab/>
      </w:r>
      <w:r w:rsidRPr="00F878C7">
        <w:rPr>
          <w:rFonts w:ascii="HelveticaNeueLT W1G 55 Roman" w:eastAsia="Calibri" w:hAnsi="HelveticaNeueLT W1G 55 Roman" w:cs="Arial"/>
          <w:b/>
          <w:sz w:val="20"/>
          <w:szCs w:val="20"/>
          <w:lang w:val="cs-CZ"/>
        </w:rPr>
        <w:tab/>
      </w:r>
      <w:r w:rsidRPr="00F878C7">
        <w:rPr>
          <w:rFonts w:ascii="HelveticaNeueLT W1G 55 Roman" w:eastAsia="Calibri" w:hAnsi="HelveticaNeueLT W1G 55 Roman" w:cs="Arial"/>
          <w:b/>
          <w:sz w:val="20"/>
          <w:szCs w:val="20"/>
          <w:lang w:val="cs-CZ"/>
        </w:rPr>
        <w:tab/>
        <w:t>Za Kupujícího</w:t>
      </w:r>
    </w:p>
    <w:p w14:paraId="2992FC25" w14:textId="29144B68" w:rsidR="00366976" w:rsidRPr="00F878C7" w:rsidRDefault="00366976" w:rsidP="00366976">
      <w:pPr>
        <w:suppressAutoHyphens/>
        <w:snapToGrid w:val="0"/>
        <w:spacing w:before="120"/>
        <w:jc w:val="both"/>
        <w:rPr>
          <w:rFonts w:ascii="HelveticaNeueLT W1G 55 Roman" w:eastAsia="Calibri" w:hAnsi="HelveticaNeueLT W1G 55 Roman" w:cs="Arial"/>
          <w:sz w:val="20"/>
          <w:szCs w:val="20"/>
          <w:lang w:val="cs-CZ"/>
        </w:rPr>
      </w:pPr>
      <w:r w:rsidRPr="00F878C7">
        <w:rPr>
          <w:rFonts w:ascii="HelveticaNeueLT W1G 55 Roman" w:eastAsia="Calibri" w:hAnsi="HelveticaNeueLT W1G 55 Roman" w:cs="Arial"/>
          <w:sz w:val="20"/>
          <w:szCs w:val="20"/>
          <w:lang w:val="cs-CZ"/>
        </w:rPr>
        <w:t xml:space="preserve">Praha, </w:t>
      </w:r>
      <w:r w:rsidR="009E59AA">
        <w:rPr>
          <w:rFonts w:ascii="HelveticaNeueLT W1G 55 Roman" w:eastAsia="Calibri" w:hAnsi="HelveticaNeueLT W1G 55 Roman" w:cs="Arial"/>
          <w:sz w:val="20"/>
          <w:szCs w:val="20"/>
          <w:lang w:val="cs-CZ"/>
        </w:rPr>
        <w:t>5. 1. 2022</w:t>
      </w:r>
      <w:r w:rsidR="009E59AA">
        <w:rPr>
          <w:rFonts w:ascii="HelveticaNeueLT W1G 55 Roman" w:eastAsia="Calibri" w:hAnsi="HelveticaNeueLT W1G 55 Roman" w:cs="Arial"/>
          <w:sz w:val="20"/>
          <w:szCs w:val="20"/>
          <w:lang w:val="cs-CZ"/>
        </w:rPr>
        <w:tab/>
      </w:r>
      <w:r w:rsidR="009E59AA">
        <w:rPr>
          <w:rFonts w:ascii="HelveticaNeueLT W1G 55 Roman" w:eastAsia="Calibri" w:hAnsi="HelveticaNeueLT W1G 55 Roman" w:cs="Arial"/>
          <w:sz w:val="20"/>
          <w:szCs w:val="20"/>
          <w:lang w:val="cs-CZ"/>
        </w:rPr>
        <w:tab/>
      </w:r>
      <w:r w:rsidR="009E59AA">
        <w:rPr>
          <w:rFonts w:ascii="HelveticaNeueLT W1G 55 Roman" w:eastAsia="Calibri" w:hAnsi="HelveticaNeueLT W1G 55 Roman" w:cs="Arial"/>
          <w:sz w:val="20"/>
          <w:szCs w:val="20"/>
          <w:lang w:val="cs-CZ"/>
        </w:rPr>
        <w:tab/>
      </w:r>
      <w:r w:rsidR="009E59AA">
        <w:rPr>
          <w:rFonts w:ascii="HelveticaNeueLT W1G 55 Roman" w:eastAsia="Calibri" w:hAnsi="HelveticaNeueLT W1G 55 Roman" w:cs="Arial"/>
          <w:sz w:val="20"/>
          <w:szCs w:val="20"/>
          <w:lang w:val="cs-CZ"/>
        </w:rPr>
        <w:tab/>
      </w:r>
      <w:r w:rsidR="00720214">
        <w:rPr>
          <w:rFonts w:ascii="HelveticaNeueLT W1G 55 Roman" w:eastAsia="Calibri" w:hAnsi="HelveticaNeueLT W1G 55 Roman" w:cs="Arial"/>
          <w:sz w:val="20"/>
          <w:szCs w:val="20"/>
          <w:lang w:val="cs-CZ"/>
        </w:rPr>
        <w:tab/>
      </w:r>
      <w:r w:rsidR="009E59AA">
        <w:rPr>
          <w:rFonts w:ascii="HelveticaNeueLT W1G 55 Roman" w:eastAsia="Calibri" w:hAnsi="HelveticaNeueLT W1G 55 Roman" w:cs="Arial"/>
          <w:sz w:val="20"/>
          <w:szCs w:val="20"/>
          <w:lang w:val="cs-CZ"/>
        </w:rPr>
        <w:t>11. 1. 2022</w:t>
      </w:r>
    </w:p>
    <w:p w14:paraId="06DFE645" w14:textId="77777777" w:rsidR="00366976" w:rsidRPr="00F878C7" w:rsidRDefault="00366976" w:rsidP="00366976">
      <w:pPr>
        <w:suppressAutoHyphens/>
        <w:snapToGrid w:val="0"/>
        <w:rPr>
          <w:rFonts w:ascii="HelveticaNeueLT W1G 55 Roman" w:eastAsia="Calibri" w:hAnsi="HelveticaNeueLT W1G 55 Roman" w:cs="Arial"/>
          <w:sz w:val="20"/>
          <w:szCs w:val="20"/>
          <w:lang w:val="cs-CZ"/>
        </w:rPr>
      </w:pPr>
    </w:p>
    <w:p w14:paraId="56919BD7" w14:textId="77777777" w:rsidR="00366976" w:rsidRPr="00F878C7" w:rsidRDefault="00366976" w:rsidP="00366976">
      <w:pPr>
        <w:suppressAutoHyphens/>
        <w:snapToGrid w:val="0"/>
        <w:rPr>
          <w:rFonts w:ascii="HelveticaNeueLT W1G 55 Roman" w:eastAsia="Calibri" w:hAnsi="HelveticaNeueLT W1G 55 Roman" w:cs="Arial"/>
          <w:sz w:val="20"/>
          <w:szCs w:val="20"/>
          <w:lang w:val="cs-CZ"/>
        </w:rPr>
      </w:pPr>
    </w:p>
    <w:p w14:paraId="2B14587B" w14:textId="77777777" w:rsidR="00366976" w:rsidRPr="00F878C7" w:rsidRDefault="00366976" w:rsidP="00366976">
      <w:pPr>
        <w:suppressAutoHyphens/>
        <w:snapToGrid w:val="0"/>
        <w:rPr>
          <w:rFonts w:ascii="HelveticaNeueLT W1G 55 Roman" w:eastAsia="Calibri" w:hAnsi="HelveticaNeueLT W1G 55 Roman" w:cs="Arial"/>
          <w:sz w:val="20"/>
          <w:szCs w:val="20"/>
          <w:lang w:val="cs-CZ"/>
        </w:rPr>
      </w:pPr>
      <w:r w:rsidRPr="00F878C7">
        <w:rPr>
          <w:rFonts w:ascii="HelveticaNeueLT W1G 55 Roman" w:eastAsia="Calibri" w:hAnsi="HelveticaNeueLT W1G 55 Roman" w:cs="Arial"/>
          <w:sz w:val="20"/>
          <w:szCs w:val="20"/>
          <w:lang w:val="cs-CZ"/>
        </w:rPr>
        <w:t>____________________________</w:t>
      </w:r>
      <w:r w:rsidRPr="00F878C7">
        <w:rPr>
          <w:rFonts w:ascii="HelveticaNeueLT W1G 55 Roman" w:eastAsia="Calibri" w:hAnsi="HelveticaNeueLT W1G 55 Roman" w:cs="Arial"/>
          <w:sz w:val="20"/>
          <w:szCs w:val="20"/>
          <w:lang w:val="cs-CZ"/>
        </w:rPr>
        <w:tab/>
      </w:r>
      <w:r w:rsidRPr="00F878C7">
        <w:rPr>
          <w:rFonts w:ascii="HelveticaNeueLT W1G 55 Roman" w:eastAsia="Calibri" w:hAnsi="HelveticaNeueLT W1G 55 Roman" w:cs="Arial"/>
          <w:sz w:val="20"/>
          <w:szCs w:val="20"/>
          <w:lang w:val="cs-CZ"/>
        </w:rPr>
        <w:tab/>
      </w:r>
      <w:r w:rsidRPr="00F878C7">
        <w:rPr>
          <w:rFonts w:ascii="HelveticaNeueLT W1G 55 Roman" w:eastAsia="Calibri" w:hAnsi="HelveticaNeueLT W1G 55 Roman" w:cs="Arial"/>
          <w:sz w:val="20"/>
          <w:szCs w:val="20"/>
          <w:lang w:val="cs-CZ"/>
        </w:rPr>
        <w:tab/>
        <w:t>_____________________________</w:t>
      </w:r>
    </w:p>
    <w:p w14:paraId="46932433" w14:textId="67FD84C3" w:rsidR="00366976" w:rsidRPr="00F878C7" w:rsidRDefault="00366976" w:rsidP="00366976">
      <w:pPr>
        <w:suppressAutoHyphens/>
        <w:snapToGrid w:val="0"/>
        <w:spacing w:before="120" w:after="0"/>
        <w:rPr>
          <w:rFonts w:ascii="HelveticaNeueLT W1G 55 Roman" w:eastAsia="Calibri" w:hAnsi="HelveticaNeueLT W1G 55 Roman" w:cs="Arial"/>
          <w:sz w:val="20"/>
          <w:szCs w:val="20"/>
          <w:lang w:val="cs-CZ"/>
        </w:rPr>
      </w:pPr>
      <w:r w:rsidRPr="00F878C7">
        <w:rPr>
          <w:rFonts w:ascii="HelveticaNeueLT W1G 55 Roman" w:eastAsia="Calibri" w:hAnsi="HelveticaNeueLT W1G 55 Roman" w:cs="Arial"/>
          <w:i/>
          <w:sz w:val="20"/>
          <w:szCs w:val="20"/>
          <w:lang w:val="cs-CZ"/>
        </w:rPr>
        <w:t xml:space="preserve">Radek </w:t>
      </w:r>
      <w:proofErr w:type="spellStart"/>
      <w:r w:rsidRPr="00F878C7">
        <w:rPr>
          <w:rFonts w:ascii="HelveticaNeueLT W1G 55 Roman" w:eastAsia="Calibri" w:hAnsi="HelveticaNeueLT W1G 55 Roman" w:cs="Arial"/>
          <w:i/>
          <w:sz w:val="20"/>
          <w:szCs w:val="20"/>
          <w:lang w:val="cs-CZ"/>
        </w:rPr>
        <w:t>Šubotník</w:t>
      </w:r>
      <w:proofErr w:type="spellEnd"/>
      <w:r w:rsidRPr="00F878C7">
        <w:rPr>
          <w:rFonts w:ascii="HelveticaNeueLT W1G 55 Roman" w:eastAsia="Calibri" w:hAnsi="HelveticaNeueLT W1G 55 Roman" w:cs="Arial"/>
          <w:i/>
          <w:sz w:val="20"/>
          <w:szCs w:val="20"/>
          <w:lang w:val="cs-CZ"/>
        </w:rPr>
        <w:tab/>
        <w:t>, prokurista</w:t>
      </w:r>
      <w:r w:rsidRPr="00F878C7">
        <w:rPr>
          <w:rFonts w:ascii="HelveticaNeueLT W1G 55 Roman" w:eastAsia="Calibri" w:hAnsi="HelveticaNeueLT W1G 55 Roman" w:cs="Arial"/>
          <w:i/>
          <w:sz w:val="20"/>
          <w:szCs w:val="20"/>
          <w:lang w:val="cs-CZ"/>
        </w:rPr>
        <w:tab/>
      </w:r>
      <w:r w:rsidRPr="00F878C7">
        <w:rPr>
          <w:rFonts w:ascii="HelveticaNeueLT W1G 55 Roman" w:eastAsia="Calibri" w:hAnsi="HelveticaNeueLT W1G 55 Roman" w:cs="Arial"/>
          <w:i/>
          <w:sz w:val="20"/>
          <w:szCs w:val="20"/>
          <w:lang w:val="cs-CZ"/>
        </w:rPr>
        <w:tab/>
        <w:t xml:space="preserve">       </w:t>
      </w:r>
      <w:r w:rsidRPr="00F878C7">
        <w:rPr>
          <w:rFonts w:ascii="HelveticaNeueLT W1G 55 Roman" w:eastAsia="Calibri" w:hAnsi="HelveticaNeueLT W1G 55 Roman" w:cs="Arial"/>
          <w:i/>
          <w:sz w:val="20"/>
          <w:szCs w:val="20"/>
          <w:lang w:val="cs-CZ"/>
        </w:rPr>
        <w:tab/>
      </w:r>
      <w:r w:rsidRPr="00F878C7">
        <w:rPr>
          <w:rFonts w:ascii="HelveticaNeueLT W1G 55 Roman" w:eastAsia="Calibri" w:hAnsi="HelveticaNeueLT W1G 55 Roman" w:cs="Arial"/>
          <w:i/>
          <w:sz w:val="20"/>
          <w:szCs w:val="20"/>
          <w:lang w:val="cs-CZ"/>
        </w:rPr>
        <w:tab/>
      </w:r>
      <w:r w:rsidR="00DF2E80" w:rsidRPr="00DF2E80">
        <w:rPr>
          <w:rFonts w:ascii="HelveticaNeueLT W1G 55 Roman" w:eastAsia="Calibri" w:hAnsi="HelveticaNeueLT W1G 55 Roman" w:cs="Arial"/>
          <w:i/>
          <w:sz w:val="20"/>
          <w:szCs w:val="20"/>
          <w:lang w:val="cs-CZ"/>
        </w:rPr>
        <w:t>prof. MUDr. Jaroslav Štěrba, Ph.D., ředitel</w:t>
      </w:r>
    </w:p>
    <w:p w14:paraId="6416C96A" w14:textId="05313F49" w:rsidR="00366976" w:rsidRPr="00F878C7" w:rsidRDefault="00366976" w:rsidP="00720214">
      <w:pPr>
        <w:suppressAutoHyphens/>
        <w:snapToGrid w:val="0"/>
        <w:spacing w:after="0"/>
        <w:rPr>
          <w:rFonts w:ascii="HelveticaNeueLT W1G 55 Roman" w:eastAsia="Calibri" w:hAnsi="HelveticaNeueLT W1G 55 Roman" w:cs="Arial"/>
          <w:sz w:val="20"/>
          <w:szCs w:val="20"/>
          <w:lang w:val="cs-CZ"/>
        </w:rPr>
      </w:pPr>
      <w:proofErr w:type="spellStart"/>
      <w:r w:rsidRPr="00F878C7">
        <w:rPr>
          <w:rFonts w:ascii="HelveticaNeueLT W1G 55 Roman" w:eastAsia="Calibri" w:hAnsi="HelveticaNeueLT W1G 55 Roman" w:cs="Arial"/>
          <w:i/>
          <w:sz w:val="20"/>
          <w:szCs w:val="20"/>
          <w:lang w:val="cs-CZ"/>
        </w:rPr>
        <w:t>Olympus</w:t>
      </w:r>
      <w:proofErr w:type="spellEnd"/>
      <w:r w:rsidRPr="00F878C7">
        <w:rPr>
          <w:rFonts w:ascii="HelveticaNeueLT W1G 55 Roman" w:eastAsia="Calibri" w:hAnsi="HelveticaNeueLT W1G 55 Roman" w:cs="Arial"/>
          <w:i/>
          <w:sz w:val="20"/>
          <w:szCs w:val="20"/>
          <w:lang w:val="cs-CZ"/>
        </w:rPr>
        <w:t xml:space="preserve"> Czech Group s.r.o., člen koncernu</w:t>
      </w:r>
      <w:r w:rsidRPr="00F878C7">
        <w:rPr>
          <w:rFonts w:ascii="HelveticaNeueLT W1G 55 Roman" w:eastAsia="Calibri" w:hAnsi="HelveticaNeueLT W1G 55 Roman" w:cs="Arial"/>
          <w:i/>
          <w:sz w:val="20"/>
          <w:szCs w:val="20"/>
          <w:lang w:val="cs-CZ"/>
        </w:rPr>
        <w:tab/>
      </w:r>
      <w:r w:rsidRPr="00F878C7">
        <w:rPr>
          <w:rFonts w:ascii="HelveticaNeueLT W1G 55 Roman" w:eastAsia="Calibri" w:hAnsi="HelveticaNeueLT W1G 55 Roman" w:cs="Arial"/>
          <w:i/>
          <w:sz w:val="20"/>
          <w:szCs w:val="20"/>
          <w:lang w:val="cs-CZ"/>
        </w:rPr>
        <w:tab/>
      </w:r>
      <w:r w:rsidR="00DF2E80">
        <w:rPr>
          <w:rFonts w:ascii="HelveticaNeueLT W1G 55 Roman" w:eastAsia="Calibri" w:hAnsi="HelveticaNeueLT W1G 55 Roman" w:cs="Arial"/>
          <w:i/>
          <w:sz w:val="20"/>
          <w:szCs w:val="20"/>
          <w:lang w:val="cs-CZ"/>
        </w:rPr>
        <w:t>Fakultní nemocnice Brno</w:t>
      </w:r>
    </w:p>
    <w:p w14:paraId="5939C192" w14:textId="77777777" w:rsidR="00366976" w:rsidRPr="00F878C7" w:rsidRDefault="00366976" w:rsidP="00366976">
      <w:pPr>
        <w:suppressAutoHyphens/>
        <w:snapToGrid w:val="0"/>
        <w:rPr>
          <w:rFonts w:ascii="HelveticaNeueLT W1G 55 Roman" w:eastAsia="Calibri" w:hAnsi="HelveticaNeueLT W1G 55 Roman" w:cs="Arial"/>
          <w:sz w:val="20"/>
          <w:szCs w:val="20"/>
          <w:lang w:val="cs-CZ"/>
        </w:rPr>
      </w:pPr>
    </w:p>
    <w:p w14:paraId="17C3E49E" w14:textId="77777777" w:rsidR="00366976" w:rsidRPr="00F878C7" w:rsidRDefault="00366976" w:rsidP="00366976">
      <w:pPr>
        <w:suppressAutoHyphens/>
        <w:snapToGrid w:val="0"/>
        <w:rPr>
          <w:rFonts w:ascii="HelveticaNeueLT W1G 55 Roman" w:eastAsia="Calibri" w:hAnsi="HelveticaNeueLT W1G 55 Roman" w:cs="Arial"/>
          <w:sz w:val="20"/>
          <w:szCs w:val="20"/>
          <w:lang w:val="cs-CZ"/>
        </w:rPr>
      </w:pPr>
    </w:p>
    <w:p w14:paraId="51264E6D" w14:textId="77777777" w:rsidR="00366976" w:rsidRPr="00F878C7" w:rsidRDefault="00366976" w:rsidP="00366976">
      <w:pPr>
        <w:suppressAutoHyphens/>
        <w:snapToGrid w:val="0"/>
        <w:rPr>
          <w:rFonts w:ascii="HelveticaNeueLT W1G 55 Roman" w:eastAsia="Calibri" w:hAnsi="HelveticaNeueLT W1G 55 Roman" w:cs="Arial"/>
          <w:sz w:val="20"/>
          <w:szCs w:val="20"/>
          <w:lang w:val="cs-CZ"/>
        </w:rPr>
      </w:pPr>
      <w:r w:rsidRPr="00F878C7">
        <w:rPr>
          <w:rFonts w:ascii="HelveticaNeueLT W1G 55 Roman" w:eastAsia="Calibri" w:hAnsi="HelveticaNeueLT W1G 55 Roman" w:cs="Arial"/>
          <w:sz w:val="20"/>
          <w:szCs w:val="20"/>
          <w:lang w:val="cs-CZ"/>
        </w:rPr>
        <w:t>____________________________</w:t>
      </w:r>
      <w:r w:rsidRPr="00F878C7">
        <w:rPr>
          <w:rFonts w:ascii="HelveticaNeueLT W1G 55 Roman" w:eastAsia="Calibri" w:hAnsi="HelveticaNeueLT W1G 55 Roman" w:cs="Arial"/>
          <w:sz w:val="20"/>
          <w:szCs w:val="20"/>
          <w:lang w:val="cs-CZ"/>
        </w:rPr>
        <w:tab/>
      </w:r>
      <w:r w:rsidRPr="00F878C7">
        <w:rPr>
          <w:rFonts w:ascii="HelveticaNeueLT W1G 55 Roman" w:eastAsia="Calibri" w:hAnsi="HelveticaNeueLT W1G 55 Roman" w:cs="Arial"/>
          <w:sz w:val="20"/>
          <w:szCs w:val="20"/>
          <w:lang w:val="cs-CZ"/>
        </w:rPr>
        <w:tab/>
      </w:r>
    </w:p>
    <w:p w14:paraId="459B7AF2" w14:textId="5B95C6A4" w:rsidR="00366976" w:rsidRPr="00F878C7" w:rsidRDefault="00720214" w:rsidP="00366976">
      <w:pPr>
        <w:suppressAutoHyphens/>
        <w:snapToGrid w:val="0"/>
        <w:spacing w:before="120" w:after="0"/>
        <w:rPr>
          <w:rFonts w:ascii="HelveticaNeueLT W1G 55 Roman" w:eastAsia="Calibri" w:hAnsi="HelveticaNeueLT W1G 55 Roman" w:cs="Arial"/>
          <w:i/>
          <w:sz w:val="20"/>
          <w:szCs w:val="20"/>
          <w:lang w:val="cs-CZ"/>
        </w:rPr>
      </w:pPr>
      <w:r>
        <w:rPr>
          <w:rFonts w:ascii="HelveticaNeueLT W1G 55 Roman" w:eastAsia="Calibri" w:hAnsi="HelveticaNeueLT W1G 55 Roman" w:cs="Arial"/>
          <w:i/>
          <w:sz w:val="20"/>
          <w:szCs w:val="20"/>
          <w:lang w:val="cs-CZ"/>
        </w:rPr>
        <w:t>Ing. Ivo Lukeš</w:t>
      </w:r>
      <w:r w:rsidR="00366976" w:rsidRPr="00F878C7">
        <w:rPr>
          <w:rFonts w:ascii="HelveticaNeueLT W1G 55 Roman" w:eastAsia="Calibri" w:hAnsi="HelveticaNeueLT W1G 55 Roman" w:cs="Arial"/>
          <w:i/>
          <w:sz w:val="20"/>
          <w:szCs w:val="20"/>
          <w:lang w:val="cs-CZ"/>
        </w:rPr>
        <w:t>, prokurista</w:t>
      </w:r>
      <w:r w:rsidR="00366976" w:rsidRPr="00F878C7">
        <w:rPr>
          <w:rFonts w:ascii="HelveticaNeueLT W1G 55 Roman" w:eastAsia="Calibri" w:hAnsi="HelveticaNeueLT W1G 55 Roman" w:cs="Arial"/>
          <w:i/>
          <w:sz w:val="20"/>
          <w:szCs w:val="20"/>
          <w:lang w:val="cs-CZ"/>
        </w:rPr>
        <w:tab/>
      </w:r>
    </w:p>
    <w:p w14:paraId="78C87D76" w14:textId="77777777" w:rsidR="00366976" w:rsidRPr="00F878C7" w:rsidRDefault="00366976" w:rsidP="00366976">
      <w:pPr>
        <w:suppressAutoHyphens/>
        <w:snapToGrid w:val="0"/>
        <w:spacing w:after="0"/>
        <w:rPr>
          <w:rFonts w:ascii="HelveticaNeueLT W1G 55 Roman" w:eastAsia="Calibri" w:hAnsi="HelveticaNeueLT W1G 55 Roman" w:cs="Arial"/>
          <w:i/>
          <w:sz w:val="20"/>
          <w:szCs w:val="20"/>
          <w:lang w:val="cs-CZ"/>
        </w:rPr>
      </w:pPr>
      <w:proofErr w:type="spellStart"/>
      <w:r w:rsidRPr="00F878C7">
        <w:rPr>
          <w:rFonts w:ascii="HelveticaNeueLT W1G 55 Roman" w:eastAsia="Calibri" w:hAnsi="HelveticaNeueLT W1G 55 Roman" w:cs="Arial"/>
          <w:i/>
          <w:sz w:val="20"/>
          <w:szCs w:val="20"/>
          <w:lang w:val="cs-CZ"/>
        </w:rPr>
        <w:t>Olympus</w:t>
      </w:r>
      <w:proofErr w:type="spellEnd"/>
      <w:r w:rsidRPr="00F878C7">
        <w:rPr>
          <w:rFonts w:ascii="HelveticaNeueLT W1G 55 Roman" w:eastAsia="Calibri" w:hAnsi="HelveticaNeueLT W1G 55 Roman" w:cs="Arial"/>
          <w:i/>
          <w:sz w:val="20"/>
          <w:szCs w:val="20"/>
          <w:lang w:val="cs-CZ"/>
        </w:rPr>
        <w:t xml:space="preserve"> Czech Group s.r.o., člen koncernu</w:t>
      </w:r>
    </w:p>
    <w:p w14:paraId="3E82191E" w14:textId="77777777" w:rsidR="00F67E72" w:rsidRPr="00F878C7" w:rsidRDefault="00F67E72" w:rsidP="00433BE6">
      <w:pPr>
        <w:spacing w:after="0" w:line="240" w:lineRule="auto"/>
        <w:contextualSpacing/>
        <w:rPr>
          <w:rFonts w:ascii="Arial" w:hAnsi="Arial" w:cs="Arial"/>
          <w:sz w:val="20"/>
          <w:lang w:val="cs-CZ"/>
        </w:rPr>
      </w:pPr>
    </w:p>
    <w:p w14:paraId="200A7A7A" w14:textId="77777777" w:rsidR="0025255A" w:rsidRPr="00F878C7" w:rsidRDefault="0025255A">
      <w:pPr>
        <w:rPr>
          <w:rFonts w:ascii="Arial" w:hAnsi="Arial" w:cs="Arial"/>
          <w:sz w:val="20"/>
          <w:lang w:val="cs-CZ"/>
        </w:rPr>
      </w:pPr>
      <w:r w:rsidRPr="00F878C7">
        <w:rPr>
          <w:rFonts w:ascii="Arial" w:hAnsi="Arial" w:cs="Arial"/>
          <w:sz w:val="20"/>
          <w:lang w:val="cs-CZ"/>
        </w:rPr>
        <w:br w:type="page"/>
      </w:r>
    </w:p>
    <w:p w14:paraId="4D096759" w14:textId="77777777" w:rsidR="00366976" w:rsidRPr="00F878C7" w:rsidRDefault="00366976" w:rsidP="00433BE6">
      <w:pPr>
        <w:spacing w:after="0" w:line="240" w:lineRule="auto"/>
        <w:contextualSpacing/>
        <w:rPr>
          <w:rFonts w:ascii="Arial" w:hAnsi="Arial" w:cs="Arial"/>
          <w:sz w:val="20"/>
          <w:lang w:val="cs-CZ"/>
        </w:rPr>
      </w:pPr>
    </w:p>
    <w:p w14:paraId="7CCE90AD" w14:textId="77777777" w:rsidR="00366976" w:rsidRPr="00F878C7" w:rsidRDefault="00366976" w:rsidP="00433BE6">
      <w:pPr>
        <w:spacing w:after="0" w:line="240" w:lineRule="auto"/>
        <w:contextualSpacing/>
        <w:rPr>
          <w:rFonts w:ascii="HelveticaNeueLT W1G 55 Roman" w:eastAsia="Times New Roman" w:hAnsi="HelveticaNeueLT W1G 55 Roman" w:cs="Arial"/>
          <w:b/>
          <w:sz w:val="26"/>
          <w:lang w:val="cs-CZ"/>
        </w:rPr>
      </w:pPr>
      <w:bookmarkStart w:id="1" w:name="_Hlk55993957"/>
      <w:r w:rsidRPr="00F878C7">
        <w:rPr>
          <w:rFonts w:ascii="HelveticaNeueLT W1G 55 Roman" w:eastAsia="Times New Roman" w:hAnsi="HelveticaNeueLT W1G 55 Roman" w:cs="Arial"/>
          <w:b/>
          <w:sz w:val="26"/>
          <w:lang w:val="cs-CZ"/>
        </w:rPr>
        <w:t xml:space="preserve">Příloha č. 1 – Výpočet obchodního zvýhodnění </w:t>
      </w:r>
      <w:r w:rsidRPr="0090554C">
        <w:rPr>
          <w:rFonts w:ascii="HelveticaNeueLT W1G 55 Roman" w:eastAsia="Times New Roman" w:hAnsi="HelveticaNeueLT W1G 55 Roman" w:cs="Arial"/>
          <w:b/>
          <w:color w:val="FFC000"/>
          <w:sz w:val="26"/>
          <w:lang w:val="cs-CZ"/>
        </w:rPr>
        <w:t>(obchodní tajemství)</w:t>
      </w:r>
    </w:p>
    <w:bookmarkEnd w:id="1"/>
    <w:p w14:paraId="70C40434" w14:textId="3EB1FEF7" w:rsidR="00594B44" w:rsidRDefault="00594B44" w:rsidP="00594B44">
      <w:pPr>
        <w:spacing w:after="0" w:line="240" w:lineRule="auto"/>
        <w:contextualSpacing/>
        <w:rPr>
          <w:rFonts w:ascii="Arial" w:hAnsi="Arial" w:cs="Arial"/>
          <w:sz w:val="20"/>
          <w:lang w:val="cs-CZ"/>
        </w:rPr>
      </w:pPr>
    </w:p>
    <w:p w14:paraId="4D8F12C9" w14:textId="67354FD7" w:rsidR="009E59AA" w:rsidRDefault="009E59AA" w:rsidP="00594B44">
      <w:pPr>
        <w:spacing w:after="0" w:line="240" w:lineRule="auto"/>
        <w:contextualSpacing/>
        <w:rPr>
          <w:rFonts w:ascii="Arial" w:hAnsi="Arial" w:cs="Arial"/>
          <w:sz w:val="20"/>
          <w:lang w:val="cs-CZ"/>
        </w:rPr>
      </w:pPr>
    </w:p>
    <w:p w14:paraId="0344D941" w14:textId="0DCA7159" w:rsidR="009E59AA" w:rsidRPr="00F878C7" w:rsidRDefault="009E59AA" w:rsidP="00594B44">
      <w:pPr>
        <w:spacing w:after="0" w:line="240" w:lineRule="auto"/>
        <w:contextualSpacing/>
        <w:rPr>
          <w:rFonts w:ascii="Arial" w:hAnsi="Arial" w:cs="Arial"/>
          <w:sz w:val="20"/>
          <w:lang w:val="cs-CZ"/>
        </w:rPr>
      </w:pPr>
      <w:r>
        <w:rPr>
          <w:rFonts w:ascii="Arial" w:hAnsi="Arial" w:cs="Arial"/>
          <w:sz w:val="20"/>
          <w:lang w:val="cs-CZ"/>
        </w:rPr>
        <w:t>xxxxxxxxxxxxxxxxxxxxxxxxxxxxxxxxxxxxxxxxxxxxxxxxxxxxxxxxxxxxxxxxxxxxxxxxxxxxxxxxxxxxxxxxxx</w:t>
      </w:r>
    </w:p>
    <w:p w14:paraId="008D8606" w14:textId="77777777" w:rsidR="00366976" w:rsidRPr="00F878C7" w:rsidRDefault="00366976" w:rsidP="00433BE6">
      <w:pPr>
        <w:spacing w:after="0" w:line="240" w:lineRule="auto"/>
        <w:contextualSpacing/>
        <w:rPr>
          <w:rFonts w:ascii="Arial" w:hAnsi="Arial" w:cs="Arial"/>
          <w:sz w:val="20"/>
          <w:lang w:val="cs-CZ"/>
        </w:rPr>
      </w:pPr>
    </w:p>
    <w:p w14:paraId="505B38BE" w14:textId="77777777" w:rsidR="00366976" w:rsidRPr="00F878C7" w:rsidRDefault="00366976" w:rsidP="00433BE6">
      <w:pPr>
        <w:spacing w:after="0" w:line="240" w:lineRule="auto"/>
        <w:contextualSpacing/>
        <w:rPr>
          <w:rFonts w:ascii="Arial" w:hAnsi="Arial" w:cs="Arial"/>
          <w:sz w:val="20"/>
          <w:lang w:val="cs-CZ"/>
        </w:rPr>
      </w:pPr>
    </w:p>
    <w:p w14:paraId="6F2DF595" w14:textId="72DF98B0" w:rsidR="0050731A" w:rsidRDefault="0050731A" w:rsidP="0050731A">
      <w:pPr>
        <w:spacing w:after="0" w:line="240" w:lineRule="auto"/>
        <w:contextualSpacing/>
        <w:rPr>
          <w:rFonts w:ascii="HelveticaNeueLT W1G 55 Roman" w:eastAsia="Times New Roman" w:hAnsi="HelveticaNeueLT W1G 55 Roman" w:cs="Arial"/>
          <w:b/>
          <w:sz w:val="26"/>
          <w:lang w:val="cs-CZ"/>
        </w:rPr>
      </w:pPr>
      <w:r w:rsidRPr="00F878C7">
        <w:rPr>
          <w:rFonts w:ascii="HelveticaNeueLT W1G 55 Roman" w:eastAsia="Times New Roman" w:hAnsi="HelveticaNeueLT W1G 55 Roman" w:cs="Arial"/>
          <w:b/>
          <w:sz w:val="26"/>
          <w:lang w:val="cs-CZ"/>
        </w:rPr>
        <w:t xml:space="preserve">Příloha č. </w:t>
      </w:r>
      <w:r>
        <w:rPr>
          <w:rFonts w:ascii="HelveticaNeueLT W1G 55 Roman" w:eastAsia="Times New Roman" w:hAnsi="HelveticaNeueLT W1G 55 Roman" w:cs="Arial"/>
          <w:b/>
          <w:sz w:val="26"/>
          <w:lang w:val="cs-CZ"/>
        </w:rPr>
        <w:t>2</w:t>
      </w:r>
      <w:r w:rsidRPr="00F878C7">
        <w:rPr>
          <w:rFonts w:ascii="HelveticaNeueLT W1G 55 Roman" w:eastAsia="Times New Roman" w:hAnsi="HelveticaNeueLT W1G 55 Roman" w:cs="Arial"/>
          <w:b/>
          <w:sz w:val="26"/>
          <w:lang w:val="cs-CZ"/>
        </w:rPr>
        <w:t xml:space="preserve"> – </w:t>
      </w:r>
      <w:proofErr w:type="gramStart"/>
      <w:r w:rsidR="00497D03">
        <w:rPr>
          <w:rFonts w:ascii="HelveticaNeueLT W1G 55 Roman" w:eastAsia="Times New Roman" w:hAnsi="HelveticaNeueLT W1G 55 Roman" w:cs="Arial"/>
          <w:b/>
          <w:sz w:val="26"/>
          <w:lang w:val="cs-CZ"/>
        </w:rPr>
        <w:t>Zboží na</w:t>
      </w:r>
      <w:proofErr w:type="gramEnd"/>
      <w:r w:rsidR="00497D03">
        <w:rPr>
          <w:rFonts w:ascii="HelveticaNeueLT W1G 55 Roman" w:eastAsia="Times New Roman" w:hAnsi="HelveticaNeueLT W1G 55 Roman" w:cs="Arial"/>
          <w:b/>
          <w:sz w:val="26"/>
          <w:lang w:val="cs-CZ"/>
        </w:rPr>
        <w:t xml:space="preserve"> které se vztahuje finanční bonus</w:t>
      </w:r>
      <w:r w:rsidRPr="00F878C7">
        <w:rPr>
          <w:rFonts w:ascii="HelveticaNeueLT W1G 55 Roman" w:eastAsia="Times New Roman" w:hAnsi="HelveticaNeueLT W1G 55 Roman" w:cs="Arial"/>
          <w:b/>
          <w:sz w:val="26"/>
          <w:lang w:val="cs-CZ"/>
        </w:rPr>
        <w:t xml:space="preserve"> (obchodní tajemství)</w:t>
      </w:r>
    </w:p>
    <w:p w14:paraId="06F18AA8" w14:textId="77777777" w:rsidR="009E59AA" w:rsidRPr="00F878C7" w:rsidRDefault="009E59AA" w:rsidP="0050731A">
      <w:pPr>
        <w:spacing w:after="0" w:line="240" w:lineRule="auto"/>
        <w:contextualSpacing/>
        <w:rPr>
          <w:rFonts w:ascii="HelveticaNeueLT W1G 55 Roman" w:eastAsia="Times New Roman" w:hAnsi="HelveticaNeueLT W1G 55 Roman" w:cs="Arial"/>
          <w:b/>
          <w:sz w:val="26"/>
          <w:lang w:val="cs-CZ"/>
        </w:rPr>
      </w:pPr>
    </w:p>
    <w:p w14:paraId="64ED52E1" w14:textId="6D5FA35B" w:rsidR="0050731A" w:rsidRPr="00F878C7" w:rsidRDefault="009E59AA" w:rsidP="0050731A">
      <w:pPr>
        <w:spacing w:after="0" w:line="240" w:lineRule="auto"/>
        <w:contextualSpacing/>
        <w:rPr>
          <w:rFonts w:ascii="Arial" w:hAnsi="Arial" w:cs="Arial"/>
          <w:sz w:val="20"/>
          <w:lang w:val="cs-CZ"/>
        </w:rPr>
      </w:pPr>
      <w:r>
        <w:rPr>
          <w:rFonts w:ascii="Arial" w:hAnsi="Arial" w:cs="Arial"/>
          <w:sz w:val="20"/>
          <w:lang w:val="cs-CZ"/>
        </w:rPr>
        <w:t>xxxxxxxxxxxxxxxxxxxxxxxxxxxxxxxxxxxxxxxxxxxxxxxxxxxxxxxxxxxxxxxxxxxxxxxxxxxxxxxxxxxxxxxxxx</w:t>
      </w:r>
    </w:p>
    <w:p w14:paraId="3C0E86D0" w14:textId="77777777" w:rsidR="0050731A" w:rsidRPr="00F878C7" w:rsidRDefault="0050731A" w:rsidP="00433BE6">
      <w:pPr>
        <w:spacing w:after="0" w:line="240" w:lineRule="auto"/>
        <w:contextualSpacing/>
        <w:rPr>
          <w:rFonts w:ascii="Arial" w:hAnsi="Arial" w:cs="Arial"/>
          <w:sz w:val="20"/>
          <w:lang w:val="cs-CZ"/>
        </w:rPr>
      </w:pPr>
    </w:p>
    <w:sectPr w:rsidR="0050731A" w:rsidRPr="00F878C7" w:rsidSect="00253157">
      <w:footerReference w:type="default" r:id="rId11"/>
      <w:pgSz w:w="11906" w:h="16838" w:code="9"/>
      <w:pgMar w:top="1418" w:right="1247" w:bottom="993" w:left="1418" w:header="709" w:footer="36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3C7497" w16cid:durableId="233D1EDB"/>
  <w16cid:commentId w16cid:paraId="6EC7C4D5" w16cid:durableId="233D1DDE"/>
  <w16cid:commentId w16cid:paraId="145AFD3F" w16cid:durableId="233D24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4E41D" w14:textId="77777777" w:rsidR="00776957" w:rsidRDefault="00776957" w:rsidP="00253157">
      <w:pPr>
        <w:spacing w:after="0" w:line="240" w:lineRule="auto"/>
      </w:pPr>
      <w:r>
        <w:separator/>
      </w:r>
    </w:p>
  </w:endnote>
  <w:endnote w:type="continuationSeparator" w:id="0">
    <w:p w14:paraId="7AD04A94" w14:textId="77777777" w:rsidR="00776957" w:rsidRDefault="00776957" w:rsidP="00253157">
      <w:pPr>
        <w:spacing w:after="0" w:line="240" w:lineRule="auto"/>
      </w:pPr>
      <w:r>
        <w:continuationSeparator/>
      </w:r>
    </w:p>
  </w:endnote>
  <w:endnote w:type="continuationNotice" w:id="1">
    <w:p w14:paraId="18CDDA89" w14:textId="77777777" w:rsidR="00776957" w:rsidRDefault="00776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NeueLT W1G 55 Roman">
    <w:altName w:val="Arial"/>
    <w:panose1 w:val="00000000000000000000"/>
    <w:charset w:val="00"/>
    <w:family w:val="swiss"/>
    <w:notTrueType/>
    <w:pitch w:val="variable"/>
    <w:sig w:usb0="A00002A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rPr>
      <w:id w:val="724185574"/>
      <w:docPartObj>
        <w:docPartGallery w:val="Page Numbers (Bottom of Page)"/>
        <w:docPartUnique/>
      </w:docPartObj>
    </w:sdtPr>
    <w:sdtEndPr>
      <w:rPr>
        <w:noProof/>
      </w:rPr>
    </w:sdtEndPr>
    <w:sdtContent>
      <w:p w14:paraId="31734D97" w14:textId="20A9BB80" w:rsidR="00253157" w:rsidRPr="00253157" w:rsidRDefault="00253157">
        <w:pPr>
          <w:pStyle w:val="Zpat"/>
          <w:jc w:val="center"/>
          <w:rPr>
            <w:rFonts w:ascii="Arial" w:hAnsi="Arial" w:cs="Arial"/>
            <w:sz w:val="16"/>
          </w:rPr>
        </w:pPr>
        <w:proofErr w:type="spellStart"/>
        <w:r w:rsidRPr="00253157">
          <w:rPr>
            <w:rFonts w:ascii="Arial" w:hAnsi="Arial" w:cs="Arial"/>
            <w:sz w:val="16"/>
          </w:rPr>
          <w:t>Strana</w:t>
        </w:r>
        <w:proofErr w:type="spellEnd"/>
        <w:r w:rsidRPr="00253157">
          <w:rPr>
            <w:rFonts w:ascii="Arial" w:hAnsi="Arial" w:cs="Arial"/>
            <w:sz w:val="16"/>
          </w:rPr>
          <w:t xml:space="preserve"> </w:t>
        </w:r>
        <w:r w:rsidRPr="00253157">
          <w:rPr>
            <w:rFonts w:ascii="Arial" w:hAnsi="Arial" w:cs="Arial"/>
            <w:sz w:val="16"/>
          </w:rPr>
          <w:fldChar w:fldCharType="begin"/>
        </w:r>
        <w:r w:rsidRPr="00253157">
          <w:rPr>
            <w:rFonts w:ascii="Arial" w:hAnsi="Arial" w:cs="Arial"/>
            <w:sz w:val="16"/>
          </w:rPr>
          <w:instrText xml:space="preserve"> PAGE   \* MERGEFORMAT </w:instrText>
        </w:r>
        <w:r w:rsidRPr="00253157">
          <w:rPr>
            <w:rFonts w:ascii="Arial" w:hAnsi="Arial" w:cs="Arial"/>
            <w:sz w:val="16"/>
          </w:rPr>
          <w:fldChar w:fldCharType="separate"/>
        </w:r>
        <w:r w:rsidR="009E59AA">
          <w:rPr>
            <w:rFonts w:ascii="Arial" w:hAnsi="Arial" w:cs="Arial"/>
            <w:noProof/>
            <w:sz w:val="16"/>
          </w:rPr>
          <w:t>5</w:t>
        </w:r>
        <w:r w:rsidRPr="00253157">
          <w:rPr>
            <w:rFonts w:ascii="Arial" w:hAnsi="Arial" w:cs="Arial"/>
            <w:noProof/>
            <w:sz w:val="16"/>
          </w:rPr>
          <w:fldChar w:fldCharType="end"/>
        </w:r>
        <w:r w:rsidRPr="00253157">
          <w:rPr>
            <w:rFonts w:ascii="Arial" w:hAnsi="Arial" w:cs="Arial"/>
            <w:noProof/>
            <w:sz w:val="16"/>
          </w:rPr>
          <w:t xml:space="preserve"> z </w:t>
        </w:r>
        <w:r w:rsidR="007C1A6F">
          <w:rPr>
            <w:rFonts w:ascii="Arial" w:hAnsi="Arial" w:cs="Arial"/>
            <w:noProof/>
            <w:sz w:val="16"/>
          </w:rPr>
          <w:t>7</w:t>
        </w:r>
      </w:p>
    </w:sdtContent>
  </w:sdt>
  <w:p w14:paraId="2F74653C" w14:textId="77777777" w:rsidR="00253157" w:rsidRDefault="002531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B14D7" w14:textId="77777777" w:rsidR="00776957" w:rsidRDefault="00776957" w:rsidP="00253157">
      <w:pPr>
        <w:spacing w:after="0" w:line="240" w:lineRule="auto"/>
      </w:pPr>
      <w:r>
        <w:separator/>
      </w:r>
    </w:p>
  </w:footnote>
  <w:footnote w:type="continuationSeparator" w:id="0">
    <w:p w14:paraId="13B4BA4D" w14:textId="77777777" w:rsidR="00776957" w:rsidRDefault="00776957" w:rsidP="00253157">
      <w:pPr>
        <w:spacing w:after="0" w:line="240" w:lineRule="auto"/>
      </w:pPr>
      <w:r>
        <w:continuationSeparator/>
      </w:r>
    </w:p>
  </w:footnote>
  <w:footnote w:type="continuationNotice" w:id="1">
    <w:p w14:paraId="3943542A" w14:textId="77777777" w:rsidR="00776957" w:rsidRDefault="007769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5EB3"/>
    <w:multiLevelType w:val="multilevel"/>
    <w:tmpl w:val="99D2848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D2A0F31"/>
    <w:multiLevelType w:val="hybridMultilevel"/>
    <w:tmpl w:val="01E27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E6"/>
    <w:rsid w:val="00001022"/>
    <w:rsid w:val="00011C90"/>
    <w:rsid w:val="000701E7"/>
    <w:rsid w:val="000B42D5"/>
    <w:rsid w:val="00164AA3"/>
    <w:rsid w:val="00206081"/>
    <w:rsid w:val="00234F65"/>
    <w:rsid w:val="0025255A"/>
    <w:rsid w:val="00253157"/>
    <w:rsid w:val="002671A0"/>
    <w:rsid w:val="002B6940"/>
    <w:rsid w:val="002E4ED7"/>
    <w:rsid w:val="003169F0"/>
    <w:rsid w:val="00326649"/>
    <w:rsid w:val="00342383"/>
    <w:rsid w:val="00366976"/>
    <w:rsid w:val="00375B1E"/>
    <w:rsid w:val="003A341C"/>
    <w:rsid w:val="003D41B4"/>
    <w:rsid w:val="00410DA2"/>
    <w:rsid w:val="00420DC8"/>
    <w:rsid w:val="00433BE6"/>
    <w:rsid w:val="004419D5"/>
    <w:rsid w:val="00497D03"/>
    <w:rsid w:val="004B417A"/>
    <w:rsid w:val="004D174E"/>
    <w:rsid w:val="004D6430"/>
    <w:rsid w:val="004F5782"/>
    <w:rsid w:val="0050731A"/>
    <w:rsid w:val="005216A4"/>
    <w:rsid w:val="00543891"/>
    <w:rsid w:val="00590430"/>
    <w:rsid w:val="00594B44"/>
    <w:rsid w:val="005B5C6A"/>
    <w:rsid w:val="005C4D9D"/>
    <w:rsid w:val="00635CDF"/>
    <w:rsid w:val="00640A41"/>
    <w:rsid w:val="006C62EB"/>
    <w:rsid w:val="006F103D"/>
    <w:rsid w:val="0071775D"/>
    <w:rsid w:val="00720214"/>
    <w:rsid w:val="0072357F"/>
    <w:rsid w:val="007318B5"/>
    <w:rsid w:val="00776957"/>
    <w:rsid w:val="00777F88"/>
    <w:rsid w:val="007C1A6F"/>
    <w:rsid w:val="007D2D8C"/>
    <w:rsid w:val="007D5CB8"/>
    <w:rsid w:val="007E12DC"/>
    <w:rsid w:val="008136F7"/>
    <w:rsid w:val="00856DEB"/>
    <w:rsid w:val="008840B7"/>
    <w:rsid w:val="00897090"/>
    <w:rsid w:val="0090554C"/>
    <w:rsid w:val="00951314"/>
    <w:rsid w:val="009E59AA"/>
    <w:rsid w:val="00A0377E"/>
    <w:rsid w:val="00A06AB0"/>
    <w:rsid w:val="00A3716F"/>
    <w:rsid w:val="00A45A93"/>
    <w:rsid w:val="00A71EF0"/>
    <w:rsid w:val="00AB313E"/>
    <w:rsid w:val="00AB7574"/>
    <w:rsid w:val="00AD1FBF"/>
    <w:rsid w:val="00AF0EEF"/>
    <w:rsid w:val="00B239D9"/>
    <w:rsid w:val="00B60094"/>
    <w:rsid w:val="00B72EEF"/>
    <w:rsid w:val="00B8101D"/>
    <w:rsid w:val="00B84D0E"/>
    <w:rsid w:val="00B924D0"/>
    <w:rsid w:val="00BA5644"/>
    <w:rsid w:val="00BC748F"/>
    <w:rsid w:val="00BD5FB9"/>
    <w:rsid w:val="00BF06C6"/>
    <w:rsid w:val="00C250B6"/>
    <w:rsid w:val="00C435B2"/>
    <w:rsid w:val="00C67D53"/>
    <w:rsid w:val="00CA2E38"/>
    <w:rsid w:val="00CE5AF9"/>
    <w:rsid w:val="00D10AF6"/>
    <w:rsid w:val="00D4515A"/>
    <w:rsid w:val="00DB76AF"/>
    <w:rsid w:val="00DC2489"/>
    <w:rsid w:val="00DF2E80"/>
    <w:rsid w:val="00E04F04"/>
    <w:rsid w:val="00E10367"/>
    <w:rsid w:val="00E7294A"/>
    <w:rsid w:val="00EC7756"/>
    <w:rsid w:val="00ED3F42"/>
    <w:rsid w:val="00F67BCB"/>
    <w:rsid w:val="00F67E72"/>
    <w:rsid w:val="00F72322"/>
    <w:rsid w:val="00F878C7"/>
    <w:rsid w:val="00FC6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F102CE"/>
  <w15:chartTrackingRefBased/>
  <w15:docId w15:val="{3EA9A1F6-BF80-4B24-8A45-51050958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731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67E72"/>
    <w:pPr>
      <w:ind w:left="720"/>
      <w:contextualSpacing/>
    </w:pPr>
  </w:style>
  <w:style w:type="paragraph" w:styleId="Textbubliny">
    <w:name w:val="Balloon Text"/>
    <w:basedOn w:val="Normln"/>
    <w:link w:val="TextbublinyChar"/>
    <w:uiPriority w:val="99"/>
    <w:semiHidden/>
    <w:unhideWhenUsed/>
    <w:rsid w:val="00E103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0367"/>
    <w:rPr>
      <w:rFonts w:ascii="Segoe UI" w:hAnsi="Segoe UI" w:cs="Segoe UI"/>
      <w:sz w:val="18"/>
      <w:szCs w:val="18"/>
    </w:rPr>
  </w:style>
  <w:style w:type="paragraph" w:styleId="Zhlav">
    <w:name w:val="header"/>
    <w:basedOn w:val="Normln"/>
    <w:link w:val="ZhlavChar"/>
    <w:uiPriority w:val="99"/>
    <w:unhideWhenUsed/>
    <w:rsid w:val="00253157"/>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253157"/>
  </w:style>
  <w:style w:type="paragraph" w:styleId="Zpat">
    <w:name w:val="footer"/>
    <w:basedOn w:val="Normln"/>
    <w:link w:val="ZpatChar"/>
    <w:uiPriority w:val="99"/>
    <w:unhideWhenUsed/>
    <w:rsid w:val="00253157"/>
    <w:pPr>
      <w:tabs>
        <w:tab w:val="center" w:pos="4703"/>
        <w:tab w:val="right" w:pos="9406"/>
      </w:tabs>
      <w:spacing w:after="0" w:line="240" w:lineRule="auto"/>
    </w:pPr>
  </w:style>
  <w:style w:type="character" w:customStyle="1" w:styleId="ZpatChar">
    <w:name w:val="Zápatí Char"/>
    <w:basedOn w:val="Standardnpsmoodstavce"/>
    <w:link w:val="Zpat"/>
    <w:uiPriority w:val="99"/>
    <w:rsid w:val="00253157"/>
  </w:style>
  <w:style w:type="character" w:styleId="Odkaznakoment">
    <w:name w:val="annotation reference"/>
    <w:basedOn w:val="Standardnpsmoodstavce"/>
    <w:uiPriority w:val="99"/>
    <w:semiHidden/>
    <w:unhideWhenUsed/>
    <w:rsid w:val="00001022"/>
    <w:rPr>
      <w:sz w:val="16"/>
      <w:szCs w:val="16"/>
    </w:rPr>
  </w:style>
  <w:style w:type="paragraph" w:styleId="Textkomente">
    <w:name w:val="annotation text"/>
    <w:basedOn w:val="Normln"/>
    <w:link w:val="TextkomenteChar"/>
    <w:uiPriority w:val="99"/>
    <w:semiHidden/>
    <w:unhideWhenUsed/>
    <w:rsid w:val="00001022"/>
    <w:pPr>
      <w:spacing w:line="240" w:lineRule="auto"/>
    </w:pPr>
    <w:rPr>
      <w:sz w:val="20"/>
      <w:szCs w:val="20"/>
    </w:rPr>
  </w:style>
  <w:style w:type="character" w:customStyle="1" w:styleId="TextkomenteChar">
    <w:name w:val="Text komentáře Char"/>
    <w:basedOn w:val="Standardnpsmoodstavce"/>
    <w:link w:val="Textkomente"/>
    <w:uiPriority w:val="99"/>
    <w:semiHidden/>
    <w:rsid w:val="00001022"/>
    <w:rPr>
      <w:sz w:val="20"/>
      <w:szCs w:val="20"/>
    </w:rPr>
  </w:style>
  <w:style w:type="paragraph" w:styleId="Pedmtkomente">
    <w:name w:val="annotation subject"/>
    <w:basedOn w:val="Textkomente"/>
    <w:next w:val="Textkomente"/>
    <w:link w:val="PedmtkomenteChar"/>
    <w:uiPriority w:val="99"/>
    <w:semiHidden/>
    <w:unhideWhenUsed/>
    <w:rsid w:val="00001022"/>
    <w:rPr>
      <w:b/>
      <w:bCs/>
    </w:rPr>
  </w:style>
  <w:style w:type="character" w:customStyle="1" w:styleId="PedmtkomenteChar">
    <w:name w:val="Předmět komentáře Char"/>
    <w:basedOn w:val="TextkomenteChar"/>
    <w:link w:val="Pedmtkomente"/>
    <w:uiPriority w:val="99"/>
    <w:semiHidden/>
    <w:rsid w:val="00001022"/>
    <w:rPr>
      <w:b/>
      <w:bCs/>
      <w:sz w:val="20"/>
      <w:szCs w:val="20"/>
    </w:rPr>
  </w:style>
  <w:style w:type="paragraph" w:styleId="Revize">
    <w:name w:val="Revision"/>
    <w:hidden/>
    <w:uiPriority w:val="99"/>
    <w:semiHidden/>
    <w:rsid w:val="007D2D8C"/>
    <w:pPr>
      <w:spacing w:after="0" w:line="240" w:lineRule="auto"/>
    </w:pPr>
  </w:style>
  <w:style w:type="paragraph" w:customStyle="1" w:styleId="Default">
    <w:name w:val="Default"/>
    <w:rsid w:val="00D10AF6"/>
    <w:pPr>
      <w:autoSpaceDE w:val="0"/>
      <w:autoSpaceDN w:val="0"/>
      <w:adjustRightInd w:val="0"/>
      <w:spacing w:after="0" w:line="240" w:lineRule="auto"/>
    </w:pPr>
    <w:rPr>
      <w:rFonts w:ascii="Arial" w:hAnsi="Arial" w:cs="Arial"/>
      <w:color w:val="000000"/>
      <w:sz w:val="24"/>
      <w:szCs w:val="24"/>
      <w:lang w:val="cs-CZ"/>
    </w:rPr>
  </w:style>
  <w:style w:type="table" w:customStyle="1" w:styleId="TableNormal">
    <w:name w:val="Table Normal"/>
    <w:uiPriority w:val="2"/>
    <w:semiHidden/>
    <w:unhideWhenUsed/>
    <w:qFormat/>
    <w:rsid w:val="00777F88"/>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777F88"/>
    <w:pPr>
      <w:widowControl w:val="0"/>
      <w:autoSpaceDE w:val="0"/>
      <w:autoSpaceDN w:val="0"/>
      <w:spacing w:after="0" w:line="186" w:lineRule="exact"/>
      <w:ind w:left="69"/>
    </w:pPr>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116097">
      <w:bodyDiv w:val="1"/>
      <w:marLeft w:val="0"/>
      <w:marRight w:val="0"/>
      <w:marTop w:val="0"/>
      <w:marBottom w:val="0"/>
      <w:divBdr>
        <w:top w:val="none" w:sz="0" w:space="0" w:color="auto"/>
        <w:left w:val="none" w:sz="0" w:space="0" w:color="auto"/>
        <w:bottom w:val="none" w:sz="0" w:space="0" w:color="auto"/>
        <w:right w:val="none" w:sz="0" w:space="0" w:color="auto"/>
      </w:divBdr>
    </w:div>
    <w:div w:id="1825461993">
      <w:bodyDiv w:val="1"/>
      <w:marLeft w:val="0"/>
      <w:marRight w:val="0"/>
      <w:marTop w:val="0"/>
      <w:marBottom w:val="0"/>
      <w:divBdr>
        <w:top w:val="none" w:sz="0" w:space="0" w:color="auto"/>
        <w:left w:val="none" w:sz="0" w:space="0" w:color="auto"/>
        <w:bottom w:val="none" w:sz="0" w:space="0" w:color="auto"/>
        <w:right w:val="none" w:sz="0" w:space="0" w:color="auto"/>
      </w:divBdr>
      <w:divsChild>
        <w:div w:id="1906721392">
          <w:marLeft w:val="0"/>
          <w:marRight w:val="0"/>
          <w:marTop w:val="0"/>
          <w:marBottom w:val="0"/>
          <w:divBdr>
            <w:top w:val="none" w:sz="0" w:space="0" w:color="auto"/>
            <w:left w:val="none" w:sz="0" w:space="0" w:color="auto"/>
            <w:bottom w:val="none" w:sz="0" w:space="0" w:color="auto"/>
            <w:right w:val="none" w:sz="0" w:space="0" w:color="auto"/>
          </w:divBdr>
          <w:divsChild>
            <w:div w:id="33739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83079535C101448F7BB2F85598BEB9" ma:contentTypeVersion="10" ma:contentTypeDescription="Vytvoří nový dokument" ma:contentTypeScope="" ma:versionID="d566e3e75935fa4b82178a8bcf8b43cd">
  <xsd:schema xmlns:xsd="http://www.w3.org/2001/XMLSchema" xmlns:xs="http://www.w3.org/2001/XMLSchema" xmlns:p="http://schemas.microsoft.com/office/2006/metadata/properties" xmlns:ns2="27aff7c7-67a5-4c3a-8f33-92448fcb67a5" xmlns:ns3="bd0c255b-af61-4e04-a7ff-35299f2a2c56" targetNamespace="http://schemas.microsoft.com/office/2006/metadata/properties" ma:root="true" ma:fieldsID="13527022260a3dd0b60012a4ad4f6e6c" ns2:_="" ns3:_="">
    <xsd:import namespace="27aff7c7-67a5-4c3a-8f33-92448fcb67a5"/>
    <xsd:import namespace="bd0c255b-af61-4e04-a7ff-35299f2a2c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ff7c7-67a5-4c3a-8f33-92448fcb6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0c255b-af61-4e04-a7ff-35299f2a2c56"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74dd4c2-f845-433e-829c-e1fa782131c5" ContentTypeId="0x0101" PreviousValue="false"/>
</file>

<file path=customXml/itemProps1.xml><?xml version="1.0" encoding="utf-8"?>
<ds:datastoreItem xmlns:ds="http://schemas.openxmlformats.org/officeDocument/2006/customXml" ds:itemID="{41BA2612-20DB-4293-B6D8-8702DE68E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ff7c7-67a5-4c3a-8f33-92448fcb67a5"/>
    <ds:schemaRef ds:uri="bd0c255b-af61-4e04-a7ff-35299f2a2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0A8B5-EA3E-45EC-B898-B93E42192F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29900-32AA-4424-A004-519766A1B390}">
  <ds:schemaRefs>
    <ds:schemaRef ds:uri="http://schemas.microsoft.com/sharepoint/v3/contenttype/forms"/>
  </ds:schemaRefs>
</ds:datastoreItem>
</file>

<file path=customXml/itemProps4.xml><?xml version="1.0" encoding="utf-8"?>
<ds:datastoreItem xmlns:ds="http://schemas.openxmlformats.org/officeDocument/2006/customXml" ds:itemID="{48D708D0-46D5-4AB4-941D-8DBB503C43C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1196</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Olympus</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Vojtekova Ingrid</dc:creator>
  <cp:keywords/>
  <dc:description/>
  <cp:lastModifiedBy>Havelková Veronika</cp:lastModifiedBy>
  <cp:revision>27</cp:revision>
  <cp:lastPrinted>2020-06-06T14:12:00Z</cp:lastPrinted>
  <dcterms:created xsi:type="dcterms:W3CDTF">2021-12-20T17:19:00Z</dcterms:created>
  <dcterms:modified xsi:type="dcterms:W3CDTF">2022-01-12T08:07:00Z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0x0101005383079535C101448F7BB2F85598BEB9</vt:lpwstr>
  </property>
</Properties>
</file>