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0D72B881" w:rsidR="009D2F76" w:rsidRPr="00473AA4" w:rsidRDefault="003D2DB0" w:rsidP="009D2F76">
      <w:pPr>
        <w:spacing w:after="60" w:line="240" w:lineRule="auto"/>
        <w:rPr>
          <w:rFonts w:ascii="Arial" w:hAnsi="Arial" w:cs="Arial"/>
          <w:b/>
          <w:sz w:val="23"/>
          <w:szCs w:val="23"/>
        </w:rPr>
      </w:pPr>
      <w:proofErr w:type="spellStart"/>
      <w:r>
        <w:rPr>
          <w:rFonts w:ascii="Arial" w:hAnsi="Arial" w:cs="Arial"/>
          <w:b/>
          <w:sz w:val="23"/>
          <w:szCs w:val="23"/>
        </w:rPr>
        <w:t>Stargen</w:t>
      </w:r>
      <w:proofErr w:type="spellEnd"/>
      <w:r>
        <w:rPr>
          <w:rFonts w:ascii="Arial" w:hAnsi="Arial" w:cs="Arial"/>
          <w:b/>
          <w:sz w:val="23"/>
          <w:szCs w:val="23"/>
        </w:rPr>
        <w:t xml:space="preserve"> EU s.r.o.</w:t>
      </w:r>
    </w:p>
    <w:p w14:paraId="26DF0292" w14:textId="5886DC9D"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sidR="00E30933">
        <w:rPr>
          <w:rFonts w:ascii="Arial" w:hAnsi="Arial" w:cs="Arial"/>
          <w:sz w:val="23"/>
          <w:szCs w:val="23"/>
        </w:rPr>
        <w:t xml:space="preserve"> 28487150</w:t>
      </w:r>
    </w:p>
    <w:p w14:paraId="5472685D" w14:textId="1B5F80EE"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w:t>
      </w:r>
      <w:r w:rsidR="005B6689">
        <w:rPr>
          <w:rStyle w:val="platne1"/>
          <w:rFonts w:ascii="Arial" w:hAnsi="Arial" w:cs="Arial"/>
          <w:sz w:val="23"/>
          <w:szCs w:val="23"/>
        </w:rPr>
        <w:t>CZ28487150</w:t>
      </w:r>
    </w:p>
    <w:p w14:paraId="441AA302" w14:textId="79ACA996"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3D2DB0">
        <w:rPr>
          <w:rStyle w:val="platne1"/>
          <w:rFonts w:ascii="Arial" w:hAnsi="Arial" w:cs="Arial"/>
          <w:sz w:val="23"/>
          <w:szCs w:val="23"/>
        </w:rPr>
        <w:t>Malešická 2251/51, 130 00 Praha</w:t>
      </w:r>
      <w:r w:rsidR="00B043F1">
        <w:rPr>
          <w:rStyle w:val="platne1"/>
          <w:rFonts w:ascii="Arial" w:hAnsi="Arial" w:cs="Arial"/>
          <w:sz w:val="23"/>
          <w:szCs w:val="23"/>
        </w:rPr>
        <w:t xml:space="preserve"> 3</w:t>
      </w:r>
    </w:p>
    <w:p w14:paraId="4CEC5ACB" w14:textId="05ACD8CF"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5B6689">
        <w:rPr>
          <w:rStyle w:val="platne1"/>
          <w:rFonts w:ascii="Arial" w:hAnsi="Arial" w:cs="Arial"/>
          <w:sz w:val="23"/>
          <w:szCs w:val="23"/>
        </w:rPr>
        <w:t>Městským soudem v Praze,</w:t>
      </w:r>
      <w:r w:rsidRPr="00A67AE8">
        <w:rPr>
          <w:rStyle w:val="platne1"/>
          <w:rFonts w:ascii="Arial" w:hAnsi="Arial" w:cs="Arial"/>
          <w:sz w:val="23"/>
          <w:szCs w:val="23"/>
        </w:rPr>
        <w:t xml:space="preserve"> oddíl</w:t>
      </w:r>
      <w:r>
        <w:rPr>
          <w:rStyle w:val="platne1"/>
          <w:rFonts w:ascii="Arial" w:hAnsi="Arial" w:cs="Arial"/>
          <w:sz w:val="23"/>
          <w:szCs w:val="23"/>
        </w:rPr>
        <w:t xml:space="preserve"> </w:t>
      </w:r>
      <w:r w:rsidR="005B6689">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w:t>
      </w:r>
      <w:r w:rsidR="005B6689">
        <w:rPr>
          <w:rStyle w:val="platne1"/>
          <w:rFonts w:ascii="Arial" w:hAnsi="Arial" w:cs="Arial"/>
          <w:sz w:val="23"/>
          <w:szCs w:val="23"/>
        </w:rPr>
        <w:t xml:space="preserve"> 145163</w:t>
      </w:r>
    </w:p>
    <w:p w14:paraId="2263FA23" w14:textId="12DBD3D8"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w:t>
      </w:r>
      <w:r w:rsidR="003D2DB0">
        <w:rPr>
          <w:rStyle w:val="platne1"/>
          <w:rFonts w:ascii="Arial" w:hAnsi="Arial" w:cs="Arial"/>
          <w:sz w:val="23"/>
          <w:szCs w:val="23"/>
        </w:rPr>
        <w:t xml:space="preserve"> Ing. Martinem </w:t>
      </w:r>
      <w:proofErr w:type="spellStart"/>
      <w:r w:rsidR="003D2DB0">
        <w:rPr>
          <w:rStyle w:val="platne1"/>
          <w:rFonts w:ascii="Arial" w:hAnsi="Arial" w:cs="Arial"/>
          <w:sz w:val="23"/>
          <w:szCs w:val="23"/>
        </w:rPr>
        <w:t>Kalošem</w:t>
      </w:r>
      <w:proofErr w:type="spellEnd"/>
      <w:r w:rsidR="00B043F1">
        <w:rPr>
          <w:rStyle w:val="platne1"/>
          <w:rFonts w:ascii="Arial" w:hAnsi="Arial" w:cs="Arial"/>
          <w:sz w:val="23"/>
          <w:szCs w:val="23"/>
        </w:rPr>
        <w:t>, jednatelem</w:t>
      </w:r>
    </w:p>
    <w:p w14:paraId="707FC2C4" w14:textId="72501562" w:rsidR="009D2F76" w:rsidRDefault="009D2F76" w:rsidP="009D2F76">
      <w:pPr>
        <w:spacing w:after="60" w:line="240" w:lineRule="auto"/>
        <w:rPr>
          <w:rStyle w:val="platne1"/>
          <w:rFonts w:ascii="Arial" w:hAnsi="Arial" w:cs="Arial"/>
        </w:rPr>
      </w:pPr>
      <w:r>
        <w:rPr>
          <w:rStyle w:val="platne1"/>
          <w:rFonts w:ascii="Arial" w:hAnsi="Arial" w:cs="Arial"/>
        </w:rPr>
        <w:t>bankovní spojení:</w:t>
      </w:r>
      <w:r w:rsidR="005B6689">
        <w:rPr>
          <w:rStyle w:val="platne1"/>
          <w:rFonts w:ascii="Arial" w:hAnsi="Arial" w:cs="Arial"/>
        </w:rPr>
        <w:t xml:space="preserve"> Česká spořitelna</w:t>
      </w:r>
      <w:r w:rsidR="00B043F1">
        <w:rPr>
          <w:rStyle w:val="platne1"/>
          <w:rFonts w:ascii="Arial" w:hAnsi="Arial" w:cs="Arial"/>
        </w:rPr>
        <w:t xml:space="preserve">, a.s. </w:t>
      </w:r>
    </w:p>
    <w:p w14:paraId="705FBFED" w14:textId="1E223824"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účt</w:t>
      </w:r>
      <w:r w:rsidR="005B6689">
        <w:rPr>
          <w:rStyle w:val="platne1"/>
          <w:rFonts w:ascii="Arial" w:hAnsi="Arial" w:cs="Arial"/>
        </w:rPr>
        <w:t xml:space="preserve">u 5275652/0800 </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7199D1BD"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4500C9">
        <w:rPr>
          <w:rFonts w:ascii="Arial" w:hAnsi="Arial" w:cs="Arial"/>
          <w:b/>
          <w:sz w:val="23"/>
          <w:szCs w:val="23"/>
          <w:lang w:val="cs-CZ"/>
        </w:rPr>
        <w:t>ERBE VIO 300S,</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00913C0" w14:textId="665FFE20"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003B4845" w:rsidRPr="003B4845">
        <w:rPr>
          <w:rFonts w:ascii="Arial" w:hAnsi="Arial" w:cs="Arial"/>
        </w:rPr>
        <w:t xml:space="preserve"> </w:t>
      </w:r>
      <w:r w:rsidR="003B4845"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376D2EE" w14:textId="522EA8AA" w:rsidR="001F13BA" w:rsidRDefault="001F13BA" w:rsidP="003B4845">
      <w:pPr>
        <w:pStyle w:val="Zkladntext3"/>
        <w:ind w:left="993"/>
        <w:rPr>
          <w:rFonts w:ascii="Arial" w:hAnsi="Arial" w:cs="Arial"/>
          <w:sz w:val="23"/>
          <w:szCs w:val="23"/>
        </w:rPr>
      </w:pPr>
    </w:p>
    <w:p w14:paraId="6086E3CD" w14:textId="77777777" w:rsidR="00B9193B" w:rsidRPr="003B4845" w:rsidRDefault="00B9193B" w:rsidP="003B4845">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04AB6E52" w:rsidR="00BE2371" w:rsidRPr="00DD2F6E" w:rsidRDefault="00035128" w:rsidP="00B02DCA">
      <w:pPr>
        <w:pStyle w:val="Zkladntext3"/>
        <w:numPr>
          <w:ilvl w:val="0"/>
          <w:numId w:val="17"/>
        </w:numPr>
        <w:tabs>
          <w:tab w:val="left" w:pos="709"/>
        </w:tabs>
        <w:ind w:hanging="720"/>
        <w:rPr>
          <w:rFonts w:ascii="Arial" w:hAnsi="Arial" w:cs="Arial"/>
          <w:sz w:val="23"/>
          <w:szCs w:val="23"/>
        </w:rPr>
      </w:pPr>
      <w:r w:rsidRPr="00035128">
        <w:rPr>
          <w:rFonts w:ascii="Arial" w:hAnsi="Arial" w:cs="Arial"/>
          <w:sz w:val="23"/>
          <w:szCs w:val="23"/>
        </w:rPr>
        <w:t xml:space="preserve">Místem dodání Zboží jsou Centrální operační sály I – </w:t>
      </w:r>
      <w:proofErr w:type="spellStart"/>
      <w:r w:rsidRPr="00035128">
        <w:rPr>
          <w:rFonts w:ascii="Arial" w:hAnsi="Arial" w:cs="Arial"/>
          <w:sz w:val="23"/>
          <w:szCs w:val="23"/>
        </w:rPr>
        <w:t>Neurochirurchická</w:t>
      </w:r>
      <w:proofErr w:type="spellEnd"/>
      <w:r w:rsidRPr="00035128">
        <w:rPr>
          <w:rFonts w:ascii="Arial" w:hAnsi="Arial" w:cs="Arial"/>
          <w:sz w:val="23"/>
          <w:szCs w:val="23"/>
        </w:rPr>
        <w:t xml:space="preserve"> klinika, Fakultní nemocnice Brno, Nemocnice Bohunice a Porodnice, Jihlavská 20, 625 00 Brno</w:t>
      </w:r>
      <w:r>
        <w:t>.</w:t>
      </w:r>
    </w:p>
    <w:p w14:paraId="280164B3" w14:textId="0B3BEA9C" w:rsidR="00604EBE" w:rsidRPr="00604EBE" w:rsidRDefault="00604EBE" w:rsidP="00604EBE">
      <w:pPr>
        <w:pStyle w:val="Zkladntext3"/>
        <w:tabs>
          <w:tab w:val="left" w:pos="709"/>
        </w:tabs>
        <w:rPr>
          <w:rFonts w:ascii="Arial" w:hAnsi="Arial" w:cs="Arial"/>
          <w:color w:val="FF0000"/>
          <w:sz w:val="23"/>
          <w:szCs w:val="23"/>
        </w:rPr>
      </w:pPr>
    </w:p>
    <w:p w14:paraId="6509D3A5" w14:textId="75880841"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E6311E">
        <w:rPr>
          <w:rFonts w:ascii="Arial" w:hAnsi="Arial" w:cs="Arial"/>
          <w:sz w:val="23"/>
          <w:szCs w:val="23"/>
        </w:rPr>
        <w:t>paní</w:t>
      </w:r>
      <w:r w:rsidR="00E6311E" w:rsidRPr="00E6311E">
        <w:rPr>
          <w:rFonts w:ascii="Arial" w:hAnsi="Arial" w:cs="Arial"/>
          <w:sz w:val="23"/>
          <w:szCs w:val="23"/>
          <w:lang w:val="cs-CZ"/>
        </w:rPr>
        <w:t xml:space="preserve"> </w:t>
      </w:r>
      <w:r w:rsidR="005F3584">
        <w:rPr>
          <w:rFonts w:ascii="Arial" w:hAnsi="Arial" w:cs="Arial"/>
          <w:sz w:val="23"/>
          <w:szCs w:val="23"/>
          <w:lang w:val="cs-CZ"/>
        </w:rPr>
        <w:t>XXX</w:t>
      </w:r>
      <w:r w:rsidR="0096281F" w:rsidRPr="00035128">
        <w:rPr>
          <w:rFonts w:ascii="Arial" w:hAnsi="Arial" w:cs="Arial"/>
          <w:sz w:val="23"/>
          <w:szCs w:val="23"/>
          <w:lang w:val="cs-CZ"/>
        </w:rPr>
        <w:t>,</w:t>
      </w:r>
      <w:r w:rsidR="001C6BA8" w:rsidRPr="00035128">
        <w:rPr>
          <w:rFonts w:ascii="Arial" w:hAnsi="Arial" w:cs="Arial"/>
          <w:sz w:val="23"/>
          <w:szCs w:val="23"/>
          <w:lang w:val="cs-CZ"/>
        </w:rPr>
        <w:t xml:space="preserve"> </w:t>
      </w:r>
      <w:r w:rsidR="00B02DCA" w:rsidRPr="00035128">
        <w:rPr>
          <w:rFonts w:ascii="Arial" w:hAnsi="Arial" w:cs="Arial"/>
          <w:sz w:val="23"/>
          <w:szCs w:val="23"/>
        </w:rPr>
        <w:t xml:space="preserve">tel: </w:t>
      </w:r>
      <w:r w:rsidR="005F3584">
        <w:rPr>
          <w:rFonts w:ascii="Arial" w:hAnsi="Arial" w:cs="Arial"/>
          <w:sz w:val="23"/>
          <w:szCs w:val="23"/>
          <w:lang w:val="cs-CZ"/>
        </w:rPr>
        <w:t>XXX</w:t>
      </w:r>
      <w:r w:rsidR="00B02DCA" w:rsidRPr="00035128">
        <w:rPr>
          <w:rFonts w:ascii="Arial" w:hAnsi="Arial" w:cs="Arial"/>
          <w:sz w:val="23"/>
          <w:szCs w:val="23"/>
        </w:rPr>
        <w:t xml:space="preserve">, </w:t>
      </w:r>
      <w:r w:rsidR="006C3751" w:rsidRPr="00035128">
        <w:rPr>
          <w:rFonts w:ascii="Arial" w:hAnsi="Arial" w:cs="Arial"/>
          <w:sz w:val="23"/>
          <w:szCs w:val="23"/>
        </w:rPr>
        <w:t>a písemně na e-</w:t>
      </w:r>
      <w:r w:rsidR="00E6311E" w:rsidRPr="00035128">
        <w:rPr>
          <w:rFonts w:ascii="Arial" w:hAnsi="Arial" w:cs="Arial"/>
          <w:sz w:val="23"/>
          <w:szCs w:val="23"/>
          <w:lang w:val="cs-CZ"/>
        </w:rPr>
        <w:t xml:space="preserve">mail: </w:t>
      </w:r>
      <w:r w:rsidR="005F3584">
        <w:rPr>
          <w:rFonts w:ascii="Arial" w:hAnsi="Arial" w:cs="Arial"/>
          <w:sz w:val="23"/>
          <w:szCs w:val="23"/>
          <w:lang w:val="cs-CZ"/>
        </w:rPr>
        <w:t>XXX</w:t>
      </w:r>
      <w:bookmarkStart w:id="0" w:name="_GoBack"/>
      <w:bookmarkEnd w:id="0"/>
      <w:r w:rsidR="00E6311E" w:rsidRPr="00035128">
        <w:rPr>
          <w:rFonts w:ascii="Arial" w:hAnsi="Arial" w:cs="Arial"/>
          <w:sz w:val="23"/>
          <w:szCs w:val="23"/>
          <w:lang w:val="cs-CZ"/>
        </w:rPr>
        <w:t>.</w:t>
      </w:r>
      <w:r w:rsidR="004E1BB9" w:rsidRPr="00035128">
        <w:rPr>
          <w:rFonts w:ascii="Arial" w:hAnsi="Arial" w:cs="Arial"/>
          <w:sz w:val="23"/>
          <w:szCs w:val="23"/>
          <w:lang w:val="cs-CZ"/>
        </w:rPr>
        <w:t xml:space="preserve"> </w:t>
      </w:r>
      <w:r w:rsidRPr="00035128">
        <w:rPr>
          <w:rFonts w:ascii="Arial" w:hAnsi="Arial" w:cs="Arial"/>
          <w:sz w:val="23"/>
          <w:szCs w:val="23"/>
        </w:rPr>
        <w:t>Bez</w:t>
      </w:r>
      <w:r w:rsidRPr="00E6311E">
        <w:rPr>
          <w:rFonts w:ascii="Arial" w:hAnsi="Arial" w:cs="Arial"/>
          <w:sz w:val="23"/>
          <w:szCs w:val="23"/>
        </w:rPr>
        <w:t xml:space="preserve"> tohoto oznámení není K</w:t>
      </w:r>
      <w:r w:rsidRPr="004A492C">
        <w:rPr>
          <w:rFonts w:ascii="Arial" w:hAnsi="Arial" w:cs="Arial"/>
          <w:sz w:val="23"/>
          <w:szCs w:val="23"/>
        </w:rPr>
        <w:t>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 xml:space="preserve">5 dnů před plánovaným předáním, je </w:t>
      </w:r>
      <w:r w:rsidR="004A492C" w:rsidRPr="002D7B66">
        <w:rPr>
          <w:rFonts w:ascii="Arial" w:hAnsi="Arial" w:cs="Arial"/>
          <w:b/>
          <w:sz w:val="23"/>
          <w:szCs w:val="23"/>
          <w:lang w:val="cs-CZ"/>
        </w:rPr>
        <w:lastRenderedPageBreak/>
        <w:t>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67AAEB8C" w14:textId="77777777" w:rsidR="00C67012" w:rsidRPr="004D2CEE" w:rsidRDefault="00C67012" w:rsidP="00C67012">
      <w:pPr>
        <w:pStyle w:val="Zkladntext3"/>
        <w:numPr>
          <w:ilvl w:val="0"/>
          <w:numId w:val="17"/>
        </w:numPr>
        <w:tabs>
          <w:tab w:val="left" w:pos="709"/>
        </w:tabs>
        <w:ind w:left="709" w:hanging="709"/>
        <w:rPr>
          <w:rFonts w:ascii="Arial" w:hAnsi="Arial" w:cs="Arial"/>
          <w:sz w:val="23"/>
          <w:szCs w:val="23"/>
        </w:rPr>
      </w:pPr>
      <w:r w:rsidRPr="004D2CEE">
        <w:rPr>
          <w:rFonts w:ascii="Arial" w:hAnsi="Arial" w:cs="Arial"/>
          <w:sz w:val="23"/>
          <w:szCs w:val="23"/>
        </w:rPr>
        <w:t xml:space="preserve">Součástí plnění dle čl. II.1. této smlouvy je i provedení instalace Zboží vč. konfigurace modalit (nastavení </w:t>
      </w:r>
      <w:proofErr w:type="spellStart"/>
      <w:r w:rsidRPr="004D2CEE">
        <w:rPr>
          <w:rFonts w:ascii="Arial" w:hAnsi="Arial" w:cs="Arial"/>
          <w:sz w:val="23"/>
          <w:szCs w:val="23"/>
        </w:rPr>
        <w:t>workflow</w:t>
      </w:r>
      <w:proofErr w:type="spellEnd"/>
      <w:r w:rsidRPr="004D2CEE">
        <w:rPr>
          <w:rFonts w:ascii="Arial" w:hAnsi="Arial" w:cs="Arial"/>
          <w:sz w:val="23"/>
          <w:szCs w:val="23"/>
        </w:rPr>
        <w:t xml:space="preserve">), uvedení Zboží do provozu, předvedení jeho funkční zkoušky vč. přejímací zkoušky dlouhodobé stability (pouze u Zboží, které této zkoušce) podle zákona č. 263/2016 Sb., atomový zákon, ve znění pozdějších předpisů včetně prováděcích předpisů, zejména vyhlášky č. 422/2016 Sb., o radiační ochraně a zabezpečení radionuklidového zdroje, ve znění pozdějších předpisů (dále jen </w:t>
      </w:r>
      <w:r w:rsidRPr="004D2CEE">
        <w:rPr>
          <w:rFonts w:ascii="Arial" w:hAnsi="Arial" w:cs="Arial"/>
          <w:b/>
          <w:sz w:val="23"/>
          <w:szCs w:val="23"/>
        </w:rPr>
        <w:t>„AZ“</w:t>
      </w:r>
      <w:r w:rsidRPr="004D2CEE">
        <w:rPr>
          <w:rFonts w:ascii="Arial" w:hAnsi="Arial" w:cs="Arial"/>
          <w:sz w:val="23"/>
          <w:szCs w:val="23"/>
        </w:rPr>
        <w:t xml:space="preserve">),podléhá), vstupní validace či kalibrace (pouze u Zboží, u nějž je při provozu vyžadována), ověření přenosu dat do archivu MARIE PACS (pouze u Zboží, u nějž je vyžadováno) a odzkoušení bezproblémového provozu (např. formou testovacího provozu) za přítomnosti zástupců klinik, zaměstnance Obchodního oddělení a Oddělení zdravotnické techniky Kupujícího a provedení </w:t>
      </w:r>
      <w:r w:rsidRPr="004D2CEE">
        <w:rPr>
          <w:rFonts w:ascii="Arial" w:hAnsi="Arial" w:cs="Arial"/>
          <w:sz w:val="23"/>
          <w:szCs w:val="23"/>
          <w:lang w:val="cs-CZ"/>
        </w:rPr>
        <w:t xml:space="preserve"> </w:t>
      </w:r>
      <w:proofErr w:type="spellStart"/>
      <w:r w:rsidRPr="004D2CEE">
        <w:rPr>
          <w:rFonts w:ascii="Arial" w:hAnsi="Arial" w:cs="Arial"/>
          <w:sz w:val="23"/>
          <w:szCs w:val="23"/>
          <w:lang w:val="cs-CZ"/>
        </w:rPr>
        <w:t>provedení</w:t>
      </w:r>
      <w:proofErr w:type="spellEnd"/>
      <w:r w:rsidRPr="004D2CEE">
        <w:rPr>
          <w:rFonts w:ascii="Arial" w:hAnsi="Arial" w:cs="Arial"/>
          <w:sz w:val="23"/>
          <w:szCs w:val="23"/>
          <w:lang w:val="cs-CZ"/>
        </w:rPr>
        <w:t xml:space="preserve"> zaškolení / instruktáž uživatele na pracovišti k obsluze přístroje dle platných právních předpisů, včetně doložení pověření školitele výrobcem nebo zplnomocněným zástupcem, a to v rozsahu nezbytném pro řádnou obsluhu Zboží (dále jen „</w:t>
      </w:r>
      <w:r w:rsidRPr="004D2CEE">
        <w:rPr>
          <w:rFonts w:ascii="Arial" w:hAnsi="Arial" w:cs="Arial"/>
          <w:b/>
          <w:sz w:val="23"/>
          <w:szCs w:val="23"/>
          <w:lang w:val="cs-CZ"/>
        </w:rPr>
        <w:t>Instruktáž</w:t>
      </w:r>
      <w:r w:rsidRPr="004D2CEE">
        <w:rPr>
          <w:rFonts w:ascii="Arial" w:hAnsi="Arial" w:cs="Arial"/>
          <w:sz w:val="23"/>
          <w:szCs w:val="23"/>
          <w:lang w:val="cs-CZ"/>
        </w:rPr>
        <w:t>“).</w:t>
      </w:r>
    </w:p>
    <w:p w14:paraId="231B4C47" w14:textId="77777777" w:rsidR="00C67012" w:rsidRPr="00B76233" w:rsidRDefault="00C67012" w:rsidP="00C67012">
      <w:pPr>
        <w:pStyle w:val="Zkladntext3"/>
        <w:tabs>
          <w:tab w:val="left" w:pos="709"/>
        </w:tabs>
        <w:ind w:left="709"/>
        <w:rPr>
          <w:rFonts w:ascii="Arial" w:hAnsi="Arial" w:cs="Arial"/>
          <w:sz w:val="23"/>
          <w:szCs w:val="23"/>
        </w:rPr>
      </w:pPr>
    </w:p>
    <w:p w14:paraId="6CC74A36" w14:textId="77777777" w:rsidR="00035128" w:rsidRPr="00B76233" w:rsidRDefault="00035128" w:rsidP="00035128">
      <w:pPr>
        <w:pStyle w:val="Zkladntext3"/>
        <w:tabs>
          <w:tab w:val="left" w:pos="709"/>
        </w:tabs>
        <w:ind w:left="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697A2A29" w14:textId="77777777" w:rsidR="00C67012" w:rsidRPr="00DC7D62" w:rsidRDefault="00C67012" w:rsidP="00C67012">
      <w:pPr>
        <w:numPr>
          <w:ilvl w:val="0"/>
          <w:numId w:val="17"/>
        </w:numPr>
        <w:tabs>
          <w:tab w:val="left" w:pos="709"/>
        </w:tabs>
        <w:spacing w:after="0" w:line="240" w:lineRule="auto"/>
        <w:ind w:left="709" w:hanging="709"/>
        <w:jc w:val="both"/>
        <w:rPr>
          <w:rFonts w:ascii="Arial" w:eastAsia="Times New Roman" w:hAnsi="Arial" w:cs="Arial"/>
          <w:sz w:val="23"/>
          <w:szCs w:val="23"/>
          <w:lang w:val="x-none" w:eastAsia="cs-CZ"/>
        </w:rPr>
      </w:pPr>
      <w:r w:rsidRPr="00DC7D62">
        <w:rPr>
          <w:rFonts w:ascii="Arial" w:eastAsia="Times New Roman" w:hAnsi="Arial" w:cs="Arial"/>
          <w:lang w:val="x-none" w:eastAsia="cs-CZ"/>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DC7D62">
        <w:rPr>
          <w:rFonts w:ascii="Arial" w:eastAsia="Times New Roman" w:hAnsi="Arial" w:cs="Arial"/>
          <w:bCs/>
          <w:lang w:val="x-none" w:eastAsia="cs-CZ"/>
        </w:rPr>
        <w:t xml:space="preserve">(pouze u Zboží, které této zkoušce podle </w:t>
      </w:r>
      <w:r w:rsidRPr="00DC7D62">
        <w:rPr>
          <w:rFonts w:ascii="Arial" w:eastAsia="Times New Roman" w:hAnsi="Arial" w:cs="Arial"/>
          <w:bCs/>
          <w:lang w:eastAsia="cs-CZ"/>
        </w:rPr>
        <w:t>AZ</w:t>
      </w:r>
      <w:r w:rsidRPr="00DC7D62">
        <w:rPr>
          <w:rFonts w:ascii="Arial" w:eastAsia="Times New Roman" w:hAnsi="Arial" w:cs="Arial"/>
          <w:bCs/>
          <w:lang w:val="x-none" w:eastAsia="cs-CZ"/>
        </w:rPr>
        <w:t xml:space="preserve"> podléhá), </w:t>
      </w:r>
      <w:r w:rsidRPr="00DC7D62">
        <w:rPr>
          <w:rFonts w:ascii="Arial" w:eastAsia="Times New Roman" w:hAnsi="Arial" w:cs="Arial"/>
          <w:lang w:val="x-none" w:eastAsia="cs-CZ"/>
        </w:rPr>
        <w:t xml:space="preserve">validace nebo kalibrace parametrů </w:t>
      </w:r>
      <w:r w:rsidRPr="00DC7D62">
        <w:rPr>
          <w:rFonts w:ascii="Arial" w:eastAsia="Times New Roman" w:hAnsi="Arial" w:cs="Arial"/>
          <w:bCs/>
          <w:lang w:val="x-none" w:eastAsia="cs-CZ"/>
        </w:rPr>
        <w:t>(pouze u Zboží, u nějž je při provozu vyžadována)</w:t>
      </w:r>
      <w:r w:rsidRPr="00DC7D62">
        <w:rPr>
          <w:rFonts w:ascii="Arial" w:eastAsia="Times New Roman" w:hAnsi="Arial" w:cs="Arial"/>
          <w:lang w:val="x-none" w:eastAsia="cs-CZ"/>
        </w:rPr>
        <w:t>; tyto úkony bude Prodávající v záruční době provádět bez vyzvání Kupujícího, včetně dodání potřebného materiálu</w:t>
      </w:r>
      <w:r w:rsidRPr="00DC7D62">
        <w:rPr>
          <w:rFonts w:ascii="Arial" w:eastAsia="Times New Roman" w:hAnsi="Arial" w:cs="Arial"/>
          <w:lang w:eastAsia="cs-CZ"/>
        </w:rPr>
        <w:t>,</w:t>
      </w:r>
      <w:r w:rsidRPr="00DC7D62">
        <w:rPr>
          <w:rFonts w:ascii="Arial" w:eastAsia="Times New Roman" w:hAnsi="Arial" w:cs="Arial"/>
          <w:lang w:val="x-none" w:eastAsia="cs-CZ"/>
        </w:rPr>
        <w:t xml:space="preserve"> náhradních dílů a</w:t>
      </w:r>
      <w:r w:rsidRPr="00DC7D62">
        <w:rPr>
          <w:rFonts w:ascii="Arial" w:eastAsia="Times New Roman" w:hAnsi="Arial" w:cs="Arial"/>
          <w:lang w:eastAsia="cs-CZ"/>
        </w:rPr>
        <w:t xml:space="preserve"> vystavení</w:t>
      </w:r>
      <w:r w:rsidRPr="00DC7D62">
        <w:rPr>
          <w:rFonts w:ascii="Arial" w:eastAsia="Times New Roman" w:hAnsi="Arial" w:cs="Arial"/>
          <w:lang w:val="x-none" w:eastAsia="cs-CZ"/>
        </w:rPr>
        <w:t xml:space="preserve"> </w:t>
      </w:r>
      <w:r w:rsidRPr="00DC7D62">
        <w:rPr>
          <w:rFonts w:ascii="Arial" w:eastAsia="Times New Roman" w:hAnsi="Arial" w:cs="Arial"/>
          <w:lang w:eastAsia="cs-CZ"/>
        </w:rPr>
        <w:t xml:space="preserve">protokolu o provedení servisní prohlídky (kalibrací, validací), </w:t>
      </w:r>
      <w:r w:rsidRPr="00DC7D62">
        <w:rPr>
          <w:rFonts w:ascii="Arial" w:eastAsia="Times New Roman" w:hAnsi="Arial" w:cs="Arial"/>
          <w:lang w:val="x-none" w:eastAsia="cs-CZ"/>
        </w:rPr>
        <w:t xml:space="preserve"> a to bez nároku na další úplatu nad rámec sjednané ceny plnění.</w:t>
      </w:r>
    </w:p>
    <w:p w14:paraId="23B8F768" w14:textId="6FED0EDB" w:rsidR="00BB16E5" w:rsidRDefault="00BB16E5" w:rsidP="003F27C5">
      <w:pPr>
        <w:pStyle w:val="Zkladntext3"/>
        <w:ind w:left="567"/>
        <w:rPr>
          <w:rFonts w:ascii="Arial" w:hAnsi="Arial" w:cs="Arial"/>
          <w:sz w:val="23"/>
          <w:szCs w:val="23"/>
        </w:rPr>
      </w:pPr>
    </w:p>
    <w:p w14:paraId="745FD16E" w14:textId="45E5A283" w:rsidR="00C67012" w:rsidRDefault="00C67012" w:rsidP="003F27C5">
      <w:pPr>
        <w:pStyle w:val="Zkladntext3"/>
        <w:ind w:left="567"/>
        <w:rPr>
          <w:rFonts w:ascii="Arial" w:hAnsi="Arial" w:cs="Arial"/>
          <w:sz w:val="23"/>
          <w:szCs w:val="23"/>
        </w:rPr>
      </w:pPr>
    </w:p>
    <w:p w14:paraId="15984B9E" w14:textId="2D817CD7" w:rsidR="00C67012" w:rsidRDefault="00C67012" w:rsidP="003F27C5">
      <w:pPr>
        <w:pStyle w:val="Zkladntext3"/>
        <w:ind w:left="567"/>
        <w:rPr>
          <w:rFonts w:ascii="Arial" w:hAnsi="Arial" w:cs="Arial"/>
          <w:sz w:val="23"/>
          <w:szCs w:val="23"/>
        </w:rPr>
      </w:pPr>
    </w:p>
    <w:p w14:paraId="5B9F1720" w14:textId="0CEB63C1" w:rsidR="00C67012" w:rsidRDefault="00C67012" w:rsidP="003F27C5">
      <w:pPr>
        <w:pStyle w:val="Zkladntext3"/>
        <w:ind w:left="567"/>
        <w:rPr>
          <w:rFonts w:ascii="Arial" w:hAnsi="Arial" w:cs="Arial"/>
          <w:sz w:val="23"/>
          <w:szCs w:val="23"/>
        </w:rPr>
      </w:pPr>
    </w:p>
    <w:p w14:paraId="3D5E8AC0" w14:textId="3F8F2F88" w:rsidR="00C67012" w:rsidRDefault="00C67012" w:rsidP="003F27C5">
      <w:pPr>
        <w:pStyle w:val="Zkladntext3"/>
        <w:ind w:left="567"/>
        <w:rPr>
          <w:rFonts w:ascii="Arial" w:hAnsi="Arial" w:cs="Arial"/>
          <w:sz w:val="23"/>
          <w:szCs w:val="23"/>
        </w:rPr>
      </w:pPr>
    </w:p>
    <w:p w14:paraId="731F49D2" w14:textId="28869E09" w:rsidR="00C67012" w:rsidRDefault="00C67012" w:rsidP="003F27C5">
      <w:pPr>
        <w:pStyle w:val="Zkladntext3"/>
        <w:ind w:left="567"/>
        <w:rPr>
          <w:rFonts w:ascii="Arial" w:hAnsi="Arial" w:cs="Arial"/>
          <w:sz w:val="23"/>
          <w:szCs w:val="23"/>
        </w:rPr>
      </w:pPr>
    </w:p>
    <w:p w14:paraId="4F698BB2" w14:textId="0FAE2061" w:rsidR="00C67012" w:rsidRDefault="00C67012" w:rsidP="003F27C5">
      <w:pPr>
        <w:pStyle w:val="Zkladntext3"/>
        <w:ind w:left="567"/>
        <w:rPr>
          <w:rFonts w:ascii="Arial" w:hAnsi="Arial" w:cs="Arial"/>
          <w:sz w:val="23"/>
          <w:szCs w:val="23"/>
        </w:rPr>
      </w:pPr>
    </w:p>
    <w:p w14:paraId="261CDD77" w14:textId="41AE84E2" w:rsidR="00C67012" w:rsidRDefault="00C67012" w:rsidP="003F27C5">
      <w:pPr>
        <w:pStyle w:val="Zkladntext3"/>
        <w:ind w:left="567"/>
        <w:rPr>
          <w:rFonts w:ascii="Arial" w:hAnsi="Arial" w:cs="Arial"/>
          <w:sz w:val="23"/>
          <w:szCs w:val="23"/>
        </w:rPr>
      </w:pPr>
    </w:p>
    <w:p w14:paraId="5F2C9802" w14:textId="77777777" w:rsidR="00C67012" w:rsidRDefault="00C67012" w:rsidP="003F27C5">
      <w:pPr>
        <w:pStyle w:val="Zkladntext3"/>
        <w:ind w:left="567"/>
        <w:rPr>
          <w:rFonts w:ascii="Arial" w:hAnsi="Arial" w:cs="Arial"/>
          <w:sz w:val="23"/>
          <w:szCs w:val="23"/>
        </w:rPr>
      </w:pPr>
    </w:p>
    <w:p w14:paraId="0E10B5A0" w14:textId="64614E91" w:rsidR="00C67012" w:rsidRDefault="00C67012" w:rsidP="003F27C5">
      <w:pPr>
        <w:pStyle w:val="Zkladntext3"/>
        <w:ind w:left="567"/>
        <w:rPr>
          <w:rFonts w:ascii="Arial" w:hAnsi="Arial" w:cs="Arial"/>
          <w:sz w:val="23"/>
          <w:szCs w:val="23"/>
        </w:rPr>
      </w:pPr>
    </w:p>
    <w:p w14:paraId="040FF875" w14:textId="32667FBC" w:rsidR="00C67012" w:rsidRDefault="00C67012" w:rsidP="003F27C5">
      <w:pPr>
        <w:pStyle w:val="Zkladntext3"/>
        <w:ind w:left="567"/>
        <w:rPr>
          <w:rFonts w:ascii="Arial" w:hAnsi="Arial" w:cs="Arial"/>
          <w:sz w:val="23"/>
          <w:szCs w:val="23"/>
        </w:rPr>
      </w:pPr>
    </w:p>
    <w:p w14:paraId="213F1C8D" w14:textId="77777777" w:rsidR="00C67012" w:rsidRDefault="00C67012"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lastRenderedPageBreak/>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6F71FCE7" w:rsidR="00FC6465" w:rsidRPr="007766C8" w:rsidRDefault="00F25287"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210 640,10</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6D06115D"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F25287">
              <w:rPr>
                <w:rFonts w:ascii="Arial" w:hAnsi="Arial" w:cs="Arial"/>
                <w:b/>
                <w:sz w:val="23"/>
                <w:szCs w:val="23"/>
                <w:lang w:val="cs-CZ"/>
              </w:rPr>
              <w:t>dvě stě deset tisíc šest set čtyřicet korun českých deset haléřů</w:t>
            </w:r>
            <w:r w:rsidRPr="007766C8">
              <w:rPr>
                <w:rFonts w:ascii="Arial" w:hAnsi="Arial" w:cs="Arial"/>
                <w:b/>
                <w:sz w:val="23"/>
                <w:szCs w:val="23"/>
                <w:lang w:val="cs-CZ"/>
              </w:rPr>
              <w:t>)</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4403B17B" w:rsidR="00FC6465" w:rsidRPr="007766C8" w:rsidRDefault="00F25287" w:rsidP="00FA6B2E">
            <w:pPr>
              <w:pStyle w:val="Zkladntext3"/>
              <w:ind w:left="709" w:hanging="709"/>
              <w:rPr>
                <w:rFonts w:ascii="Arial" w:hAnsi="Arial" w:cs="Arial"/>
                <w:b/>
                <w:sz w:val="23"/>
                <w:szCs w:val="23"/>
                <w:lang w:val="cs-CZ"/>
              </w:rPr>
            </w:pPr>
            <w:r>
              <w:rPr>
                <w:rFonts w:ascii="Arial" w:hAnsi="Arial" w:cs="Arial"/>
                <w:b/>
                <w:sz w:val="23"/>
                <w:szCs w:val="23"/>
                <w:lang w:val="cs-CZ"/>
              </w:rPr>
              <w:t>44 234,42</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1FC2A9F5" w:rsidR="00FC6465" w:rsidRPr="007766C8" w:rsidRDefault="00F25287" w:rsidP="00FC6465">
            <w:pPr>
              <w:pStyle w:val="Zkladntext3"/>
              <w:ind w:left="709" w:hanging="709"/>
              <w:rPr>
                <w:rFonts w:ascii="Arial" w:hAnsi="Arial" w:cs="Arial"/>
                <w:b/>
                <w:sz w:val="23"/>
                <w:szCs w:val="23"/>
                <w:lang w:val="cs-CZ"/>
              </w:rPr>
            </w:pPr>
            <w:r>
              <w:rPr>
                <w:rFonts w:ascii="Arial" w:hAnsi="Arial" w:cs="Arial"/>
                <w:b/>
                <w:sz w:val="23"/>
                <w:szCs w:val="23"/>
                <w:lang w:val="cs-CZ"/>
              </w:rPr>
              <w:t>254 874,52,- Kč</w:t>
            </w:r>
          </w:p>
          <w:p w14:paraId="176CBB6A" w14:textId="1FFFF78B"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xml:space="preserve">: </w:t>
            </w:r>
            <w:r w:rsidR="00057C30">
              <w:rPr>
                <w:rFonts w:ascii="Arial" w:hAnsi="Arial" w:cs="Arial"/>
                <w:b/>
                <w:sz w:val="23"/>
                <w:szCs w:val="23"/>
                <w:lang w:val="cs-CZ"/>
              </w:rPr>
              <w:t xml:space="preserve">dvě stě padesát čtyři </w:t>
            </w:r>
            <w:r w:rsidR="00B043F1">
              <w:rPr>
                <w:rFonts w:ascii="Arial" w:hAnsi="Arial" w:cs="Arial"/>
                <w:b/>
                <w:sz w:val="23"/>
                <w:szCs w:val="23"/>
                <w:lang w:val="cs-CZ"/>
              </w:rPr>
              <w:t>t</w:t>
            </w:r>
            <w:proofErr w:type="spellStart"/>
            <w:r w:rsidR="00FC278A">
              <w:rPr>
                <w:b/>
                <w:sz w:val="23"/>
                <w:szCs w:val="23"/>
              </w:rPr>
              <w:t>i</w:t>
            </w:r>
            <w:r w:rsidR="00FC278A">
              <w:rPr>
                <w:b/>
                <w:sz w:val="23"/>
                <w:szCs w:val="23"/>
                <w:lang w:val="cs-CZ"/>
              </w:rPr>
              <w:t>síc</w:t>
            </w:r>
            <w:proofErr w:type="spellEnd"/>
            <w:r w:rsidR="00B043F1">
              <w:rPr>
                <w:b/>
                <w:sz w:val="23"/>
                <w:szCs w:val="23"/>
              </w:rPr>
              <w:t xml:space="preserve"> </w:t>
            </w:r>
            <w:r w:rsidR="00057C30">
              <w:rPr>
                <w:rFonts w:ascii="Arial" w:hAnsi="Arial" w:cs="Arial"/>
                <w:b/>
                <w:sz w:val="23"/>
                <w:szCs w:val="23"/>
                <w:lang w:val="cs-CZ"/>
              </w:rPr>
              <w:t>osm set sedmdesát čtyři korun českých padesát dva haléřů</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2BCCE63D" w14:textId="77777777" w:rsidR="00C67012" w:rsidRPr="00DC7D62" w:rsidRDefault="00C67012" w:rsidP="00C67012">
      <w:pPr>
        <w:numPr>
          <w:ilvl w:val="0"/>
          <w:numId w:val="19"/>
        </w:numPr>
        <w:spacing w:after="0" w:line="240" w:lineRule="auto"/>
        <w:ind w:left="709" w:hanging="709"/>
        <w:jc w:val="both"/>
        <w:rPr>
          <w:rFonts w:ascii="Arial" w:eastAsia="Times New Roman" w:hAnsi="Arial" w:cs="Arial"/>
          <w:sz w:val="23"/>
          <w:szCs w:val="23"/>
          <w:lang w:val="x-none" w:eastAsia="cs-CZ"/>
        </w:rPr>
      </w:pPr>
      <w:r w:rsidRPr="00DC7D62">
        <w:rPr>
          <w:rFonts w:ascii="Arial" w:eastAsia="Times New Roman" w:hAnsi="Arial" w:cs="Arial"/>
          <w:sz w:val="23"/>
          <w:szCs w:val="23"/>
          <w:lang w:val="x-none" w:eastAsia="cs-CZ"/>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C7D62">
        <w:rPr>
          <w:rFonts w:ascii="Arial" w:eastAsia="Times New Roman" w:hAnsi="Arial" w:cs="Arial"/>
          <w:bCs/>
          <w:sz w:val="23"/>
          <w:szCs w:val="23"/>
          <w:lang w:val="x-none" w:eastAsia="cs-CZ"/>
        </w:rPr>
        <w:t xml:space="preserve">vč. přejímací zkoušky dlouhodobé stability (pouze u Zboží, které této zkoušce podle </w:t>
      </w:r>
      <w:r w:rsidRPr="00DC7D62">
        <w:rPr>
          <w:rFonts w:ascii="Arial" w:eastAsia="Times New Roman" w:hAnsi="Arial" w:cs="Arial"/>
          <w:bCs/>
          <w:sz w:val="23"/>
          <w:szCs w:val="23"/>
          <w:lang w:eastAsia="cs-CZ"/>
        </w:rPr>
        <w:t xml:space="preserve">AZ </w:t>
      </w:r>
      <w:r w:rsidRPr="00DC7D62">
        <w:rPr>
          <w:rFonts w:ascii="Arial" w:eastAsia="Times New Roman" w:hAnsi="Arial" w:cs="Arial"/>
          <w:bCs/>
          <w:sz w:val="23"/>
          <w:szCs w:val="23"/>
          <w:lang w:val="x-none" w:eastAsia="cs-CZ"/>
        </w:rPr>
        <w:t>podléhá), vstupní validace či kalibrace (pouze u Zboží, u nějž je při provozu vyžadována)</w:t>
      </w:r>
      <w:r w:rsidRPr="00DC7D62">
        <w:rPr>
          <w:rFonts w:ascii="Arial" w:eastAsia="Times New Roman" w:hAnsi="Arial" w:cs="Arial"/>
          <w:sz w:val="23"/>
          <w:szCs w:val="23"/>
          <w:lang w:val="x-none" w:eastAsia="cs-CZ"/>
        </w:rPr>
        <w:t xml:space="preserve">, ověření přenosu dat z přístroje na pracovní stanici (pokud je u přístroje samostatná pracovní stanice, ověření přenosu dat do archivu </w:t>
      </w:r>
      <w:r w:rsidRPr="00DC7D62">
        <w:rPr>
          <w:rFonts w:ascii="Arial" w:eastAsia="Times New Roman" w:hAnsi="Arial" w:cs="Arial"/>
          <w:sz w:val="23"/>
          <w:szCs w:val="23"/>
          <w:lang w:eastAsia="cs-CZ"/>
        </w:rPr>
        <w:t xml:space="preserve">MARIE </w:t>
      </w:r>
      <w:r w:rsidRPr="00DC7D62">
        <w:rPr>
          <w:rFonts w:ascii="Arial" w:eastAsia="Times New Roman" w:hAnsi="Arial" w:cs="Arial"/>
          <w:sz w:val="23"/>
          <w:szCs w:val="23"/>
          <w:lang w:val="x-none" w:eastAsia="cs-CZ"/>
        </w:rPr>
        <w:t>PACS a odzkoušení bezproblémového provozu, recyklační poplatek (pouze u Zboží, které tomuto poplatku podle zákona č. 541/20</w:t>
      </w:r>
      <w:r w:rsidRPr="00DC7D62">
        <w:rPr>
          <w:rFonts w:ascii="Arial" w:eastAsia="Times New Roman" w:hAnsi="Arial" w:cs="Arial"/>
          <w:sz w:val="23"/>
          <w:szCs w:val="23"/>
          <w:lang w:eastAsia="cs-CZ"/>
        </w:rPr>
        <w:t>20</w:t>
      </w:r>
      <w:r w:rsidRPr="00DC7D62">
        <w:rPr>
          <w:rFonts w:ascii="Arial" w:eastAsia="Times New Roman" w:hAnsi="Arial" w:cs="Arial"/>
          <w:sz w:val="23"/>
          <w:szCs w:val="23"/>
          <w:lang w:val="x-none" w:eastAsia="cs-CZ"/>
        </w:rPr>
        <w:t xml:space="preserve"> Sb., o odpadech, ve znění pozdějších předpisů, podléhá), preventivní bezpečnostně technické kontroly vč. aktualizace příp. firmware, zkoušek dlouhodobé stability </w:t>
      </w:r>
      <w:r w:rsidRPr="00DC7D62">
        <w:rPr>
          <w:rFonts w:ascii="Arial" w:eastAsia="Times New Roman" w:hAnsi="Arial" w:cs="Arial"/>
          <w:bCs/>
          <w:sz w:val="23"/>
          <w:szCs w:val="23"/>
          <w:lang w:val="x-none" w:eastAsia="cs-CZ"/>
        </w:rPr>
        <w:t xml:space="preserve">(pouze u Zboží, které této zkoušce podle </w:t>
      </w:r>
      <w:r w:rsidRPr="00DC7D62">
        <w:rPr>
          <w:rFonts w:ascii="Arial" w:eastAsia="Times New Roman" w:hAnsi="Arial" w:cs="Arial"/>
          <w:bCs/>
          <w:sz w:val="23"/>
          <w:szCs w:val="23"/>
          <w:lang w:eastAsia="cs-CZ"/>
        </w:rPr>
        <w:t xml:space="preserve">AZ </w:t>
      </w:r>
      <w:r w:rsidRPr="00DC7D62">
        <w:rPr>
          <w:rFonts w:ascii="Arial" w:eastAsia="Times New Roman" w:hAnsi="Arial" w:cs="Arial"/>
          <w:bCs/>
          <w:sz w:val="23"/>
          <w:szCs w:val="23"/>
          <w:lang w:val="x-none" w:eastAsia="cs-CZ"/>
        </w:rPr>
        <w:t xml:space="preserve">podléhá), </w:t>
      </w:r>
      <w:r w:rsidRPr="00DC7D62">
        <w:rPr>
          <w:rFonts w:ascii="Arial" w:eastAsia="Times New Roman" w:hAnsi="Arial" w:cs="Arial"/>
          <w:sz w:val="23"/>
          <w:szCs w:val="23"/>
          <w:lang w:val="x-none" w:eastAsia="cs-CZ"/>
        </w:rPr>
        <w:t xml:space="preserve">validace nebo kalibrace parametrů </w:t>
      </w:r>
      <w:r w:rsidRPr="00DC7D62">
        <w:rPr>
          <w:rFonts w:ascii="Arial" w:eastAsia="Times New Roman" w:hAnsi="Arial" w:cs="Arial"/>
          <w:bCs/>
          <w:sz w:val="23"/>
          <w:szCs w:val="23"/>
          <w:lang w:val="x-none" w:eastAsia="cs-CZ"/>
        </w:rPr>
        <w:t>(pouze u Zboží, u nějž je při provozu vyžadována)</w:t>
      </w:r>
      <w:r w:rsidRPr="00DC7D62">
        <w:rPr>
          <w:rFonts w:ascii="Arial" w:eastAsia="Times New Roman" w:hAnsi="Arial" w:cs="Arial"/>
          <w:sz w:val="23"/>
          <w:szCs w:val="23"/>
          <w:lang w:val="x-none" w:eastAsia="cs-CZ"/>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2EE92ADC"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272BAE80"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w:t>
      </w:r>
      <w:r w:rsidRPr="00035128">
        <w:rPr>
          <w:rFonts w:ascii="Arial" w:hAnsi="Arial" w:cs="Arial"/>
          <w:sz w:val="22"/>
          <w:szCs w:val="22"/>
        </w:rPr>
        <w:t xml:space="preserve">do </w:t>
      </w:r>
      <w:r w:rsidR="009B25DB" w:rsidRPr="00035128">
        <w:rPr>
          <w:rFonts w:ascii="Arial" w:hAnsi="Arial" w:cs="Arial"/>
          <w:sz w:val="22"/>
          <w:szCs w:val="22"/>
          <w:lang w:val="cs-CZ"/>
        </w:rPr>
        <w:t>3</w:t>
      </w:r>
      <w:r w:rsidRPr="00035128">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w:t>
      </w:r>
      <w:r>
        <w:rPr>
          <w:rFonts w:ascii="Arial" w:hAnsi="Arial" w:cs="Arial"/>
          <w:sz w:val="22"/>
          <w:szCs w:val="22"/>
        </w:rPr>
        <w:t xml:space="preserve">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lastRenderedPageBreak/>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Default="008E56A1" w:rsidP="008E56A1">
      <w:pPr>
        <w:pStyle w:val="Odstavecseseznamem"/>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8E56A1" w:rsidRDefault="008E56A1" w:rsidP="001F7FD0">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lastRenderedPageBreak/>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77777777" w:rsidR="008F4237" w:rsidRPr="00744E5D"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7FD88107"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F14E50">
              <w:rPr>
                <w:rFonts w:ascii="Arial" w:hAnsi="Arial" w:cs="Arial"/>
                <w:sz w:val="23"/>
                <w:szCs w:val="23"/>
                <w:lang w:val="cs-CZ"/>
              </w:rPr>
              <w:t xml:space="preserve"> Praze</w:t>
            </w:r>
            <w:r w:rsidRPr="00415B16">
              <w:rPr>
                <w:rFonts w:ascii="Arial" w:hAnsi="Arial" w:cs="Arial"/>
                <w:sz w:val="23"/>
                <w:szCs w:val="23"/>
                <w:lang w:val="cs-CZ"/>
              </w:rPr>
              <w:t xml:space="preserve"> dne </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60C32B13"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proofErr w:type="spellStart"/>
            <w:r w:rsidR="00F14E50">
              <w:rPr>
                <w:rFonts w:ascii="Arial" w:hAnsi="Arial" w:cs="Arial"/>
                <w:b/>
                <w:sz w:val="23"/>
                <w:szCs w:val="23"/>
                <w:lang w:val="cs-CZ"/>
              </w:rPr>
              <w:t>Stargen</w:t>
            </w:r>
            <w:proofErr w:type="spellEnd"/>
            <w:r w:rsidR="00F14E50">
              <w:rPr>
                <w:rFonts w:ascii="Arial" w:hAnsi="Arial" w:cs="Arial"/>
                <w:b/>
                <w:sz w:val="23"/>
                <w:szCs w:val="23"/>
                <w:lang w:val="cs-CZ"/>
              </w:rPr>
              <w:t xml:space="preserve"> EU s.r.o.</w:t>
            </w:r>
          </w:p>
          <w:p w14:paraId="465E3A2E" w14:textId="3606FC6D"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ED0024">
              <w:rPr>
                <w:rFonts w:ascii="Arial" w:hAnsi="Arial" w:cs="Arial"/>
                <w:sz w:val="23"/>
                <w:szCs w:val="23"/>
                <w:lang w:val="cs-CZ"/>
              </w:rPr>
              <w:t>Ing. Martin Kaloš</w:t>
            </w:r>
          </w:p>
          <w:p w14:paraId="27EAC58A" w14:textId="51EAC28C" w:rsidR="00A51741" w:rsidRPr="00415B16" w:rsidRDefault="00ED0024" w:rsidP="00ED0024">
            <w:pPr>
              <w:pStyle w:val="Zkladntext2"/>
              <w:spacing w:line="240" w:lineRule="auto"/>
              <w:rPr>
                <w:rFonts w:ascii="Arial" w:hAnsi="Arial" w:cs="Arial"/>
                <w:sz w:val="23"/>
                <w:szCs w:val="23"/>
                <w:lang w:val="cs-CZ"/>
              </w:rPr>
            </w:pPr>
            <w:r>
              <w:rPr>
                <w:rFonts w:ascii="Arial" w:hAnsi="Arial" w:cs="Arial"/>
                <w:sz w:val="23"/>
                <w:szCs w:val="23"/>
                <w:lang w:val="cs-CZ"/>
              </w:rPr>
              <w:t xml:space="preserve">                     </w:t>
            </w:r>
            <w:r w:rsidR="008C3401">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152E8E6D" w14:textId="60679A15" w:rsidR="00D039A9" w:rsidRDefault="00E6311E"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8189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FF7A6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1F489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F605F4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5EF021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DD72B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4CE3FB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DC17E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42BAD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2EEF4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A64CC62"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BF22B9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6ABAA4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3697A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06A52F8" w14:textId="1679B690"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65D5EF8" w14:textId="58EFBFF7" w:rsidR="00BD42E0" w:rsidRDefault="00BD42E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0A45734" w14:textId="3E8DC9EA" w:rsidR="00BD42E0" w:rsidRDefault="00BD42E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087F4B7" w14:textId="2B243582" w:rsidR="00BD42E0" w:rsidRDefault="00BD42E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7258AFA" w14:textId="71877BEA" w:rsidR="00C67012" w:rsidRDefault="00C6701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A9C347" w14:textId="77777777" w:rsidR="00C67012" w:rsidRDefault="00C6701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7C940B3" w14:textId="70AFA576" w:rsidR="00BD42E0" w:rsidRDefault="00BD42E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D6B96DB" w14:textId="71401450" w:rsidR="00BD42E0" w:rsidRDefault="00BD42E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E667D0" w14:textId="28A902E9" w:rsidR="00BD42E0"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lastRenderedPageBreak/>
        <w:t>Příloha č. 1 – Technická specifikace</w:t>
      </w:r>
    </w:p>
    <w:p w14:paraId="76E17A6F" w14:textId="77777777" w:rsidR="00C67012" w:rsidRDefault="00C67012"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tbl>
      <w:tblPr>
        <w:tblW w:w="8366" w:type="dxa"/>
        <w:tblCellMar>
          <w:left w:w="70" w:type="dxa"/>
          <w:right w:w="70" w:type="dxa"/>
        </w:tblCellMar>
        <w:tblLook w:val="04A0" w:firstRow="1" w:lastRow="0" w:firstColumn="1" w:lastColumn="0" w:noHBand="0" w:noVBand="1"/>
      </w:tblPr>
      <w:tblGrid>
        <w:gridCol w:w="8366"/>
      </w:tblGrid>
      <w:tr w:rsidR="00BD42E0" w:rsidRPr="00BD42E0" w14:paraId="59C34CC3" w14:textId="77777777" w:rsidTr="00C67012">
        <w:trPr>
          <w:trHeight w:val="292"/>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75B91E10" w14:textId="77777777" w:rsidR="00BD42E0" w:rsidRPr="00BD42E0" w:rsidRDefault="00BD42E0" w:rsidP="00BD42E0">
            <w:pPr>
              <w:spacing w:after="0" w:line="240" w:lineRule="auto"/>
              <w:rPr>
                <w:rFonts w:eastAsia="Times New Roman" w:cs="Calibri"/>
                <w:b/>
                <w:bCs/>
                <w:color w:val="000000"/>
                <w:lang w:eastAsia="cs-CZ"/>
              </w:rPr>
            </w:pPr>
            <w:r w:rsidRPr="00BD42E0">
              <w:rPr>
                <w:rFonts w:eastAsia="Times New Roman" w:cs="Calibri"/>
                <w:b/>
                <w:bCs/>
                <w:color w:val="000000"/>
                <w:lang w:eastAsia="cs-CZ"/>
              </w:rPr>
              <w:t>Elektrokoagulace pro NCHK - 1 ks</w:t>
            </w:r>
          </w:p>
        </w:tc>
      </w:tr>
      <w:tr w:rsidR="00BD42E0" w:rsidRPr="00BD42E0" w14:paraId="190932CB" w14:textId="77777777" w:rsidTr="00C67012">
        <w:trPr>
          <w:trHeight w:val="878"/>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3464C5E8"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 xml:space="preserve">požadovaný výstupní VF výkon - bipolární min. 120 W, </w:t>
            </w:r>
            <w:proofErr w:type="spellStart"/>
            <w:r w:rsidRPr="00BD42E0">
              <w:rPr>
                <w:rFonts w:eastAsia="Times New Roman" w:cs="Calibri"/>
                <w:color w:val="000000"/>
                <w:lang w:eastAsia="cs-CZ"/>
              </w:rPr>
              <w:t>monopolární</w:t>
            </w:r>
            <w:proofErr w:type="spellEnd"/>
            <w:r w:rsidRPr="00BD42E0">
              <w:rPr>
                <w:rFonts w:eastAsia="Times New Roman" w:cs="Calibri"/>
                <w:color w:val="000000"/>
                <w:lang w:eastAsia="cs-CZ"/>
              </w:rPr>
              <w:t xml:space="preserve"> min. 300 W, pracovní frekvence 350 kHz</w:t>
            </w:r>
          </w:p>
        </w:tc>
      </w:tr>
      <w:tr w:rsidR="00BD42E0" w:rsidRPr="00BD42E0" w14:paraId="246FB3DC" w14:textId="77777777" w:rsidTr="00C67012">
        <w:trPr>
          <w:trHeight w:val="629"/>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10EE639A"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možnost uložení programů na generátoru min. 5 programů</w:t>
            </w:r>
          </w:p>
        </w:tc>
      </w:tr>
      <w:tr w:rsidR="00BD42E0" w:rsidRPr="00BD42E0" w14:paraId="62F27916" w14:textId="77777777" w:rsidTr="00C67012">
        <w:trPr>
          <w:trHeight w:val="585"/>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6C53B924" w14:textId="77777777" w:rsidR="00BD42E0" w:rsidRPr="00BD42E0" w:rsidRDefault="00BD42E0" w:rsidP="00BD42E0">
            <w:pPr>
              <w:spacing w:after="0" w:line="240" w:lineRule="auto"/>
              <w:rPr>
                <w:rFonts w:eastAsia="Times New Roman" w:cs="Calibri"/>
                <w:color w:val="000000"/>
                <w:lang w:eastAsia="cs-CZ"/>
              </w:rPr>
            </w:pPr>
            <w:proofErr w:type="spellStart"/>
            <w:r w:rsidRPr="00BD42E0">
              <w:rPr>
                <w:rFonts w:eastAsia="Times New Roman" w:cs="Calibri"/>
                <w:color w:val="000000"/>
                <w:lang w:eastAsia="cs-CZ"/>
              </w:rPr>
              <w:t>autotest</w:t>
            </w:r>
            <w:proofErr w:type="spellEnd"/>
            <w:r w:rsidRPr="00BD42E0">
              <w:rPr>
                <w:rFonts w:eastAsia="Times New Roman" w:cs="Calibri"/>
                <w:color w:val="000000"/>
                <w:lang w:eastAsia="cs-CZ"/>
              </w:rPr>
              <w:t xml:space="preserve"> po zapnutí přístroje a kontinuálně během provozu</w:t>
            </w:r>
          </w:p>
        </w:tc>
      </w:tr>
      <w:tr w:rsidR="00BD42E0" w:rsidRPr="00BD42E0" w14:paraId="521599D7" w14:textId="77777777" w:rsidTr="00C67012">
        <w:trPr>
          <w:trHeight w:val="878"/>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0B1C271F"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akustická a optická signalizace chybových hlášek se zobrazením popisu chyby a uložením do paměti chybových hlášek generátoru</w:t>
            </w:r>
          </w:p>
        </w:tc>
      </w:tr>
      <w:tr w:rsidR="00BD42E0" w:rsidRPr="00BD42E0" w14:paraId="39228B04" w14:textId="77777777" w:rsidTr="00C67012">
        <w:trPr>
          <w:trHeight w:val="585"/>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21BBB52F"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 xml:space="preserve">min. 1 bipolární konektor a 2 </w:t>
            </w:r>
            <w:proofErr w:type="spellStart"/>
            <w:r w:rsidRPr="00BD42E0">
              <w:rPr>
                <w:rFonts w:eastAsia="Times New Roman" w:cs="Calibri"/>
                <w:color w:val="000000"/>
                <w:lang w:eastAsia="cs-CZ"/>
              </w:rPr>
              <w:t>monopolární</w:t>
            </w:r>
            <w:proofErr w:type="spellEnd"/>
            <w:r w:rsidRPr="00BD42E0">
              <w:rPr>
                <w:rFonts w:eastAsia="Times New Roman" w:cs="Calibri"/>
                <w:color w:val="000000"/>
                <w:lang w:eastAsia="cs-CZ"/>
              </w:rPr>
              <w:t xml:space="preserve"> konektory</w:t>
            </w:r>
          </w:p>
        </w:tc>
      </w:tr>
      <w:tr w:rsidR="00BD42E0" w:rsidRPr="00BD42E0" w14:paraId="7D5E14D9" w14:textId="77777777" w:rsidTr="00C67012">
        <w:trPr>
          <w:trHeight w:val="585"/>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7D3BE21B"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bipolární konektor kompatibilní se standardem Martin</w:t>
            </w:r>
          </w:p>
        </w:tc>
      </w:tr>
      <w:tr w:rsidR="00BD42E0" w:rsidRPr="00BD42E0" w14:paraId="0D16A316" w14:textId="77777777" w:rsidTr="00C67012">
        <w:trPr>
          <w:trHeight w:val="585"/>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1D52D088"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akustická a optická signalizace aktivace generátoru</w:t>
            </w:r>
          </w:p>
        </w:tc>
      </w:tr>
      <w:tr w:rsidR="00BD42E0" w:rsidRPr="00BD42E0" w14:paraId="6C5AEEF1" w14:textId="77777777" w:rsidTr="00C67012">
        <w:trPr>
          <w:trHeight w:val="292"/>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387B46E1"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možnost SW aktualizace generátoru</w:t>
            </w:r>
          </w:p>
        </w:tc>
      </w:tr>
      <w:tr w:rsidR="00BD42E0" w:rsidRPr="00BD42E0" w14:paraId="0A53A85A" w14:textId="77777777" w:rsidTr="00C67012">
        <w:trPr>
          <w:trHeight w:val="585"/>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778D7F25"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ovládání pomocí dotykového displeje nebo pomocí tlačítek na čelním panelu</w:t>
            </w:r>
          </w:p>
        </w:tc>
      </w:tr>
      <w:tr w:rsidR="00BD42E0" w:rsidRPr="00BD42E0" w14:paraId="107B9E7C" w14:textId="77777777" w:rsidTr="00C67012">
        <w:trPr>
          <w:trHeight w:val="292"/>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466E4C8D"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ovládání generátoru v ČJ</w:t>
            </w:r>
          </w:p>
        </w:tc>
      </w:tr>
      <w:tr w:rsidR="00BD42E0" w:rsidRPr="00BD42E0" w14:paraId="2F8FEB9D" w14:textId="77777777" w:rsidTr="00C67012">
        <w:trPr>
          <w:trHeight w:val="292"/>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717BA5AE"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napájení 230 V / 50 Hz</w:t>
            </w:r>
          </w:p>
        </w:tc>
      </w:tr>
      <w:tr w:rsidR="00BD42E0" w:rsidRPr="00BD42E0" w14:paraId="49355C4A" w14:textId="77777777" w:rsidTr="00C67012">
        <w:trPr>
          <w:trHeight w:val="292"/>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3F4EB2FD"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napájecí kabel délky min. 4 m</w:t>
            </w:r>
          </w:p>
        </w:tc>
      </w:tr>
      <w:tr w:rsidR="00BD42E0" w:rsidRPr="00BD42E0" w14:paraId="06F8181A" w14:textId="77777777" w:rsidTr="00C67012">
        <w:trPr>
          <w:trHeight w:val="292"/>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1F226E8F"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kabel pro ochranné pospojování délky min. 4 m</w:t>
            </w:r>
          </w:p>
        </w:tc>
      </w:tr>
      <w:tr w:rsidR="00BD42E0" w:rsidRPr="00BD42E0" w14:paraId="73B72378" w14:textId="77777777" w:rsidTr="00C67012">
        <w:trPr>
          <w:trHeight w:val="292"/>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76C1611A" w14:textId="77777777" w:rsidR="00BD42E0" w:rsidRPr="00BD42E0" w:rsidRDefault="00BD42E0" w:rsidP="00BD42E0">
            <w:pPr>
              <w:spacing w:after="0" w:line="240" w:lineRule="auto"/>
              <w:rPr>
                <w:rFonts w:eastAsia="Times New Roman" w:cs="Calibri"/>
                <w:b/>
                <w:bCs/>
                <w:color w:val="000000"/>
                <w:lang w:eastAsia="cs-CZ"/>
              </w:rPr>
            </w:pPr>
            <w:r w:rsidRPr="00BD42E0">
              <w:rPr>
                <w:rFonts w:eastAsia="Times New Roman" w:cs="Calibri"/>
                <w:b/>
                <w:bCs/>
                <w:color w:val="000000"/>
                <w:lang w:eastAsia="cs-CZ"/>
              </w:rPr>
              <w:t>Požadované typy řezu a koagulace:</w:t>
            </w:r>
          </w:p>
        </w:tc>
      </w:tr>
      <w:tr w:rsidR="00BD42E0" w:rsidRPr="00BD42E0" w14:paraId="3A199BD3" w14:textId="77777777" w:rsidTr="00C67012">
        <w:trPr>
          <w:trHeight w:val="292"/>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53D8AAB4" w14:textId="77777777" w:rsidR="00BD42E0" w:rsidRPr="00BD42E0" w:rsidRDefault="00BD42E0" w:rsidP="00BD42E0">
            <w:pPr>
              <w:spacing w:after="0" w:line="240" w:lineRule="auto"/>
              <w:rPr>
                <w:rFonts w:eastAsia="Times New Roman" w:cs="Calibri"/>
                <w:color w:val="000000"/>
                <w:lang w:eastAsia="cs-CZ"/>
              </w:rPr>
            </w:pPr>
            <w:proofErr w:type="spellStart"/>
            <w:r w:rsidRPr="00BD42E0">
              <w:rPr>
                <w:rFonts w:eastAsia="Times New Roman" w:cs="Calibri"/>
                <w:color w:val="000000"/>
                <w:lang w:eastAsia="cs-CZ"/>
              </w:rPr>
              <w:t>monopolární</w:t>
            </w:r>
            <w:proofErr w:type="spellEnd"/>
            <w:r w:rsidRPr="00BD42E0">
              <w:rPr>
                <w:rFonts w:eastAsia="Times New Roman" w:cs="Calibri"/>
                <w:color w:val="000000"/>
                <w:lang w:eastAsia="cs-CZ"/>
              </w:rPr>
              <w:t xml:space="preserve"> a bipolární řez a koagulace</w:t>
            </w:r>
          </w:p>
        </w:tc>
      </w:tr>
      <w:tr w:rsidR="00BD42E0" w:rsidRPr="00BD42E0" w14:paraId="3D50AD94" w14:textId="77777777" w:rsidTr="00C67012">
        <w:trPr>
          <w:trHeight w:val="292"/>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037BBEBB"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řez a koagulace v kapalině (TUR)</w:t>
            </w:r>
          </w:p>
        </w:tc>
      </w:tr>
      <w:tr w:rsidR="00BD42E0" w:rsidRPr="00BD42E0" w14:paraId="6E6BE956" w14:textId="77777777" w:rsidTr="00C67012">
        <w:trPr>
          <w:trHeight w:val="292"/>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5B1FCF98"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nastavení AUTOSTART a AUTOSTOP</w:t>
            </w:r>
          </w:p>
        </w:tc>
      </w:tr>
      <w:tr w:rsidR="00BD42E0" w:rsidRPr="00BD42E0" w14:paraId="7C5B98BF" w14:textId="77777777" w:rsidTr="00C67012">
        <w:trPr>
          <w:trHeight w:val="585"/>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3CE37065"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u všech typů řezů a koagulace nastavení efektu (min. 3 stupně) a plynulé omezení výkonu</w:t>
            </w:r>
          </w:p>
        </w:tc>
      </w:tr>
      <w:tr w:rsidR="00BD42E0" w:rsidRPr="00BD42E0" w14:paraId="510A38AB" w14:textId="77777777" w:rsidTr="00C67012">
        <w:trPr>
          <w:trHeight w:val="292"/>
        </w:trPr>
        <w:tc>
          <w:tcPr>
            <w:tcW w:w="8366"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0FFD138"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 </w:t>
            </w:r>
          </w:p>
        </w:tc>
      </w:tr>
      <w:tr w:rsidR="00BD42E0" w:rsidRPr="00BD42E0" w14:paraId="25459C19" w14:textId="77777777" w:rsidTr="00C67012">
        <w:trPr>
          <w:trHeight w:val="292"/>
        </w:trPr>
        <w:tc>
          <w:tcPr>
            <w:tcW w:w="8366" w:type="dxa"/>
            <w:tcBorders>
              <w:top w:val="nil"/>
              <w:left w:val="single" w:sz="8" w:space="0" w:color="auto"/>
              <w:bottom w:val="single" w:sz="4" w:space="0" w:color="auto"/>
              <w:right w:val="single" w:sz="8" w:space="0" w:color="auto"/>
            </w:tcBorders>
            <w:shd w:val="clear" w:color="000000" w:fill="C5D9F1"/>
            <w:vAlign w:val="bottom"/>
            <w:hideMark/>
          </w:tcPr>
          <w:p w14:paraId="102CE478" w14:textId="77777777" w:rsidR="00BD42E0" w:rsidRPr="00BD42E0" w:rsidRDefault="00BD42E0" w:rsidP="00BD42E0">
            <w:pPr>
              <w:spacing w:after="0" w:line="240" w:lineRule="auto"/>
              <w:jc w:val="center"/>
              <w:rPr>
                <w:rFonts w:eastAsia="Times New Roman" w:cs="Calibri"/>
                <w:b/>
                <w:bCs/>
                <w:color w:val="000000"/>
                <w:lang w:eastAsia="cs-CZ"/>
              </w:rPr>
            </w:pPr>
            <w:r w:rsidRPr="00BD42E0">
              <w:rPr>
                <w:rFonts w:eastAsia="Times New Roman" w:cs="Calibri"/>
                <w:b/>
                <w:bCs/>
                <w:color w:val="000000"/>
                <w:lang w:eastAsia="cs-CZ"/>
              </w:rPr>
              <w:t>Příslušenství v rámci dodávky</w:t>
            </w:r>
          </w:p>
        </w:tc>
      </w:tr>
      <w:tr w:rsidR="00BD42E0" w:rsidRPr="00BD42E0" w14:paraId="6F78E77C" w14:textId="77777777" w:rsidTr="00C67012">
        <w:trPr>
          <w:trHeight w:val="585"/>
        </w:trPr>
        <w:tc>
          <w:tcPr>
            <w:tcW w:w="8366" w:type="dxa"/>
            <w:tcBorders>
              <w:top w:val="nil"/>
              <w:left w:val="single" w:sz="8" w:space="0" w:color="auto"/>
              <w:bottom w:val="nil"/>
              <w:right w:val="single" w:sz="8" w:space="0" w:color="auto"/>
            </w:tcBorders>
            <w:shd w:val="clear" w:color="000000" w:fill="DCE6F1"/>
            <w:vAlign w:val="bottom"/>
            <w:hideMark/>
          </w:tcPr>
          <w:p w14:paraId="7A823003"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 xml:space="preserve">nožní spínač pro </w:t>
            </w:r>
            <w:proofErr w:type="spellStart"/>
            <w:r w:rsidRPr="00BD42E0">
              <w:rPr>
                <w:rFonts w:eastAsia="Times New Roman" w:cs="Calibri"/>
                <w:color w:val="000000"/>
                <w:lang w:eastAsia="cs-CZ"/>
              </w:rPr>
              <w:t>monopolární</w:t>
            </w:r>
            <w:proofErr w:type="spellEnd"/>
            <w:r w:rsidRPr="00BD42E0">
              <w:rPr>
                <w:rFonts w:eastAsia="Times New Roman" w:cs="Calibri"/>
                <w:color w:val="000000"/>
                <w:lang w:eastAsia="cs-CZ"/>
              </w:rPr>
              <w:t xml:space="preserve"> a bipolární provoz - </w:t>
            </w:r>
            <w:r w:rsidRPr="00BD42E0">
              <w:rPr>
                <w:rFonts w:eastAsia="Times New Roman" w:cs="Calibri"/>
                <w:b/>
                <w:bCs/>
                <w:color w:val="000000"/>
                <w:lang w:eastAsia="cs-CZ"/>
              </w:rPr>
              <w:t>1 ks</w:t>
            </w:r>
          </w:p>
        </w:tc>
      </w:tr>
      <w:tr w:rsidR="00BD42E0" w:rsidRPr="00BD42E0" w14:paraId="46EC6B95" w14:textId="77777777" w:rsidTr="00C67012">
        <w:trPr>
          <w:trHeight w:val="585"/>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0C557EC1"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 xml:space="preserve">kabel pro jednorázové neutrální elektrody, délka min. 4 m - </w:t>
            </w:r>
            <w:r w:rsidRPr="00BD42E0">
              <w:rPr>
                <w:rFonts w:eastAsia="Times New Roman" w:cs="Calibri"/>
                <w:b/>
                <w:bCs/>
                <w:color w:val="000000"/>
                <w:lang w:eastAsia="cs-CZ"/>
              </w:rPr>
              <w:t>min. 1 ks</w:t>
            </w:r>
          </w:p>
        </w:tc>
      </w:tr>
      <w:tr w:rsidR="00BD42E0" w:rsidRPr="00BD42E0" w14:paraId="411AE2B0" w14:textId="77777777" w:rsidTr="00C67012">
        <w:trPr>
          <w:trHeight w:val="585"/>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76E8192E"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 xml:space="preserve">dělené neutrální elektrody deklarované výrobcem generátoru pro dospělé </w:t>
            </w:r>
            <w:r w:rsidRPr="00BD42E0">
              <w:rPr>
                <w:rFonts w:eastAsia="Times New Roman" w:cs="Calibri"/>
                <w:b/>
                <w:bCs/>
                <w:color w:val="000000"/>
                <w:lang w:eastAsia="cs-CZ"/>
              </w:rPr>
              <w:t>min. 50 ks</w:t>
            </w:r>
          </w:p>
        </w:tc>
      </w:tr>
      <w:tr w:rsidR="00BD42E0" w:rsidRPr="00BD42E0" w14:paraId="5CD92D5D" w14:textId="77777777" w:rsidTr="00C67012">
        <w:trPr>
          <w:trHeight w:val="1464"/>
        </w:trPr>
        <w:tc>
          <w:tcPr>
            <w:tcW w:w="8366" w:type="dxa"/>
            <w:tcBorders>
              <w:top w:val="single" w:sz="4" w:space="0" w:color="auto"/>
              <w:left w:val="single" w:sz="8" w:space="0" w:color="auto"/>
              <w:bottom w:val="nil"/>
              <w:right w:val="single" w:sz="8" w:space="0" w:color="auto"/>
            </w:tcBorders>
            <w:shd w:val="clear" w:color="000000" w:fill="DCE6F1"/>
            <w:vAlign w:val="bottom"/>
            <w:hideMark/>
          </w:tcPr>
          <w:p w14:paraId="3F773FD9" w14:textId="77777777" w:rsidR="00BD42E0" w:rsidRPr="00BD42E0" w:rsidRDefault="00BD42E0" w:rsidP="00BD42E0">
            <w:pPr>
              <w:spacing w:after="0" w:line="240" w:lineRule="auto"/>
              <w:rPr>
                <w:rFonts w:eastAsia="Times New Roman" w:cs="Calibri"/>
                <w:color w:val="000000"/>
                <w:lang w:eastAsia="cs-CZ"/>
              </w:rPr>
            </w:pPr>
            <w:r w:rsidRPr="00BD42E0">
              <w:rPr>
                <w:rFonts w:eastAsia="Times New Roman" w:cs="Calibri"/>
                <w:color w:val="000000"/>
                <w:lang w:eastAsia="cs-CZ"/>
              </w:rPr>
              <w:t xml:space="preserve">bipolární kabel </w:t>
            </w:r>
            <w:proofErr w:type="spellStart"/>
            <w:r w:rsidRPr="00BD42E0">
              <w:rPr>
                <w:rFonts w:eastAsia="Times New Roman" w:cs="Calibri"/>
                <w:color w:val="000000"/>
                <w:lang w:eastAsia="cs-CZ"/>
              </w:rPr>
              <w:t>autoklávovatelná</w:t>
            </w:r>
            <w:proofErr w:type="spellEnd"/>
            <w:r w:rsidRPr="00BD42E0">
              <w:rPr>
                <w:rFonts w:eastAsia="Times New Roman" w:cs="Calibri"/>
                <w:color w:val="000000"/>
                <w:lang w:eastAsia="cs-CZ"/>
              </w:rPr>
              <w:t xml:space="preserve"> dle </w:t>
            </w:r>
            <w:proofErr w:type="spellStart"/>
            <w:r w:rsidRPr="00BD42E0">
              <w:rPr>
                <w:rFonts w:eastAsia="Times New Roman" w:cs="Calibri"/>
                <w:color w:val="000000"/>
                <w:lang w:eastAsia="cs-CZ"/>
              </w:rPr>
              <w:t>výhlášky</w:t>
            </w:r>
            <w:proofErr w:type="spellEnd"/>
            <w:r w:rsidRPr="00BD42E0">
              <w:rPr>
                <w:rFonts w:eastAsia="Times New Roman" w:cs="Calibri"/>
                <w:color w:val="000000"/>
                <w:lang w:eastAsia="cs-CZ"/>
              </w:rPr>
              <w:t xml:space="preserve">    306 / 2012 Sb. (134 ⁰C, 7 min) k bipolárním pinzetám plně kompatibilní s portem standardu Martin a dodávaného generátoru délky min. 4 m - </w:t>
            </w:r>
            <w:r w:rsidRPr="00BD42E0">
              <w:rPr>
                <w:rFonts w:eastAsia="Times New Roman" w:cs="Calibri"/>
                <w:b/>
                <w:bCs/>
                <w:color w:val="000000"/>
                <w:lang w:eastAsia="cs-CZ"/>
              </w:rPr>
              <w:t>6 ks</w:t>
            </w:r>
          </w:p>
        </w:tc>
      </w:tr>
    </w:tbl>
    <w:p w14:paraId="46B9F6D1" w14:textId="77777777" w:rsidR="0016732B" w:rsidRPr="00C67012" w:rsidRDefault="0016732B" w:rsidP="00C67012"/>
    <w:sectPr w:rsidR="0016732B" w:rsidRPr="00C670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A5F3" w14:textId="77777777" w:rsidR="00340DF2" w:rsidRDefault="00340DF2" w:rsidP="00FF18EB">
      <w:pPr>
        <w:spacing w:after="0" w:line="240" w:lineRule="auto"/>
      </w:pPr>
      <w:r>
        <w:separator/>
      </w:r>
    </w:p>
  </w:endnote>
  <w:endnote w:type="continuationSeparator" w:id="0">
    <w:p w14:paraId="71CA01BD" w14:textId="77777777" w:rsidR="00340DF2" w:rsidRDefault="00340DF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5E964324"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5F3584">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5F3584">
      <w:rPr>
        <w:rFonts w:ascii="Arial" w:hAnsi="Arial" w:cs="Arial"/>
        <w:b/>
        <w:bCs/>
        <w:noProof/>
        <w:sz w:val="20"/>
        <w:szCs w:val="20"/>
      </w:rPr>
      <w:t>9</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8D6C" w14:textId="77777777" w:rsidR="00340DF2" w:rsidRDefault="00340DF2" w:rsidP="00FF18EB">
      <w:pPr>
        <w:spacing w:after="0" w:line="240" w:lineRule="auto"/>
      </w:pPr>
      <w:r>
        <w:separator/>
      </w:r>
    </w:p>
  </w:footnote>
  <w:footnote w:type="continuationSeparator" w:id="0">
    <w:p w14:paraId="794E06EA" w14:textId="77777777" w:rsidR="00340DF2" w:rsidRDefault="00340DF2"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35128"/>
    <w:rsid w:val="00057C30"/>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609B3"/>
    <w:rsid w:val="0016732B"/>
    <w:rsid w:val="00183226"/>
    <w:rsid w:val="00183727"/>
    <w:rsid w:val="00183DEA"/>
    <w:rsid w:val="001874D4"/>
    <w:rsid w:val="00192D24"/>
    <w:rsid w:val="00196288"/>
    <w:rsid w:val="001A32A4"/>
    <w:rsid w:val="001A3D28"/>
    <w:rsid w:val="001C6BA8"/>
    <w:rsid w:val="001D38E0"/>
    <w:rsid w:val="001D3902"/>
    <w:rsid w:val="001D3F7C"/>
    <w:rsid w:val="001D4983"/>
    <w:rsid w:val="001D7781"/>
    <w:rsid w:val="001E485C"/>
    <w:rsid w:val="001F13BA"/>
    <w:rsid w:val="001F2069"/>
    <w:rsid w:val="001F3514"/>
    <w:rsid w:val="001F7FD0"/>
    <w:rsid w:val="00202E4E"/>
    <w:rsid w:val="002039E1"/>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7588"/>
    <w:rsid w:val="00330DC4"/>
    <w:rsid w:val="003360BF"/>
    <w:rsid w:val="00340DF2"/>
    <w:rsid w:val="00341AD8"/>
    <w:rsid w:val="00355E79"/>
    <w:rsid w:val="00372AF0"/>
    <w:rsid w:val="00375955"/>
    <w:rsid w:val="00382D5D"/>
    <w:rsid w:val="00393475"/>
    <w:rsid w:val="003A1056"/>
    <w:rsid w:val="003B4845"/>
    <w:rsid w:val="003D23D7"/>
    <w:rsid w:val="003D2DB0"/>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00C9"/>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B6689"/>
    <w:rsid w:val="005D0FD1"/>
    <w:rsid w:val="005D1964"/>
    <w:rsid w:val="005D1F37"/>
    <w:rsid w:val="005D29BD"/>
    <w:rsid w:val="005E39A9"/>
    <w:rsid w:val="005F3584"/>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478F"/>
    <w:rsid w:val="007157D9"/>
    <w:rsid w:val="00735D41"/>
    <w:rsid w:val="0073763C"/>
    <w:rsid w:val="00744CB2"/>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E56A1"/>
    <w:rsid w:val="008F4237"/>
    <w:rsid w:val="008F5230"/>
    <w:rsid w:val="008F6BCC"/>
    <w:rsid w:val="008F6F50"/>
    <w:rsid w:val="00901F83"/>
    <w:rsid w:val="00916EE4"/>
    <w:rsid w:val="009206F6"/>
    <w:rsid w:val="00922101"/>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5DB"/>
    <w:rsid w:val="009B2645"/>
    <w:rsid w:val="009B2B19"/>
    <w:rsid w:val="009B48A9"/>
    <w:rsid w:val="009C2784"/>
    <w:rsid w:val="009D2F76"/>
    <w:rsid w:val="009D3B32"/>
    <w:rsid w:val="009F3BF8"/>
    <w:rsid w:val="00A03BF1"/>
    <w:rsid w:val="00A131FD"/>
    <w:rsid w:val="00A146F1"/>
    <w:rsid w:val="00A17F49"/>
    <w:rsid w:val="00A225D8"/>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3F1"/>
    <w:rsid w:val="00B0477F"/>
    <w:rsid w:val="00B127BF"/>
    <w:rsid w:val="00B17D06"/>
    <w:rsid w:val="00B2012E"/>
    <w:rsid w:val="00B406E7"/>
    <w:rsid w:val="00B41494"/>
    <w:rsid w:val="00B436FD"/>
    <w:rsid w:val="00B733E1"/>
    <w:rsid w:val="00B76233"/>
    <w:rsid w:val="00B82BC0"/>
    <w:rsid w:val="00B85405"/>
    <w:rsid w:val="00B9193B"/>
    <w:rsid w:val="00B95871"/>
    <w:rsid w:val="00BA07E6"/>
    <w:rsid w:val="00BB16E5"/>
    <w:rsid w:val="00BB2CAF"/>
    <w:rsid w:val="00BD06AB"/>
    <w:rsid w:val="00BD0B30"/>
    <w:rsid w:val="00BD42E0"/>
    <w:rsid w:val="00BE2371"/>
    <w:rsid w:val="00BF65B9"/>
    <w:rsid w:val="00BF6761"/>
    <w:rsid w:val="00BF750F"/>
    <w:rsid w:val="00C006A4"/>
    <w:rsid w:val="00C142B5"/>
    <w:rsid w:val="00C1603C"/>
    <w:rsid w:val="00C2727E"/>
    <w:rsid w:val="00C27F0F"/>
    <w:rsid w:val="00C342FE"/>
    <w:rsid w:val="00C40168"/>
    <w:rsid w:val="00C50669"/>
    <w:rsid w:val="00C61C6C"/>
    <w:rsid w:val="00C67012"/>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61EC9"/>
    <w:rsid w:val="00D62ED5"/>
    <w:rsid w:val="00D7799F"/>
    <w:rsid w:val="00D813B7"/>
    <w:rsid w:val="00D818EC"/>
    <w:rsid w:val="00D86891"/>
    <w:rsid w:val="00D927B5"/>
    <w:rsid w:val="00DA1353"/>
    <w:rsid w:val="00DA5A63"/>
    <w:rsid w:val="00DD2F6E"/>
    <w:rsid w:val="00DD3E47"/>
    <w:rsid w:val="00DE4489"/>
    <w:rsid w:val="00DF71F9"/>
    <w:rsid w:val="00E053D1"/>
    <w:rsid w:val="00E13BA0"/>
    <w:rsid w:val="00E20450"/>
    <w:rsid w:val="00E30933"/>
    <w:rsid w:val="00E32B69"/>
    <w:rsid w:val="00E3667B"/>
    <w:rsid w:val="00E3686F"/>
    <w:rsid w:val="00E428CD"/>
    <w:rsid w:val="00E53E14"/>
    <w:rsid w:val="00E54D56"/>
    <w:rsid w:val="00E569E2"/>
    <w:rsid w:val="00E571BC"/>
    <w:rsid w:val="00E57C99"/>
    <w:rsid w:val="00E57DE7"/>
    <w:rsid w:val="00E6311E"/>
    <w:rsid w:val="00E710A0"/>
    <w:rsid w:val="00E7575B"/>
    <w:rsid w:val="00E7791E"/>
    <w:rsid w:val="00E80D56"/>
    <w:rsid w:val="00E81D11"/>
    <w:rsid w:val="00E826DA"/>
    <w:rsid w:val="00E9244D"/>
    <w:rsid w:val="00E928B3"/>
    <w:rsid w:val="00EA0F46"/>
    <w:rsid w:val="00EA2083"/>
    <w:rsid w:val="00EB6947"/>
    <w:rsid w:val="00ED0024"/>
    <w:rsid w:val="00ED3A3E"/>
    <w:rsid w:val="00EE477D"/>
    <w:rsid w:val="00EF3D76"/>
    <w:rsid w:val="00EF46EE"/>
    <w:rsid w:val="00F01FFB"/>
    <w:rsid w:val="00F06B76"/>
    <w:rsid w:val="00F14E50"/>
    <w:rsid w:val="00F213A4"/>
    <w:rsid w:val="00F24FF5"/>
    <w:rsid w:val="00F25287"/>
    <w:rsid w:val="00F25BC8"/>
    <w:rsid w:val="00F4457F"/>
    <w:rsid w:val="00F45113"/>
    <w:rsid w:val="00F7334F"/>
    <w:rsid w:val="00F74782"/>
    <w:rsid w:val="00F84550"/>
    <w:rsid w:val="00F86F9D"/>
    <w:rsid w:val="00F91A23"/>
    <w:rsid w:val="00FA4280"/>
    <w:rsid w:val="00FA6B2E"/>
    <w:rsid w:val="00FC0B87"/>
    <w:rsid w:val="00FC17C6"/>
    <w:rsid w:val="00FC278A"/>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771663472">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2745</Words>
  <Characters>16202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17</cp:revision>
  <cp:lastPrinted>2021-02-18T14:06:00Z</cp:lastPrinted>
  <dcterms:created xsi:type="dcterms:W3CDTF">2021-09-06T09:23:00Z</dcterms:created>
  <dcterms:modified xsi:type="dcterms:W3CDTF">2022-01-11T08:26:00Z</dcterms:modified>
</cp:coreProperties>
</file>