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0DB2" w14:textId="28EDDF44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3A7ABA">
        <w:rPr>
          <w:rFonts w:asciiTheme="minorHAnsi" w:hAnsiTheme="minorHAnsi" w:cstheme="minorHAnsi"/>
          <w:b/>
          <w:bCs/>
        </w:rPr>
        <w:t>008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21</w:t>
      </w:r>
    </w:p>
    <w:p w14:paraId="50554D4A" w14:textId="77777777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</w:rPr>
      </w:pP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3DFEB29D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</w:t>
      </w:r>
      <w:r w:rsidR="00ED3EFE">
        <w:rPr>
          <w:rFonts w:asciiTheme="minorHAnsi" w:hAnsiTheme="minorHAnsi" w:cstheme="minorHAnsi"/>
          <w:sz w:val="22"/>
          <w:szCs w:val="22"/>
        </w:rPr>
        <w:t>0</w:t>
      </w:r>
      <w:r w:rsidRPr="00F868DD">
        <w:rPr>
          <w:rFonts w:asciiTheme="minorHAnsi" w:hAnsiTheme="minorHAnsi" w:cstheme="minorHAnsi"/>
          <w:sz w:val="22"/>
          <w:szCs w:val="22"/>
        </w:rPr>
        <w:t xml:space="preserve">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2C4DEB5E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Zastoupené: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Pr="00F868DD">
        <w:rPr>
          <w:rFonts w:asciiTheme="minorHAnsi" w:hAnsiTheme="minorHAnsi" w:cstheme="minorHAnsi"/>
          <w:sz w:val="22"/>
          <w:szCs w:val="22"/>
        </w:rPr>
        <w:tab/>
      </w:r>
    </w:p>
    <w:p w14:paraId="4F027AC9" w14:textId="2F571881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301168">
        <w:rPr>
          <w:rFonts w:asciiTheme="minorHAnsi" w:hAnsiTheme="minorHAnsi" w:cstheme="minorHAnsi"/>
          <w:sz w:val="22"/>
          <w:szCs w:val="22"/>
        </w:rPr>
        <w:t>XXXXXXXXXXXXXXX</w:t>
      </w:r>
    </w:p>
    <w:p w14:paraId="2D2D48B0" w14:textId="5D37C574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301168" w:rsidRPr="00301168">
        <w:rPr>
          <w:rFonts w:asciiTheme="minorHAnsi" w:hAnsiTheme="minorHAnsi" w:cstheme="minorHAnsi"/>
        </w:rPr>
        <w:t>XXXXXXXXXXXX</w:t>
      </w:r>
      <w:r w:rsidR="00301168">
        <w:rPr>
          <w:rFonts w:asciiTheme="minorHAnsi" w:hAnsiTheme="minorHAnsi" w:cstheme="minorHAnsi"/>
        </w:rPr>
        <w:t>XX</w:t>
      </w:r>
    </w:p>
    <w:p w14:paraId="3D4A4F58" w14:textId="77777777" w:rsidR="00D02859" w:rsidRPr="00F868DD" w:rsidRDefault="00D02859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1B88CBA1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="00ED3EFE">
        <w:rPr>
          <w:rFonts w:asciiTheme="minorHAnsi" w:hAnsiTheme="minorHAnsi" w:cstheme="minorHAnsi"/>
          <w:b/>
        </w:rPr>
        <w:tab/>
        <w:t>CZECH NEWS CENTER a.s.</w:t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25045341" w14:textId="59D78331" w:rsidR="00D02859" w:rsidRPr="00ED3EFE" w:rsidRDefault="00D02859" w:rsidP="00D02859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EFE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 w:rsidR="00ED3EFE" w:rsidRPr="00ED3EFE">
        <w:rPr>
          <w:rFonts w:asciiTheme="minorHAnsi" w:hAnsiTheme="minorHAnsi" w:cstheme="minorHAnsi"/>
          <w:bCs/>
          <w:sz w:val="22"/>
          <w:szCs w:val="22"/>
        </w:rPr>
        <w:t xml:space="preserve"> spisová značka B19490, vedený u Městského soudu v Praze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</w:p>
    <w:p w14:paraId="31FA9EAF" w14:textId="36F35301" w:rsidR="00D02859" w:rsidRPr="00ED3EF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EFE">
        <w:rPr>
          <w:rFonts w:asciiTheme="minorHAnsi" w:hAnsiTheme="minorHAnsi" w:cstheme="minorHAnsi"/>
          <w:bCs/>
          <w:sz w:val="22"/>
          <w:szCs w:val="22"/>
        </w:rPr>
        <w:t>Sídlo: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="00ED3EFE" w:rsidRPr="00ED3EFE">
        <w:rPr>
          <w:rFonts w:asciiTheme="minorHAnsi" w:hAnsiTheme="minorHAnsi" w:cstheme="minorHAnsi"/>
          <w:bCs/>
          <w:sz w:val="22"/>
          <w:szCs w:val="22"/>
        </w:rPr>
        <w:t xml:space="preserve">Komunardů </w:t>
      </w:r>
      <w:r w:rsidR="00ED3EFE">
        <w:rPr>
          <w:rFonts w:asciiTheme="minorHAnsi" w:hAnsiTheme="minorHAnsi" w:cstheme="minorHAnsi"/>
          <w:bCs/>
          <w:sz w:val="22"/>
          <w:szCs w:val="22"/>
        </w:rPr>
        <w:t>1584/42, 170 00 Praha 7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</w:p>
    <w:p w14:paraId="76A670A5" w14:textId="6AC8D73B" w:rsidR="00D02859" w:rsidRPr="00ED3EF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D3EFE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="00ED3EFE">
        <w:rPr>
          <w:rFonts w:asciiTheme="minorHAnsi" w:hAnsiTheme="minorHAnsi" w:cstheme="minorHAnsi"/>
          <w:bCs/>
          <w:sz w:val="22"/>
          <w:szCs w:val="22"/>
        </w:rPr>
        <w:t>02346826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</w:p>
    <w:p w14:paraId="6A3C584F" w14:textId="732F413E" w:rsidR="00D02859" w:rsidRPr="00ED3EF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EFE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="00ED3EFE">
        <w:rPr>
          <w:rFonts w:asciiTheme="minorHAnsi" w:hAnsiTheme="minorHAnsi" w:cstheme="minorHAnsi"/>
          <w:bCs/>
          <w:sz w:val="22"/>
          <w:szCs w:val="22"/>
        </w:rPr>
        <w:t>CZ02346826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</w:p>
    <w:p w14:paraId="2676497A" w14:textId="77777777" w:rsidR="00ED3EF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EFE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="00ED3EFE">
        <w:rPr>
          <w:rFonts w:asciiTheme="minorHAnsi" w:hAnsiTheme="minorHAnsi" w:cstheme="minorHAnsi"/>
          <w:bCs/>
          <w:sz w:val="22"/>
          <w:szCs w:val="22"/>
        </w:rPr>
        <w:t>Tomášem Stránským a Jurajem Felixem, členy představenstva</w:t>
      </w:r>
    </w:p>
    <w:p w14:paraId="1AE21C17" w14:textId="77777777" w:rsidR="00ED3EFE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3EFE">
        <w:rPr>
          <w:rFonts w:asciiTheme="minorHAnsi" w:hAnsiTheme="minorHAnsi" w:cstheme="minorHAnsi"/>
          <w:bCs/>
          <w:sz w:val="22"/>
          <w:szCs w:val="22"/>
        </w:rPr>
        <w:t>bankovní spojení:</w:t>
      </w:r>
      <w:r w:rsidR="00ED3EFE">
        <w:rPr>
          <w:rFonts w:asciiTheme="minorHAnsi" w:hAnsiTheme="minorHAnsi" w:cstheme="minorHAnsi"/>
          <w:bCs/>
          <w:sz w:val="22"/>
          <w:szCs w:val="22"/>
        </w:rPr>
        <w:tab/>
      </w:r>
      <w:r w:rsidR="00ED3EFE">
        <w:rPr>
          <w:rFonts w:asciiTheme="minorHAnsi" w:hAnsiTheme="minorHAnsi" w:cstheme="minorHAnsi"/>
          <w:bCs/>
          <w:sz w:val="22"/>
          <w:szCs w:val="22"/>
        </w:rPr>
        <w:tab/>
        <w:t>UniCredit Bank Czech Republic and Slovakia, a.s.</w:t>
      </w:r>
      <w:r w:rsidRPr="00ED3E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  <w:r w:rsidRPr="00ED3EFE">
        <w:rPr>
          <w:rFonts w:asciiTheme="minorHAnsi" w:hAnsiTheme="minorHAnsi" w:cstheme="minorHAnsi"/>
          <w:bCs/>
          <w:sz w:val="22"/>
          <w:szCs w:val="22"/>
        </w:rPr>
        <w:tab/>
      </w:r>
    </w:p>
    <w:p w14:paraId="321B0FF5" w14:textId="6A4AC285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D3EFE">
        <w:rPr>
          <w:rFonts w:asciiTheme="minorHAnsi" w:hAnsiTheme="minorHAnsi" w:cstheme="minorHAnsi"/>
          <w:bCs/>
          <w:sz w:val="22"/>
          <w:szCs w:val="22"/>
        </w:rPr>
        <w:t>č.ú. :</w:t>
      </w:r>
      <w:proofErr w:type="gramEnd"/>
      <w:r w:rsidRPr="00F868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="00301168">
        <w:rPr>
          <w:rFonts w:asciiTheme="minorHAnsi" w:hAnsiTheme="minorHAnsi" w:cstheme="minorHAnsi"/>
          <w:bCs/>
          <w:sz w:val="22"/>
          <w:szCs w:val="22"/>
        </w:rPr>
        <w:t>XXXXXXXXXXXXXXXXX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</w:p>
    <w:p w14:paraId="533FF049" w14:textId="77777777" w:rsidR="00D02859" w:rsidRPr="00F868DD" w:rsidRDefault="00D02859" w:rsidP="00D0285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Preambule</w:t>
      </w:r>
    </w:p>
    <w:p w14:paraId="16FFED65" w14:textId="203FC300" w:rsidR="00D02859" w:rsidRPr="00F868DD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1C7FAA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1C7FAA">
        <w:rPr>
          <w:rFonts w:asciiTheme="minorHAnsi" w:hAnsiTheme="minorHAnsi" w:cstheme="minorHAnsi"/>
          <w:sz w:val="22"/>
          <w:szCs w:val="22"/>
        </w:rPr>
        <w:t>díla</w:t>
      </w:r>
      <w:r w:rsidR="00F868DD">
        <w:rPr>
          <w:rFonts w:asciiTheme="minorHAnsi" w:hAnsiTheme="minorHAnsi" w:cstheme="minorHAnsi"/>
          <w:sz w:val="22"/>
          <w:szCs w:val="22"/>
        </w:rPr>
        <w:t xml:space="preserve"> </w:t>
      </w:r>
      <w:r w:rsidR="00B35461" w:rsidRPr="00041BA5">
        <w:rPr>
          <w:rFonts w:ascii="Calibri" w:hAnsi="Calibri" w:cs="Calibri"/>
          <w:sz w:val="22"/>
          <w:szCs w:val="22"/>
        </w:rPr>
        <w:t>"</w:t>
      </w:r>
      <w:r w:rsidR="00B35461">
        <w:rPr>
          <w:rFonts w:ascii="Calibri" w:hAnsi="Calibri" w:cs="Calibri"/>
          <w:sz w:val="22"/>
          <w:szCs w:val="22"/>
        </w:rPr>
        <w:t>Výroba a vklad příbalového materiálu Východní Moravy</w:t>
      </w:r>
      <w:r w:rsidR="00B35461" w:rsidRPr="00041BA5">
        <w:rPr>
          <w:rFonts w:ascii="Calibri" w:hAnsi="Calibri" w:cs="Calibri"/>
          <w:sz w:val="22"/>
          <w:szCs w:val="22"/>
        </w:rPr>
        <w:t>“</w:t>
      </w:r>
      <w:r w:rsidR="00B35461" w:rsidRPr="00F868DD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(dále jen „</w:t>
      </w:r>
      <w:r w:rsidR="00B35461">
        <w:rPr>
          <w:rFonts w:asciiTheme="minorHAnsi" w:hAnsiTheme="minorHAnsi" w:cstheme="minorHAnsi"/>
          <w:sz w:val="22"/>
          <w:szCs w:val="22"/>
        </w:rPr>
        <w:t>dílo</w:t>
      </w:r>
      <w:r w:rsidRPr="00F868DD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prohlašuje, že má veškeré právní, technické a personální předpoklady, kapacity a odborné znalosti, jejichž je třeba k provedení díla sjednaného touto smlouvou (dále jen „dílo“), a je schopen zajistit splnění sjednaného předmětu díla.</w:t>
      </w:r>
    </w:p>
    <w:p w14:paraId="6C64D931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73ED261B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DBDD0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5B1AB83E" w14:textId="77777777" w:rsidR="00477F7E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touto smlouvou objednateli zavazuje, že pro něj ve sjednané době a za sjednaných podmínek zajistí realizaci</w:t>
      </w:r>
      <w:bookmarkStart w:id="0" w:name="_Hlk88568345"/>
      <w:r w:rsidR="00F01879">
        <w:rPr>
          <w:rFonts w:asciiTheme="minorHAnsi" w:hAnsiTheme="minorHAnsi" w:cstheme="minorHAnsi"/>
          <w:sz w:val="22"/>
          <w:szCs w:val="22"/>
        </w:rPr>
        <w:t xml:space="preserve"> </w:t>
      </w:r>
      <w:r w:rsidR="00F01879">
        <w:rPr>
          <w:rFonts w:ascii="Calibri" w:hAnsi="Calibri" w:cs="Calibri"/>
          <w:sz w:val="22"/>
          <w:szCs w:val="22"/>
        </w:rPr>
        <w:t xml:space="preserve">výroby a vkladu </w:t>
      </w:r>
      <w:bookmarkEnd w:id="0"/>
      <w:r w:rsidR="00477F7E">
        <w:rPr>
          <w:rFonts w:ascii="Calibri" w:hAnsi="Calibri" w:cs="Calibri"/>
          <w:sz w:val="22"/>
          <w:szCs w:val="22"/>
        </w:rPr>
        <w:t>příbalového materiálu (vkládaná inzerce), který bude distribuován do celostátního deníku, kdy distribuce bude zajištěna v rámci celé ČR.</w:t>
      </w:r>
    </w:p>
    <w:p w14:paraId="2B1B014F" w14:textId="77777777" w:rsidR="00477F7E" w:rsidRDefault="00477F7E" w:rsidP="00477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Podrobné zadání:</w:t>
      </w:r>
    </w:p>
    <w:p w14:paraId="460E04EC" w14:textId="77777777" w:rsidR="00477F7E" w:rsidRDefault="00477F7E" w:rsidP="00477F7E">
      <w:pPr>
        <w:jc w:val="both"/>
        <w:rPr>
          <w:rFonts w:ascii="Calibri" w:hAnsi="Calibri" w:cs="Calibri"/>
          <w:sz w:val="22"/>
          <w:szCs w:val="22"/>
          <w:highlight w:val="red"/>
        </w:rPr>
      </w:pPr>
    </w:p>
    <w:p w14:paraId="22DFA7AE" w14:textId="77777777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Příbalový materiál tematicky zaměřen na zimní dovolená na Východní Moravě</w:t>
      </w:r>
    </w:p>
    <w:p w14:paraId="79307ECC" w14:textId="3D7604B5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formát 215 x 280 mm, počet stran 1</w:t>
      </w:r>
      <w:r w:rsidR="00ED3EF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, barevnost 4x4, novinový papír, vazba lepená</w:t>
      </w:r>
    </w:p>
    <w:p w14:paraId="653F2300" w14:textId="77777777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grafický návrh, zlom, DTP, minimálně 3 korektury, tisk</w:t>
      </w:r>
    </w:p>
    <w:p w14:paraId="422EA765" w14:textId="77777777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fotografie dodá zadavatel</w:t>
      </w:r>
    </w:p>
    <w:p w14:paraId="12D892DA" w14:textId="77777777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 zpracuje redakce (dle zadání zadavatele)</w:t>
      </w:r>
    </w:p>
    <w:p w14:paraId="198681C6" w14:textId="536593ED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distribuce formou vkladu do celostátního deníku</w:t>
      </w:r>
      <w:r w:rsidR="00ED3EFE">
        <w:rPr>
          <w:rFonts w:ascii="Calibri" w:hAnsi="Calibri" w:cs="Calibri"/>
          <w:sz w:val="22"/>
          <w:szCs w:val="22"/>
        </w:rPr>
        <w:t xml:space="preserve"> BLESK</w:t>
      </w:r>
    </w:p>
    <w:p w14:paraId="582D54D5" w14:textId="66D6CFFB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náklad celostátního deníku </w:t>
      </w:r>
      <w:r w:rsidR="00F6210B">
        <w:rPr>
          <w:rFonts w:ascii="Calibri" w:hAnsi="Calibri" w:cs="Calibri"/>
          <w:sz w:val="22"/>
          <w:szCs w:val="22"/>
        </w:rPr>
        <w:t>280</w:t>
      </w:r>
      <w:r>
        <w:rPr>
          <w:rFonts w:ascii="Calibri" w:hAnsi="Calibri" w:cs="Calibri"/>
          <w:sz w:val="22"/>
          <w:szCs w:val="22"/>
        </w:rPr>
        <w:t> 000 ks</w:t>
      </w:r>
    </w:p>
    <w:p w14:paraId="5E1C494B" w14:textId="642D9F45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zásah celá ČR, </w:t>
      </w:r>
      <w:r w:rsidR="003A7ABA">
        <w:rPr>
          <w:rFonts w:ascii="Calibri" w:hAnsi="Calibri" w:cs="Calibri"/>
          <w:sz w:val="22"/>
          <w:szCs w:val="22"/>
        </w:rPr>
        <w:t>čtenost</w:t>
      </w:r>
      <w:r>
        <w:rPr>
          <w:rFonts w:ascii="Calibri" w:hAnsi="Calibri" w:cs="Calibri"/>
          <w:sz w:val="22"/>
          <w:szCs w:val="22"/>
        </w:rPr>
        <w:t xml:space="preserve"> </w:t>
      </w:r>
      <w:r w:rsidR="00F6210B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00 000 čtenářů</w:t>
      </w:r>
    </w:p>
    <w:p w14:paraId="7E349AE2" w14:textId="77777777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vklad ve vydání s nejvyšším nákladem týdne</w:t>
      </w:r>
    </w:p>
    <w:p w14:paraId="4326CBBC" w14:textId="58DC78FF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termín vydání </w:t>
      </w:r>
      <w:r w:rsidR="00F6210B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>. prosinec 2021.</w:t>
      </w:r>
    </w:p>
    <w:p w14:paraId="4262BA0C" w14:textId="77777777" w:rsidR="00477F7E" w:rsidRDefault="00477F7E" w:rsidP="00477F7E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 ks vytištěného materiálu předat zadavateli, dále zadavatel požaduje předání elektronické verze vytvořeného příbalového materiálu v podobě otevřených dat</w:t>
      </w:r>
    </w:p>
    <w:p w14:paraId="7A79A79A" w14:textId="60883486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653703A6" w14:textId="77777777" w:rsidR="00D02859" w:rsidRPr="0099720F" w:rsidRDefault="00D02859" w:rsidP="00E13B72">
      <w:pPr>
        <w:pStyle w:val="odrkyChar"/>
        <w:numPr>
          <w:ilvl w:val="0"/>
          <w:numId w:val="13"/>
        </w:numPr>
        <w:spacing w:before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Případné více či méně práce vzniklé v průběhu provádění této smlouvy o dílo budou předmětem písemného dodatku k této smlouvě o dílo a budou oceněny obvyklým způsobem.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51F9C025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 Č</w:t>
      </w:r>
      <w:r w:rsidR="00B35461">
        <w:rPr>
          <w:rFonts w:asciiTheme="minorHAnsi" w:hAnsiTheme="minorHAnsi" w:cstheme="minorHAnsi"/>
          <w:sz w:val="22"/>
          <w:szCs w:val="22"/>
        </w:rPr>
        <w:t>eská republika</w:t>
      </w:r>
      <w:r w:rsidRPr="00F868DD">
        <w:rPr>
          <w:rFonts w:asciiTheme="minorHAnsi" w:hAnsiTheme="minorHAnsi" w:cstheme="minorHAnsi"/>
          <w:sz w:val="22"/>
          <w:szCs w:val="22"/>
        </w:rPr>
        <w:t>. Doba plnění</w:t>
      </w:r>
      <w:r w:rsidR="00B35461">
        <w:rPr>
          <w:rFonts w:asciiTheme="minorHAnsi" w:hAnsiTheme="minorHAnsi" w:cstheme="minorHAnsi"/>
          <w:sz w:val="22"/>
          <w:szCs w:val="22"/>
        </w:rPr>
        <w:t>: prosinec 2021,</w:t>
      </w:r>
      <w:r w:rsidR="0008610C" w:rsidRPr="00017721">
        <w:rPr>
          <w:rFonts w:ascii="Calibri" w:hAnsi="Calibri" w:cs="Calibri"/>
          <w:sz w:val="22"/>
          <w:szCs w:val="22"/>
        </w:rPr>
        <w:t xml:space="preserve"> předání hotového </w:t>
      </w:r>
      <w:r w:rsidR="0008610C" w:rsidRPr="00F01879">
        <w:rPr>
          <w:rFonts w:ascii="Calibri" w:hAnsi="Calibri" w:cs="Calibri"/>
          <w:sz w:val="22"/>
          <w:szCs w:val="22"/>
        </w:rPr>
        <w:t xml:space="preserve">díla proběhne </w:t>
      </w:r>
      <w:r w:rsidR="00F01879" w:rsidRPr="00F01879">
        <w:rPr>
          <w:rFonts w:ascii="Calibri" w:hAnsi="Calibri" w:cs="Calibri"/>
          <w:sz w:val="22"/>
          <w:szCs w:val="22"/>
        </w:rPr>
        <w:t>31</w:t>
      </w:r>
      <w:r w:rsidR="00B43DF2" w:rsidRPr="00F01879">
        <w:rPr>
          <w:rFonts w:ascii="Calibri" w:hAnsi="Calibri" w:cs="Calibri"/>
          <w:sz w:val="22"/>
          <w:szCs w:val="22"/>
        </w:rPr>
        <w:t xml:space="preserve">. </w:t>
      </w:r>
      <w:r w:rsidR="0008610C" w:rsidRPr="00F01879">
        <w:rPr>
          <w:rFonts w:ascii="Calibri" w:hAnsi="Calibri" w:cs="Calibri"/>
          <w:sz w:val="22"/>
          <w:szCs w:val="22"/>
        </w:rPr>
        <w:t>12. 2021.</w:t>
      </w:r>
    </w:p>
    <w:p w14:paraId="485460DF" w14:textId="66842512" w:rsidR="00D02859" w:rsidRPr="00F868D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 bude prováděno na základě předaných výstupů a podepsaného předávacího protokolu objednatelem a dodavatelem. </w:t>
      </w:r>
    </w:p>
    <w:p w14:paraId="6815187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6CC7BE36" w:rsidR="00D02859" w:rsidRPr="00C8740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8740D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Pr="00C8740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B860D6" w:rsidRPr="00C8740D">
        <w:rPr>
          <w:rFonts w:asciiTheme="minorHAnsi" w:hAnsiTheme="minorHAnsi" w:cstheme="minorHAnsi"/>
          <w:sz w:val="22"/>
          <w:szCs w:val="22"/>
        </w:rPr>
        <w:tab/>
      </w:r>
      <w:r w:rsidR="00B860D6" w:rsidRPr="00C8740D">
        <w:rPr>
          <w:rFonts w:asciiTheme="minorHAnsi" w:hAnsiTheme="minorHAnsi" w:cstheme="minorHAnsi"/>
          <w:sz w:val="22"/>
          <w:szCs w:val="22"/>
        </w:rPr>
        <w:tab/>
        <w:t>472 050,-</w:t>
      </w:r>
      <w:r w:rsidRPr="00C8740D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5FF104FA" w14:textId="7AA26A1A" w:rsidR="00D02859" w:rsidRPr="00C8740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8740D">
        <w:rPr>
          <w:rFonts w:asciiTheme="minorHAnsi" w:hAnsiTheme="minorHAnsi" w:cstheme="minorHAnsi"/>
          <w:sz w:val="22"/>
          <w:szCs w:val="22"/>
        </w:rPr>
        <w:t>DPH 21 %</w:t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="00C8740D" w:rsidRPr="00C8740D">
        <w:rPr>
          <w:rFonts w:asciiTheme="minorHAnsi" w:hAnsiTheme="minorHAnsi" w:cstheme="minorHAnsi"/>
          <w:sz w:val="22"/>
          <w:szCs w:val="22"/>
        </w:rPr>
        <w:tab/>
      </w:r>
      <w:r w:rsidR="00B860D6" w:rsidRPr="00C8740D">
        <w:rPr>
          <w:rFonts w:asciiTheme="minorHAnsi" w:hAnsiTheme="minorHAnsi" w:cstheme="minorHAnsi"/>
          <w:sz w:val="22"/>
          <w:szCs w:val="22"/>
        </w:rPr>
        <w:t>99 130,50,-</w:t>
      </w:r>
      <w:r w:rsidRPr="00C8740D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3C58C4E2" w14:textId="7A293ADB" w:rsidR="00D02859" w:rsidRPr="00C8740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8740D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Pr="00C8740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Pr="00C8740D">
        <w:rPr>
          <w:rFonts w:asciiTheme="minorHAnsi" w:hAnsiTheme="minorHAnsi" w:cstheme="minorHAnsi"/>
          <w:sz w:val="22"/>
          <w:szCs w:val="22"/>
        </w:rPr>
        <w:tab/>
      </w:r>
      <w:r w:rsidR="00B860D6" w:rsidRPr="00C8740D">
        <w:rPr>
          <w:rFonts w:asciiTheme="minorHAnsi" w:hAnsiTheme="minorHAnsi" w:cstheme="minorHAnsi"/>
          <w:sz w:val="22"/>
          <w:szCs w:val="22"/>
        </w:rPr>
        <w:t>571</w:t>
      </w:r>
      <w:r w:rsidR="00C8740D" w:rsidRPr="00C8740D">
        <w:rPr>
          <w:rFonts w:asciiTheme="minorHAnsi" w:hAnsiTheme="minorHAnsi" w:cstheme="minorHAnsi"/>
          <w:sz w:val="22"/>
          <w:szCs w:val="22"/>
        </w:rPr>
        <w:t> 180,50,-</w:t>
      </w:r>
      <w:r w:rsidRPr="00C8740D">
        <w:rPr>
          <w:rFonts w:asciiTheme="minorHAnsi" w:hAnsiTheme="minorHAnsi" w:cstheme="minorHAnsi"/>
          <w:sz w:val="22"/>
          <w:szCs w:val="22"/>
        </w:rPr>
        <w:t xml:space="preserve"> Kč</w:t>
      </w:r>
    </w:p>
    <w:p w14:paraId="3485F8AE" w14:textId="20C9674A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C8740D">
        <w:rPr>
          <w:rFonts w:asciiTheme="minorHAnsi" w:hAnsiTheme="minorHAnsi" w:cstheme="minorHAnsi"/>
        </w:rPr>
        <w:t>(slovy:)</w:t>
      </w:r>
      <w:r w:rsidR="00C8740D">
        <w:rPr>
          <w:rFonts w:asciiTheme="minorHAnsi" w:hAnsiTheme="minorHAnsi" w:cstheme="minorHAnsi"/>
        </w:rPr>
        <w:t xml:space="preserve"> pětsetsedmdesátjedentisícstoosmdesátkorunčeskýchpadesáthaléřů.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po předání plnění a ukončení díla. </w:t>
      </w:r>
    </w:p>
    <w:p w14:paraId="6F4E216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 předpisů, a zákona č. 235/2004 Sb., o dani z přidané hodnoty, ve znění pozdějších předpisů.</w:t>
      </w:r>
    </w:p>
    <w:p w14:paraId="23649B87" w14:textId="77777777" w:rsidR="00D02859" w:rsidRPr="00CC3F47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Platba bude provedena na základě faktur, které budou splňovat náležitosti daňového dokladu dle obecně platných předpisů a budou označeny textem: </w:t>
      </w:r>
      <w:r w:rsidRPr="00CC3F47">
        <w:rPr>
          <w:rFonts w:asciiTheme="minorHAnsi" w:hAnsiTheme="minorHAnsi" w:cstheme="minorHAnsi"/>
          <w:b/>
          <w:bCs/>
          <w:sz w:val="22"/>
          <w:szCs w:val="22"/>
        </w:rPr>
        <w:t>„Tento doklad je hrazen z dotace Zlínského kraje“.</w:t>
      </w:r>
    </w:p>
    <w:p w14:paraId="65AF508C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F868DD">
        <w:rPr>
          <w:rFonts w:asciiTheme="minorHAnsi" w:hAnsiTheme="minorHAnsi" w:cstheme="minorHAnsi"/>
          <w:sz w:val="22"/>
          <w:szCs w:val="22"/>
        </w:rPr>
        <w:t>30ti denní</w:t>
      </w:r>
      <w:proofErr w:type="gramEnd"/>
      <w:r w:rsidRPr="00F868DD">
        <w:rPr>
          <w:rFonts w:asciiTheme="minorHAnsi" w:hAnsiTheme="minorHAnsi" w:cstheme="minorHAnsi"/>
          <w:sz w:val="22"/>
          <w:szCs w:val="22"/>
        </w:rPr>
        <w:t xml:space="preserve"> lhůta splatnosti pak začne běžet doručením opravené faktury.</w:t>
      </w:r>
    </w:p>
    <w:p w14:paraId="11B20825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zda-li</w:t>
      </w:r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8770F9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8770F9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8770F9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354ADCA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Dodavatel se zavazuje archivovat veškeré doklady, které souvisí s realizací projektu a jeho financováním po dobu 10 let od proplacení závěrečné platby příjemci, tj. od odepsání z účtu poskytovatele dotace, nejméně však do konce roku 20</w:t>
      </w:r>
      <w:r w:rsidR="00165AB8" w:rsidRPr="008770F9">
        <w:rPr>
          <w:rFonts w:asciiTheme="minorHAnsi" w:hAnsiTheme="minorHAnsi" w:cstheme="minorHAnsi"/>
        </w:rPr>
        <w:t>31</w:t>
      </w:r>
      <w:r w:rsidRPr="008770F9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0555952D" w:rsidR="00D02859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0AF0952C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</w:p>
    <w:p w14:paraId="359E3ADC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504AEB3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AECDB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01794CB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B3EE04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8BEC0C1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48F599E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11D50F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DEDB70F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566E4807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005AE826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16BB3E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32FB8F5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E045E5" w:rsidSect="00E31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A3AF" w14:textId="77777777" w:rsidR="002417EA" w:rsidRDefault="002417EA">
      <w:r>
        <w:separator/>
      </w:r>
    </w:p>
  </w:endnote>
  <w:endnote w:type="continuationSeparator" w:id="0">
    <w:p w14:paraId="3335CE0D" w14:textId="77777777" w:rsidR="002417EA" w:rsidRDefault="0024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BAF6" w14:textId="77777777" w:rsidR="00726A96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fldChar w:fldCharType="end"/>
    </w:r>
  </w:p>
  <w:p w14:paraId="27813B7F" w14:textId="77777777" w:rsidR="00726A96" w:rsidRDefault="003011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E691" w14:textId="77777777" w:rsidR="002417EA" w:rsidRDefault="002417EA">
      <w:r>
        <w:separator/>
      </w:r>
    </w:p>
  </w:footnote>
  <w:footnote w:type="continuationSeparator" w:id="0">
    <w:p w14:paraId="53C38AE7" w14:textId="77777777" w:rsidR="002417EA" w:rsidRDefault="0024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5A22222"/>
    <w:multiLevelType w:val="hybridMultilevel"/>
    <w:tmpl w:val="4B0E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9"/>
    <w:rsid w:val="00063872"/>
    <w:rsid w:val="0008610C"/>
    <w:rsid w:val="00165AB8"/>
    <w:rsid w:val="001A0A6D"/>
    <w:rsid w:val="001C7FAA"/>
    <w:rsid w:val="00234D97"/>
    <w:rsid w:val="002417EA"/>
    <w:rsid w:val="002D3881"/>
    <w:rsid w:val="00301168"/>
    <w:rsid w:val="003A7ABA"/>
    <w:rsid w:val="003B600C"/>
    <w:rsid w:val="003F0ECA"/>
    <w:rsid w:val="00415E74"/>
    <w:rsid w:val="00477F7E"/>
    <w:rsid w:val="004B5C9F"/>
    <w:rsid w:val="004E3F7E"/>
    <w:rsid w:val="004F1DDA"/>
    <w:rsid w:val="00500C4B"/>
    <w:rsid w:val="005439FE"/>
    <w:rsid w:val="005E79E4"/>
    <w:rsid w:val="00632AC9"/>
    <w:rsid w:val="006563E8"/>
    <w:rsid w:val="006603B8"/>
    <w:rsid w:val="006630CC"/>
    <w:rsid w:val="006957EA"/>
    <w:rsid w:val="00783CB6"/>
    <w:rsid w:val="00821A11"/>
    <w:rsid w:val="008770F9"/>
    <w:rsid w:val="008F2C94"/>
    <w:rsid w:val="008F74F3"/>
    <w:rsid w:val="00945686"/>
    <w:rsid w:val="0097101C"/>
    <w:rsid w:val="0099720F"/>
    <w:rsid w:val="009B3C53"/>
    <w:rsid w:val="009C3BD6"/>
    <w:rsid w:val="00A643D3"/>
    <w:rsid w:val="00A75CDB"/>
    <w:rsid w:val="00B34C1B"/>
    <w:rsid w:val="00B35461"/>
    <w:rsid w:val="00B43DF2"/>
    <w:rsid w:val="00B60926"/>
    <w:rsid w:val="00B860D6"/>
    <w:rsid w:val="00BB4CE5"/>
    <w:rsid w:val="00BD7E6F"/>
    <w:rsid w:val="00C16117"/>
    <w:rsid w:val="00C8740D"/>
    <w:rsid w:val="00CB77A9"/>
    <w:rsid w:val="00CC3F47"/>
    <w:rsid w:val="00CE05BE"/>
    <w:rsid w:val="00D02859"/>
    <w:rsid w:val="00D367A9"/>
    <w:rsid w:val="00DD3C76"/>
    <w:rsid w:val="00DE4029"/>
    <w:rsid w:val="00E00679"/>
    <w:rsid w:val="00E045E5"/>
    <w:rsid w:val="00E13B72"/>
    <w:rsid w:val="00E24195"/>
    <w:rsid w:val="00E6275B"/>
    <w:rsid w:val="00ED3EFE"/>
    <w:rsid w:val="00F01879"/>
    <w:rsid w:val="00F134C8"/>
    <w:rsid w:val="00F4178A"/>
    <w:rsid w:val="00F6210B"/>
    <w:rsid w:val="00F622E8"/>
    <w:rsid w:val="00F868DD"/>
    <w:rsid w:val="00F94A4C"/>
    <w:rsid w:val="00FC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4</cp:revision>
  <cp:lastPrinted>2021-06-09T12:25:00Z</cp:lastPrinted>
  <dcterms:created xsi:type="dcterms:W3CDTF">2021-12-09T11:05:00Z</dcterms:created>
  <dcterms:modified xsi:type="dcterms:W3CDTF">2022-01-10T08:28:00Z</dcterms:modified>
</cp:coreProperties>
</file>