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VEŘEJNÁ ZAKÁZKA</w:t>
      </w:r>
      <w:bookmarkEnd w:id="0"/>
      <w:bookmarkEnd w:id="1"/>
    </w:p>
    <w:p>
      <w:pPr>
        <w:pStyle w:val="Style10"/>
        <w:keepNext w:val="0"/>
        <w:keepLines w:val="0"/>
        <w:widowControl w:val="0"/>
        <w:shd w:val="clear" w:color="auto" w:fill="auto"/>
        <w:bidi w:val="0"/>
        <w:spacing w:before="0" w:after="0" w:line="298" w:lineRule="auto"/>
        <w:ind w:left="0" w:right="0" w:firstLine="0"/>
        <w:jc w:val="center"/>
      </w:pPr>
      <w:r>
        <w:rPr>
          <w:color w:val="000000"/>
          <w:spacing w:val="0"/>
          <w:w w:val="100"/>
          <w:position w:val="0"/>
          <w:shd w:val="clear" w:color="auto" w:fill="auto"/>
          <w:lang w:val="cs-CZ" w:eastAsia="cs-CZ" w:bidi="cs-CZ"/>
        </w:rPr>
        <w:t>SMLOUVA</w:t>
      </w:r>
    </w:p>
    <w:p>
      <w:pPr>
        <w:pStyle w:val="Style10"/>
        <w:keepNext w:val="0"/>
        <w:keepLines w:val="0"/>
        <w:widowControl w:val="0"/>
        <w:shd w:val="clear" w:color="auto" w:fill="auto"/>
        <w:bidi w:val="0"/>
        <w:spacing w:before="0" w:after="340" w:line="298" w:lineRule="auto"/>
        <w:ind w:left="0" w:right="0" w:firstLine="0"/>
        <w:jc w:val="center"/>
      </w:pPr>
      <w:r>
        <w:rPr>
          <w:color w:val="000000"/>
          <w:spacing w:val="0"/>
          <w:w w:val="100"/>
          <w:position w:val="0"/>
          <w:shd w:val="clear" w:color="auto" w:fill="auto"/>
          <w:lang w:val="cs-CZ" w:eastAsia="cs-CZ" w:bidi="cs-CZ"/>
        </w:rPr>
        <w:t>O SDRUŽENÝCH SLUŽBÁCH DODÁVKY ELEKTŘINY</w:t>
        <w:br/>
        <w:t>(kategorie VELKOODBĚRATEL ZE SÍTÍ VYSOKÉHO A VELMI</w:t>
        <w:br/>
        <w:t>VYSOKÉHO NAPĚTÍ)</w:t>
        <w:br/>
      </w:r>
      <w:r>
        <w:rPr>
          <w:color w:val="000000"/>
          <w:spacing w:val="0"/>
          <w:w w:val="100"/>
          <w:position w:val="0"/>
          <w:shd w:val="clear" w:color="auto" w:fill="auto"/>
          <w:lang w:val="cs-CZ" w:eastAsia="cs-CZ" w:bidi="cs-CZ"/>
        </w:rPr>
        <w:t>uzavřená mezi</w:t>
      </w:r>
    </w:p>
    <w:p>
      <w:pPr>
        <w:pStyle w:val="Style10"/>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Pražská plynárenská, a. s.</w:t>
      </w:r>
    </w:p>
    <w:p>
      <w:pPr>
        <w:pStyle w:val="Style10"/>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a</w:t>
      </w:r>
    </w:p>
    <w:p>
      <w:pPr>
        <w:pStyle w:val="Style12"/>
        <w:keepNext w:val="0"/>
        <w:keepLines w:val="0"/>
        <w:widowControl w:val="0"/>
        <w:shd w:val="clear" w:color="auto" w:fill="auto"/>
        <w:tabs>
          <w:tab w:pos="552" w:val="left"/>
          <w:tab w:pos="810" w:val="left"/>
          <w:tab w:pos="1035" w:val="left"/>
          <w:tab w:pos="1728" w:val="left"/>
          <w:tab w:pos="2578" w:val="left"/>
          <w:tab w:pos="3053" w:val="left"/>
          <w:tab w:pos="5218" w:val="left"/>
          <w:tab w:pos="6168" w:val="left"/>
          <w:tab w:pos="6734" w:val="left"/>
          <w:tab w:pos="7632" w:val="left"/>
          <w:tab w:pos="8707" w:val="left"/>
        </w:tabs>
        <w:bidi w:val="0"/>
        <w:spacing w:before="0" w:after="0" w:line="240" w:lineRule="auto"/>
        <w:ind w:left="0" w:right="0" w:firstLine="0"/>
        <w:jc w:val="left"/>
      </w:pPr>
      <w:r>
        <w:rPr>
          <w:b/>
          <w:bCs/>
          <w:i/>
          <w:iCs/>
          <w:color w:val="000000"/>
          <w:spacing w:val="0"/>
          <w:w w:val="100"/>
          <w:position w:val="0"/>
          <w:sz w:val="11"/>
          <w:szCs w:val="11"/>
          <w:shd w:val="clear" w:color="auto" w:fill="auto"/>
          <w:lang w:val="cs-CZ" w:eastAsia="cs-CZ" w:bidi="cs-CZ"/>
        </w:rPr>
        <w:t>If</w:t>
        <w:tab/>
        <w:t>•</w:t>
        <w:tab/>
        <w:t>■</w:t>
        <w:tab/>
        <w:t>'</w:t>
        <w:tab/>
      </w:r>
      <w:r>
        <w:rPr>
          <w:b/>
          <w:bCs/>
          <w:i/>
          <w:iCs/>
          <w:color w:val="000000"/>
          <w:spacing w:val="0"/>
          <w:w w:val="100"/>
          <w:position w:val="0"/>
          <w:sz w:val="11"/>
          <w:szCs w:val="11"/>
          <w:shd w:val="clear" w:color="auto" w:fill="auto"/>
          <w:vertAlign w:val="superscript"/>
          <w:lang w:val="cs-CZ" w:eastAsia="cs-CZ" w:bidi="cs-CZ"/>
        </w:rPr>
        <w:t>r</w:t>
      </w:r>
      <w:r>
        <w:rPr>
          <w:color w:val="000000"/>
          <w:spacing w:val="0"/>
          <w:w w:val="100"/>
          <w:position w:val="0"/>
          <w:shd w:val="clear" w:color="auto" w:fill="auto"/>
          <w:lang w:val="cs-CZ" w:eastAsia="cs-CZ" w:bidi="cs-CZ"/>
        </w:rPr>
        <w:tab/>
        <w:t>'</w:t>
        <w:tab/>
      </w:r>
      <w:r>
        <w:rPr>
          <w:color w:val="000000"/>
          <w:spacing w:val="0"/>
          <w:w w:val="100"/>
          <w:position w:val="0"/>
          <w:shd w:val="clear" w:color="auto" w:fill="auto"/>
          <w:vertAlign w:val="superscript"/>
          <w:lang w:val="cs-CZ" w:eastAsia="cs-CZ" w:bidi="cs-CZ"/>
        </w:rPr>
        <w:t>v</w:t>
      </w:r>
      <w:r>
        <w:rPr>
          <w:color w:val="000000"/>
          <w:spacing w:val="0"/>
          <w:w w:val="100"/>
          <w:position w:val="0"/>
          <w:shd w:val="clear" w:color="auto" w:fill="auto"/>
          <w:lang w:val="cs-CZ" w:eastAsia="cs-CZ" w:bidi="cs-CZ"/>
        </w:rPr>
        <w:tab/>
        <w:t>V •</w:t>
        <w:tab/>
        <w:t xml:space="preserve">V </w:t>
      </w:r>
      <w:r>
        <w:rPr>
          <w:b/>
          <w:bCs/>
          <w:i/>
          <w:iCs/>
          <w:color w:val="000000"/>
          <w:spacing w:val="0"/>
          <w:w w:val="100"/>
          <w:position w:val="0"/>
          <w:sz w:val="11"/>
          <w:szCs w:val="11"/>
          <w:shd w:val="clear" w:color="auto" w:fill="auto"/>
          <w:lang w:val="cs-CZ" w:eastAsia="cs-CZ" w:bidi="cs-CZ"/>
        </w:rPr>
        <w:t>r</w:t>
      </w:r>
      <w:r>
        <w:rPr>
          <w:color w:val="000000"/>
          <w:spacing w:val="0"/>
          <w:w w:val="100"/>
          <w:position w:val="0"/>
          <w:shd w:val="clear" w:color="auto" w:fill="auto"/>
          <w:lang w:val="cs-CZ" w:eastAsia="cs-CZ" w:bidi="cs-CZ"/>
        </w:rPr>
        <w:tab/>
        <w:t>V ■</w:t>
        <w:tab/>
        <w:t>z-</w:t>
        <w:tab/>
        <w:t>•</w:t>
      </w:r>
    </w:p>
    <w:p>
      <w:pPr>
        <w:pStyle w:val="Style10"/>
        <w:keepNext w:val="0"/>
        <w:keepLines w:val="0"/>
        <w:widowControl w:val="0"/>
        <w:shd w:val="clear" w:color="auto" w:fill="auto"/>
        <w:bidi w:val="0"/>
        <w:spacing w:before="0" w:after="2520" w:line="180"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Jejíž obsah tvoří:</w:t>
      </w:r>
    </w:p>
    <w:p>
      <w:pPr>
        <w:pStyle w:val="Style2"/>
        <w:keepNext w:val="0"/>
        <w:keepLines w:val="0"/>
        <w:widowControl w:val="0"/>
        <w:numPr>
          <w:ilvl w:val="0"/>
          <w:numId w:val="1"/>
        </w:numPr>
        <w:shd w:val="clear" w:color="auto" w:fill="auto"/>
        <w:tabs>
          <w:tab w:pos="3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Výběrový list</w:t>
      </w:r>
    </w:p>
    <w:p>
      <w:pPr>
        <w:pStyle w:val="Style2"/>
        <w:keepNext w:val="0"/>
        <w:keepLines w:val="0"/>
        <w:widowControl w:val="0"/>
        <w:numPr>
          <w:ilvl w:val="0"/>
          <w:numId w:val="1"/>
        </w:numPr>
        <w:shd w:val="clear" w:color="auto" w:fill="auto"/>
        <w:tabs>
          <w:tab w:pos="358" w:val="left"/>
        </w:tabs>
        <w:bidi w:val="0"/>
        <w:spacing w:before="0" w:after="0" w:line="240" w:lineRule="auto"/>
        <w:ind w:left="0" w:right="0" w:firstLine="0"/>
        <w:jc w:val="left"/>
      </w:pPr>
      <w:r>
        <w:rPr>
          <w:color w:val="000000"/>
          <w:spacing w:val="0"/>
          <w:w w:val="100"/>
          <w:position w:val="0"/>
          <w:shd w:val="clear" w:color="auto" w:fill="auto"/>
          <w:lang w:val="cs-CZ" w:eastAsia="cs-CZ" w:bidi="cs-CZ"/>
        </w:rPr>
        <w:t>Obecné znění Smlouvy</w:t>
      </w:r>
    </w:p>
    <w:p>
      <w:pPr>
        <w:pStyle w:val="Style2"/>
        <w:keepNext w:val="0"/>
        <w:keepLines w:val="0"/>
        <w:widowControl w:val="0"/>
        <w:numPr>
          <w:ilvl w:val="0"/>
          <w:numId w:val="1"/>
        </w:numPr>
        <w:shd w:val="clear" w:color="auto" w:fill="auto"/>
        <w:tabs>
          <w:tab w:pos="33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A Smlouvy - Seznam a specifikace odběrných míst</w:t>
      </w:r>
    </w:p>
    <w:p>
      <w:pPr>
        <w:pStyle w:val="Style2"/>
        <w:keepNext w:val="0"/>
        <w:keepLines w:val="0"/>
        <w:widowControl w:val="0"/>
        <w:numPr>
          <w:ilvl w:val="0"/>
          <w:numId w:val="1"/>
        </w:numPr>
        <w:shd w:val="clear" w:color="auto" w:fill="auto"/>
        <w:tabs>
          <w:tab w:pos="344" w:val="left"/>
        </w:tabs>
        <w:bidi w:val="0"/>
        <w:spacing w:before="0" w:after="400" w:line="240" w:lineRule="auto"/>
        <w:ind w:left="0" w:right="0" w:firstLine="0"/>
        <w:jc w:val="left"/>
      </w:pPr>
      <w:r>
        <w:rPr>
          <w:color w:val="000000"/>
          <w:spacing w:val="0"/>
          <w:w w:val="100"/>
          <w:position w:val="0"/>
          <w:shd w:val="clear" w:color="auto" w:fill="auto"/>
          <w:lang w:val="cs-CZ" w:eastAsia="cs-CZ" w:bidi="cs-CZ"/>
        </w:rPr>
        <w:t>Příloha B Smlouvy - Cena dodávky elektřiny</w:t>
      </w:r>
    </w:p>
    <w:p>
      <w:pPr>
        <w:pStyle w:val="Style15"/>
        <w:keepNext/>
        <w:keepLines/>
        <w:widowControl w:val="0"/>
        <w:shd w:val="clear" w:color="auto" w:fill="auto"/>
        <w:bidi w:val="0"/>
        <w:spacing w:before="0" w:after="36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VÝBĚROVÝ LIST</w:t>
      </w:r>
      <w:bookmarkEnd w:id="2"/>
      <w:bookmarkEnd w:id="3"/>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V souladu s ustanovením § 50 odst. 2 Energetického zákona uzavírají níže uvedené smluvní strany smlouvu o sdružených službách dodávky elektřiny ve znění obsaženém ve Výběrovém listu, Obecném znění Smlouvy a jejích nedílných přílohách (dále jen „</w:t>
      </w:r>
      <w:r>
        <w:rPr>
          <w:b/>
          <w:bCs/>
          <w:color w:val="000000"/>
          <w:spacing w:val="0"/>
          <w:w w:val="100"/>
          <w:position w:val="0"/>
          <w:sz w:val="19"/>
          <w:szCs w:val="19"/>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5"/>
        <w:keepNext/>
        <w:keepLines/>
        <w:widowControl w:val="0"/>
        <w:shd w:val="clear" w:color="auto" w:fill="auto"/>
        <w:bidi w:val="0"/>
        <w:spacing w:before="0" w:after="0" w:line="286"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Pražská plynárenská, a. s.</w:t>
      </w:r>
      <w:bookmarkEnd w:id="4"/>
      <w:bookmarkEnd w:id="5"/>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Se sídlem: Praha 1 - Nové Město, Národní 37, PSČ 110 00</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IČO: 60193492, DIČ: CZ60193492</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Zastoupená: Ing. David Hrůza, manažer prodeje, na základě plné moci</w:t>
      </w:r>
    </w:p>
    <w:p>
      <w:pPr>
        <w:pStyle w:val="Style2"/>
        <w:keepNext w:val="0"/>
        <w:keepLines w:val="0"/>
        <w:widowControl w:val="0"/>
        <w:shd w:val="clear" w:color="auto" w:fill="auto"/>
        <w:tabs>
          <w:tab w:pos="6485" w:val="left"/>
        </w:tabs>
        <w:bidi w:val="0"/>
        <w:spacing w:before="0" w:after="0" w:line="286" w:lineRule="auto"/>
        <w:ind w:left="0" w:right="0" w:firstLine="0"/>
        <w:jc w:val="left"/>
      </w:pPr>
      <w:r>
        <w:rPr>
          <w:color w:val="000000"/>
          <w:spacing w:val="0"/>
          <w:w w:val="100"/>
          <w:position w:val="0"/>
          <w:shd w:val="clear" w:color="auto" w:fill="auto"/>
          <w:lang w:val="cs-CZ" w:eastAsia="cs-CZ" w:bidi="cs-CZ"/>
        </w:rPr>
        <w:t>Společnost zapsána v obchodním rejstříku, vedeném Městským soudem v Praze, oddíl B, vložka 2337 Bankovní spojení: Komerční banka, a.s., číslo účtu</w:t>
        <w:tab/>
        <w:t>(CZK)</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240" w:line="28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„Obchodník“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76" w:lineRule="auto"/>
        <w:ind w:left="0" w:right="0" w:firstLine="0"/>
        <w:jc w:val="both"/>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IČO: 00090450, DIČ: CZ00090450</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Zastoupená: Ing. Radovan Necid, ředitel</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Bankovní spojení: Česká spořitelna, a.s.., č.účtu,:</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Adresa k zasílání fakturace Zákazníkovi: Kosovská 1122/16, 586 01 Jihlava</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„Zákazník“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a Zákazník společně dále jen „</w:t>
      </w:r>
      <w:r>
        <w:rPr>
          <w:b/>
          <w:bCs/>
          <w:color w:val="000000"/>
          <w:spacing w:val="0"/>
          <w:w w:val="100"/>
          <w:position w:val="0"/>
          <w:sz w:val="19"/>
          <w:szCs w:val="19"/>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se Smlouvou zavazuje v době odpovídající Termínu dodávek dodávat Zákazníkovi elektřinu, zajistit přistavení této elektřiny k odběru v Odběrných místech a zajistit vlastním jménem a na vlastní účet související služby v elektroenergetice a Zákazník se zavazuje tuto elektřinu ve sjednaném množství odebírat a platit za ni a za související služby Obchodníkovi dohodnutou cenu.</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Pro určení rozsahu vzájemných práv a povinností Smluvních stran ze Smlouvy platí ujednání Výběrového listu, ujednání obsažená v Obecném znění Smlouvy a nedílných přílohách Smlouvy.</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xml:space="preserve">Nestanoví-li dohoda Smluvních stran jinak, Smlouva se uzavírá pro Termín dodávek na dobu </w:t>
      </w:r>
      <w:r>
        <w:rPr>
          <w:b/>
          <w:bCs/>
          <w:color w:val="000000"/>
          <w:spacing w:val="0"/>
          <w:w w:val="100"/>
          <w:position w:val="0"/>
          <w:sz w:val="19"/>
          <w:szCs w:val="19"/>
          <w:u w:val="single"/>
          <w:shd w:val="clear" w:color="auto" w:fill="auto"/>
          <w:lang w:val="cs-CZ" w:eastAsia="cs-CZ" w:bidi="cs-CZ"/>
        </w:rPr>
        <w:t>určitou od</w:t>
      </w:r>
    </w:p>
    <w:p>
      <w:pPr>
        <w:pStyle w:val="Style2"/>
        <w:keepNext w:val="0"/>
        <w:keepLines w:val="0"/>
        <w:widowControl w:val="0"/>
        <w:numPr>
          <w:ilvl w:val="0"/>
          <w:numId w:val="3"/>
        </w:numPr>
        <w:shd w:val="clear" w:color="auto" w:fill="auto"/>
        <w:tabs>
          <w:tab w:pos="325" w:val="left"/>
        </w:tabs>
        <w:bidi w:val="0"/>
        <w:spacing w:before="0" w:after="240" w:line="276" w:lineRule="auto"/>
        <w:ind w:left="0" w:right="0" w:firstLine="0"/>
        <w:jc w:val="left"/>
      </w:pPr>
      <w:r>
        <w:rPr>
          <w:b/>
          <w:bCs/>
          <w:color w:val="000000"/>
          <w:spacing w:val="0"/>
          <w:w w:val="100"/>
          <w:position w:val="0"/>
          <w:sz w:val="19"/>
          <w:szCs w:val="19"/>
          <w:u w:val="single"/>
          <w:shd w:val="clear" w:color="auto" w:fill="auto"/>
          <w:lang w:val="cs-CZ" w:eastAsia="cs-CZ" w:bidi="cs-CZ"/>
        </w:rPr>
        <w:t>1.2022 do 31.12.2022,</w:t>
      </w:r>
      <w:r>
        <w:rPr>
          <w:b/>
          <w:bCs/>
          <w:color w:val="000000"/>
          <w:spacing w:val="0"/>
          <w:w w:val="100"/>
          <w:position w:val="0"/>
          <w:sz w:val="19"/>
          <w:szCs w:val="19"/>
          <w:shd w:val="clear" w:color="auto" w:fill="auto"/>
          <w:lang w:val="cs-CZ" w:eastAsia="cs-CZ" w:bidi="cs-CZ"/>
        </w:rPr>
        <w:t xml:space="preserve"> bez možnosti automatického prodlužování.</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 xml:space="preserve">Ujednání o </w:t>
      </w:r>
      <w:r>
        <w:rPr>
          <w:b/>
          <w:bCs/>
          <w:color w:val="000000"/>
          <w:spacing w:val="0"/>
          <w:w w:val="100"/>
          <w:position w:val="0"/>
          <w:sz w:val="19"/>
          <w:szCs w:val="19"/>
          <w:u w:val="single"/>
          <w:shd w:val="clear" w:color="auto" w:fill="auto"/>
          <w:lang w:val="cs-CZ" w:eastAsia="cs-CZ" w:bidi="cs-CZ"/>
        </w:rPr>
        <w:t>množství a časovém průběhu odběru elektřiny</w:t>
      </w:r>
      <w:r>
        <w:rPr>
          <w:color w:val="000000"/>
          <w:spacing w:val="0"/>
          <w:w w:val="100"/>
          <w:position w:val="0"/>
          <w:u w:val="single"/>
          <w:shd w:val="clear" w:color="auto" w:fill="auto"/>
          <w:lang w:val="cs-CZ" w:eastAsia="cs-CZ" w:bidi="cs-CZ"/>
        </w:rPr>
        <w:t>,</w:t>
      </w:r>
      <w:r>
        <w:rPr>
          <w:color w:val="000000"/>
          <w:spacing w:val="0"/>
          <w:w w:val="100"/>
          <w:position w:val="0"/>
          <w:shd w:val="clear" w:color="auto" w:fill="auto"/>
          <w:lang w:val="cs-CZ" w:eastAsia="cs-CZ" w:bidi="cs-CZ"/>
        </w:rPr>
        <w:t xml:space="preserve"> včetně </w:t>
      </w:r>
      <w:r>
        <w:rPr>
          <w:b/>
          <w:bCs/>
          <w:color w:val="000000"/>
          <w:spacing w:val="0"/>
          <w:w w:val="100"/>
          <w:position w:val="0"/>
          <w:sz w:val="19"/>
          <w:szCs w:val="19"/>
          <w:u w:val="single"/>
          <w:shd w:val="clear" w:color="auto" w:fill="auto"/>
          <w:lang w:val="cs-CZ" w:eastAsia="cs-CZ" w:bidi="cs-CZ"/>
        </w:rPr>
        <w:t>specifikace Odběrných míst</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 xml:space="preserve">a </w:t>
      </w:r>
      <w:r>
        <w:rPr>
          <w:b/>
          <w:bCs/>
          <w:color w:val="000000"/>
          <w:spacing w:val="0"/>
          <w:w w:val="100"/>
          <w:position w:val="0"/>
          <w:sz w:val="19"/>
          <w:szCs w:val="19"/>
          <w:u w:val="single"/>
          <w:shd w:val="clear" w:color="auto" w:fill="auto"/>
          <w:lang w:val="cs-CZ" w:eastAsia="cs-CZ" w:bidi="cs-CZ"/>
        </w:rPr>
        <w:t>Odběrového diagramu</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 xml:space="preserve">dle Smlouvy je obsaženo v nedílné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ke Smlouvě.</w:t>
      </w:r>
    </w:p>
    <w:p>
      <w:pPr>
        <w:pStyle w:val="Style2"/>
        <w:keepNext w:val="0"/>
        <w:keepLines w:val="0"/>
        <w:widowControl w:val="0"/>
        <w:shd w:val="clear" w:color="auto" w:fill="auto"/>
        <w:bidi w:val="0"/>
        <w:spacing w:before="0" w:after="240" w:line="276" w:lineRule="auto"/>
        <w:ind w:left="0" w:right="0" w:firstLine="0"/>
        <w:jc w:val="both"/>
      </w:pPr>
      <w:r>
        <w:rPr>
          <w:b/>
          <w:bCs/>
          <w:color w:val="000000"/>
          <w:spacing w:val="0"/>
          <w:w w:val="100"/>
          <w:position w:val="0"/>
          <w:sz w:val="19"/>
          <w:szCs w:val="19"/>
          <w:u w:val="single"/>
          <w:shd w:val="clear" w:color="auto" w:fill="auto"/>
          <w:lang w:val="cs-CZ" w:eastAsia="cs-CZ" w:bidi="cs-CZ"/>
        </w:rPr>
        <w:t>Cena dodávky elektřiny</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 xml:space="preserve">dle Smlouvy se sjednává individuálně a je uvedena v nedílné </w:t>
      </w:r>
      <w:r>
        <w:rPr>
          <w:color w:val="000000"/>
          <w:spacing w:val="0"/>
          <w:w w:val="100"/>
          <w:position w:val="0"/>
          <w:u w:val="single"/>
          <w:shd w:val="clear" w:color="auto" w:fill="auto"/>
          <w:lang w:val="cs-CZ" w:eastAsia="cs-CZ" w:bidi="cs-CZ"/>
        </w:rPr>
        <w:t>Příloze B</w:t>
      </w:r>
      <w:r>
        <w:rPr>
          <w:color w:val="000000"/>
          <w:spacing w:val="0"/>
          <w:w w:val="100"/>
          <w:position w:val="0"/>
          <w:shd w:val="clear" w:color="auto" w:fill="auto"/>
          <w:lang w:val="cs-CZ" w:eastAsia="cs-CZ" w:bidi="cs-CZ"/>
        </w:rPr>
        <w:t xml:space="preserve"> ke Smlouvě.</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 xml:space="preserve">Smluvní strany sjednávají, že Zákazník je povinen hradit </w:t>
      </w:r>
      <w:r>
        <w:rPr>
          <w:b/>
          <w:bCs/>
          <w:color w:val="000000"/>
          <w:spacing w:val="0"/>
          <w:w w:val="100"/>
          <w:position w:val="0"/>
          <w:sz w:val="19"/>
          <w:szCs w:val="19"/>
          <w:u w:val="single"/>
          <w:shd w:val="clear" w:color="auto" w:fill="auto"/>
          <w:lang w:val="cs-CZ" w:eastAsia="cs-CZ" w:bidi="cs-CZ"/>
        </w:rPr>
        <w:t>zálohy</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na cenu ve výši 70 % z předpokládané výše měsíční platby.</w:t>
      </w:r>
    </w:p>
    <w:p>
      <w:pPr>
        <w:pStyle w:val="Style2"/>
        <w:keepNext w:val="0"/>
        <w:keepLines w:val="0"/>
        <w:widowControl w:val="0"/>
        <w:shd w:val="clear" w:color="auto" w:fill="auto"/>
        <w:bidi w:val="0"/>
        <w:spacing w:before="0" w:after="240" w:line="276" w:lineRule="auto"/>
        <w:ind w:left="0" w:right="0" w:firstLine="0"/>
        <w:jc w:val="both"/>
      </w:pPr>
      <w:r>
        <w:rPr>
          <w:b/>
          <w:bCs/>
          <w:color w:val="000000"/>
          <w:spacing w:val="0"/>
          <w:w w:val="100"/>
          <w:position w:val="0"/>
          <w:sz w:val="19"/>
          <w:szCs w:val="19"/>
          <w:u w:val="single"/>
          <w:shd w:val="clear" w:color="auto" w:fill="auto"/>
          <w:lang w:val="cs-CZ" w:eastAsia="cs-CZ" w:bidi="cs-CZ"/>
        </w:rPr>
        <w:t>Splatnost záloh</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na cenu dodávky elektřiny se sjednává jako měsíční tak, že každá záloha je splatná k 15. dni kalendářního měsíce</w:t>
      </w:r>
    </w:p>
    <w:p>
      <w:pPr>
        <w:pStyle w:val="Style2"/>
        <w:keepNext w:val="0"/>
        <w:keepLines w:val="0"/>
        <w:widowControl w:val="0"/>
        <w:shd w:val="clear" w:color="auto" w:fill="auto"/>
        <w:bidi w:val="0"/>
        <w:spacing w:before="0" w:after="240" w:line="276" w:lineRule="auto"/>
        <w:ind w:left="0" w:right="0" w:firstLine="0"/>
        <w:jc w:val="left"/>
      </w:pPr>
      <w:r>
        <w:rPr>
          <w:color w:val="000000"/>
          <w:spacing w:val="0"/>
          <w:w w:val="100"/>
          <w:position w:val="0"/>
          <w:shd w:val="clear" w:color="auto" w:fill="auto"/>
          <w:lang w:val="cs-CZ" w:eastAsia="cs-CZ" w:bidi="cs-CZ"/>
        </w:rPr>
        <w:t xml:space="preserve">Smluvní strany sjednávají </w:t>
      </w:r>
      <w:r>
        <w:rPr>
          <w:b/>
          <w:bCs/>
          <w:color w:val="000000"/>
          <w:spacing w:val="0"/>
          <w:w w:val="100"/>
          <w:position w:val="0"/>
          <w:sz w:val="19"/>
          <w:szCs w:val="19"/>
          <w:u w:val="single"/>
          <w:shd w:val="clear" w:color="auto" w:fill="auto"/>
          <w:lang w:val="cs-CZ" w:eastAsia="cs-CZ" w:bidi="cs-CZ"/>
        </w:rPr>
        <w:t xml:space="preserve">splatnost faktur, přeplatků a nedoplatků </w:t>
      </w:r>
      <w:r>
        <w:rPr>
          <w:color w:val="000000"/>
          <w:spacing w:val="0"/>
          <w:w w:val="100"/>
          <w:position w:val="0"/>
          <w:u w:val="single"/>
          <w:shd w:val="clear" w:color="auto" w:fill="auto"/>
          <w:lang w:val="cs-CZ" w:eastAsia="cs-CZ" w:bidi="cs-CZ"/>
        </w:rPr>
        <w:t>v</w:t>
      </w:r>
      <w:r>
        <w:rPr>
          <w:color w:val="000000"/>
          <w:spacing w:val="0"/>
          <w:w w:val="100"/>
          <w:position w:val="0"/>
          <w:shd w:val="clear" w:color="auto" w:fill="auto"/>
          <w:lang w:val="cs-CZ" w:eastAsia="cs-CZ" w:bidi="cs-CZ"/>
        </w:rPr>
        <w:t>e lhůtě 30 dnů.</w:t>
      </w:r>
    </w:p>
    <w:p>
      <w:pPr>
        <w:pStyle w:val="Style2"/>
        <w:keepNext w:val="0"/>
        <w:keepLines w:val="0"/>
        <w:widowControl w:val="0"/>
        <w:shd w:val="clear" w:color="auto" w:fill="auto"/>
        <w:bidi w:val="0"/>
        <w:spacing w:before="0" w:after="240" w:line="276" w:lineRule="auto"/>
        <w:ind w:left="0" w:right="0" w:firstLine="0"/>
        <w:jc w:val="left"/>
      </w:pPr>
      <w:r>
        <w:rPr>
          <w:color w:val="000000"/>
          <w:spacing w:val="0"/>
          <w:w w:val="100"/>
          <w:position w:val="0"/>
          <w:shd w:val="clear" w:color="auto" w:fill="auto"/>
          <w:lang w:val="cs-CZ" w:eastAsia="cs-CZ" w:bidi="cs-CZ"/>
        </w:rPr>
        <w:t>Zákazník souhlasí se zasíláním a doručováním faktur, předpisů záloh v elektronické podobě na adresu uvedenou v záhlaví Výběrového listu.</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Cena za sdružené služby dodávky elektřiny v hladině VN bude hrazena za každý jednotlivý kalendářní měsíc na základě písemného vyúčtování (dále jen „faktura“). Na základě platebního kalendáře - daňového dokladu bude hrazena v každém měsíci jedna záloha v maximální výši 70 % z předpokládané výše měsíční platby. Za předpokládanou výši měsíční platby se považuje platba za sdružené služby dodávky elektřiny v hladině VN za stejný kalendářní měsíc roku 2021 dle přílohy č. 5 zadávací dokumentace. Doplatek ceny bude zaplacen na základě konečného vyúčtování (faktury), ve kterém bude zúčtována řádně zaplacená záloha, které je Obchodník povinen vystavit vždy nejpozději do 15. kalendářního dne měsíce následujícího po měsíci, v němž se dodávka realizovala. Faktura, resp. zálohová faktura, musím mít veškeré náležitosti daňového dokladu ve smyslu zákona o dani z přidané hodnoty. Faktura je splatná do 30 kalendářních dní ode dne doručení. Dnem zaplacení se rozumí den odeslání platby. Připadne-li den odeslání na den pracovního klidu, rozumí se dnem odeslání první následující pracovní den.</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bude vystavovat Zákazníkovi fakturu i případný předpis zálohových plateb za jednotlivá jeho odběrná místa s přiloženým vyúčtováním jednotlivých odběrných míst.</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Zákazník může požadovat a Obchodník se pro tento případ zavazuje zasílat veškeré vyúčtování a fakturaci formou elektronických prostředků.</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dnů ode dne oznámení Obchodníkovi o zrušení odběrného místa, a to bez nároku na finanční kompenzaci ze strany Obchodníka.</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poskytne po skončení období plnění této veřejné zakázky centrálnímu zadavateli na jeho vyžádání soubor dat v elektronické podobě, obsahující kompletní údaje o realizované dodávce elektřiny v rozsahu fakturačních dokladů za celé období dodávky, a to do 30ti dnů ode dne písemného doručení vyžádání obchodníkovi. Sankce za nesplnění tohoto požadavku bude 1000 Kč za každý i započatý den prodlení.</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poskytovatele, který je správcem daně (finančním úřadem) zveřejněn způsobem umožňující dálkový přístup ve smyslu ustanovení § 109 odst. 2 písm. c) zákona č. 235/2004 Sb. O dani z přidané hodnoty, ve znění pozdějších předpisů (dále jen „zákon o DPH“).</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Pokud se po dobu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pPr>
        <w:pStyle w:val="Style2"/>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Tato smlouva nabývá platnosti dnem podpisu a účinnosti dnem uveřejnění v informačním systému veřejné správy - Registru smluv.</w:t>
      </w:r>
    </w:p>
    <w:p>
      <w:pPr>
        <w:pStyle w:val="Style2"/>
        <w:keepNext w:val="0"/>
        <w:keepLines w:val="0"/>
        <w:widowControl w:val="0"/>
        <w:shd w:val="clear" w:color="auto" w:fill="auto"/>
        <w:bidi w:val="0"/>
        <w:spacing w:before="0" w:after="460" w:line="286" w:lineRule="auto"/>
        <w:ind w:left="0" w:right="0" w:firstLine="0"/>
        <w:jc w:val="both"/>
      </w:pPr>
      <w:r>
        <w:rPr>
          <w:color w:val="000000"/>
          <w:spacing w:val="0"/>
          <w:w w:val="100"/>
          <w:position w:val="0"/>
          <w:shd w:val="clear" w:color="auto" w:fill="auto"/>
          <w:lang w:val="cs-CZ" w:eastAsia="cs-CZ" w:bidi="cs-CZ"/>
        </w:rPr>
        <w:t>Obchodník výslovně souhlasí se zveřejněním celého textu této smlouvy včetně podpisů v informačním systému veřejné správy - Registru smluv.</w:t>
      </w:r>
    </w:p>
    <w:p>
      <w:pPr>
        <w:pStyle w:val="Style2"/>
        <w:keepNext w:val="0"/>
        <w:keepLines w:val="0"/>
        <w:widowControl w:val="0"/>
        <w:shd w:val="clear" w:color="auto" w:fill="auto"/>
        <w:bidi w:val="0"/>
        <w:spacing w:before="0" w:after="340"/>
        <w:ind w:left="0" w:right="0" w:firstLine="0"/>
        <w:jc w:val="center"/>
      </w:pPr>
      <w:r>
        <w:rPr>
          <w:b/>
          <w:bCs/>
          <w:color w:val="000000"/>
          <w:spacing w:val="0"/>
          <w:w w:val="100"/>
          <w:position w:val="0"/>
          <w:sz w:val="19"/>
          <w:szCs w:val="19"/>
          <w:shd w:val="clear" w:color="auto" w:fill="auto"/>
          <w:lang w:val="cs-CZ" w:eastAsia="cs-CZ" w:bidi="cs-CZ"/>
        </w:rPr>
        <w:t>OBECNÉ ZNĚNÍ SMLOUVY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w:t>
        <w:br/>
      </w:r>
      <w:r>
        <w:rPr>
          <w:b/>
          <w:bCs/>
          <w:color w:val="000000"/>
          <w:spacing w:val="0"/>
          <w:w w:val="100"/>
          <w:position w:val="0"/>
          <w:sz w:val="19"/>
          <w:szCs w:val="19"/>
          <w:shd w:val="clear" w:color="auto" w:fill="auto"/>
          <w:lang w:val="cs-CZ" w:eastAsia="cs-CZ" w:bidi="cs-CZ"/>
        </w:rPr>
        <w:t>Definice</w:t>
      </w:r>
    </w:p>
    <w:p>
      <w:pPr>
        <w:pStyle w:val="Style2"/>
        <w:keepNext w:val="0"/>
        <w:keepLines w:val="0"/>
        <w:widowControl w:val="0"/>
        <w:numPr>
          <w:ilvl w:val="0"/>
          <w:numId w:val="5"/>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Níže uvedené definice slouží pro účely Smlouvy. Pojmy definované v tomto článku mohou být ve Smlouvě uvedeny v jednotném i množném čísle.</w:t>
      </w:r>
    </w:p>
    <w:p>
      <w:pPr>
        <w:pStyle w:val="Style2"/>
        <w:keepNext w:val="0"/>
        <w:keepLines w:val="0"/>
        <w:widowControl w:val="0"/>
        <w:numPr>
          <w:ilvl w:val="0"/>
          <w:numId w:val="7"/>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Energetický zákon</w:t>
      </w:r>
      <w:r>
        <w:rPr>
          <w:color w:val="000000"/>
          <w:spacing w:val="0"/>
          <w:w w:val="100"/>
          <w:position w:val="0"/>
          <w:shd w:val="clear" w:color="auto" w:fill="auto"/>
          <w:lang w:val="cs-CZ" w:eastAsia="cs-CZ" w:bidi="cs-CZ"/>
        </w:rPr>
        <w:t>“ je zákon č. 458/2000 Sb., o podmínkách podnikání a o výkonu státní správy v energetických odvětvích a o změně některých zákonů, v platném znění či obecně závazný právní předpis Energetický zákon nahrazující;</w:t>
      </w:r>
    </w:p>
    <w:p>
      <w:pPr>
        <w:pStyle w:val="Style2"/>
        <w:keepNext w:val="0"/>
        <w:keepLines w:val="0"/>
        <w:widowControl w:val="0"/>
        <w:numPr>
          <w:ilvl w:val="0"/>
          <w:numId w:val="7"/>
        </w:numPr>
        <w:shd w:val="clear" w:color="auto" w:fill="auto"/>
        <w:tabs>
          <w:tab w:pos="437" w:val="left"/>
        </w:tabs>
        <w:bidi w:val="0"/>
        <w:spacing w:before="0" w:line="326" w:lineRule="auto"/>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ERÚ</w:t>
      </w:r>
      <w:r>
        <w:rPr>
          <w:color w:val="000000"/>
          <w:spacing w:val="0"/>
          <w:w w:val="100"/>
          <w:position w:val="0"/>
          <w:shd w:val="clear" w:color="auto" w:fill="auto"/>
          <w:lang w:val="cs-CZ" w:eastAsia="cs-CZ" w:bidi="cs-CZ"/>
        </w:rPr>
        <w:t>“ - Energetický regulační úřad jako správní úřad pro výkon regulace v energetice ve smyslu Energetického zákona;</w:t>
      </w:r>
    </w:p>
    <w:p>
      <w:pPr>
        <w:pStyle w:val="Style2"/>
        <w:keepNext w:val="0"/>
        <w:keepLines w:val="0"/>
        <w:widowControl w:val="0"/>
        <w:numPr>
          <w:ilvl w:val="0"/>
          <w:numId w:val="7"/>
        </w:numPr>
        <w:shd w:val="clear" w:color="auto" w:fill="auto"/>
        <w:tabs>
          <w:tab w:pos="437" w:val="left"/>
        </w:tabs>
        <w:bidi w:val="0"/>
        <w:spacing w:before="0" w:line="326" w:lineRule="auto"/>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Nepřímé daně</w:t>
      </w:r>
      <w:r>
        <w:rPr>
          <w:color w:val="000000"/>
          <w:spacing w:val="0"/>
          <w:w w:val="100"/>
          <w:position w:val="0"/>
          <w:shd w:val="clear" w:color="auto" w:fill="auto"/>
          <w:lang w:val="cs-CZ" w:eastAsia="cs-CZ" w:bidi="cs-CZ"/>
        </w:rPr>
        <w:t>“ jsou daň z přidané hodnoty, daň z elektřiny a jiné daně vztahující se k prodeji elektřiny ve smyslu obecně závazných právních předpisů v České republice;</w:t>
      </w:r>
    </w:p>
    <w:p>
      <w:pPr>
        <w:pStyle w:val="Style2"/>
        <w:keepNext w:val="0"/>
        <w:keepLines w:val="0"/>
        <w:widowControl w:val="0"/>
        <w:numPr>
          <w:ilvl w:val="0"/>
          <w:numId w:val="7"/>
        </w:numPr>
        <w:shd w:val="clear" w:color="auto" w:fill="auto"/>
        <w:tabs>
          <w:tab w:pos="437" w:val="left"/>
        </w:tabs>
        <w:bidi w:val="0"/>
        <w:spacing w:before="0"/>
        <w:ind w:left="440" w:right="0" w:hanging="440"/>
        <w:jc w:val="both"/>
      </w:pPr>
      <w:r>
        <w:rPr>
          <w:b/>
          <w:bCs/>
          <w:color w:val="000000"/>
          <w:spacing w:val="0"/>
          <w:w w:val="100"/>
          <w:position w:val="0"/>
          <w:sz w:val="19"/>
          <w:szCs w:val="19"/>
          <w:shd w:val="clear" w:color="auto" w:fill="auto"/>
          <w:lang w:val="cs-CZ" w:eastAsia="cs-CZ" w:bidi="cs-CZ"/>
        </w:rPr>
        <w:t>„Obecné znění Smlouvy</w:t>
      </w:r>
      <w:r>
        <w:rPr>
          <w:color w:val="000000"/>
          <w:spacing w:val="0"/>
          <w:w w:val="100"/>
          <w:position w:val="0"/>
          <w:shd w:val="clear" w:color="auto" w:fill="auto"/>
          <w:lang w:val="cs-CZ" w:eastAsia="cs-CZ" w:bidi="cs-CZ"/>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elektřiny dle § 50 odst. 2 Energetického zákona;</w:t>
      </w:r>
    </w:p>
    <w:p>
      <w:pPr>
        <w:pStyle w:val="Style2"/>
        <w:keepNext w:val="0"/>
        <w:keepLines w:val="0"/>
        <w:widowControl w:val="0"/>
        <w:numPr>
          <w:ilvl w:val="0"/>
          <w:numId w:val="7"/>
        </w:numPr>
        <w:shd w:val="clear" w:color="auto" w:fill="auto"/>
        <w:tabs>
          <w:tab w:pos="437" w:val="left"/>
        </w:tabs>
        <w:bidi w:val="0"/>
        <w:spacing w:before="0"/>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Obchodní podmínky operátora trhu“ </w:t>
      </w:r>
      <w:r>
        <w:rPr>
          <w:color w:val="000000"/>
          <w:spacing w:val="0"/>
          <w:w w:val="100"/>
          <w:position w:val="0"/>
          <w:shd w:val="clear" w:color="auto" w:fill="auto"/>
          <w:lang w:val="cs-CZ" w:eastAsia="cs-CZ" w:bidi="cs-CZ"/>
        </w:rPr>
        <w:t>jsou obchodní podmínky OTE schválené ERÚ;</w:t>
      </w:r>
    </w:p>
    <w:p>
      <w:pPr>
        <w:pStyle w:val="Style2"/>
        <w:keepNext w:val="0"/>
        <w:keepLines w:val="0"/>
        <w:widowControl w:val="0"/>
        <w:numPr>
          <w:ilvl w:val="0"/>
          <w:numId w:val="7"/>
        </w:numPr>
        <w:shd w:val="clear" w:color="auto" w:fill="auto"/>
        <w:tabs>
          <w:tab w:pos="437" w:val="left"/>
        </w:tabs>
        <w:bidi w:val="0"/>
        <w:spacing w:before="0" w:line="324" w:lineRule="auto"/>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Odběrné místo</w:t>
      </w:r>
      <w:r>
        <w:rPr>
          <w:color w:val="000000"/>
          <w:spacing w:val="0"/>
          <w:w w:val="100"/>
          <w:position w:val="0"/>
          <w:shd w:val="clear" w:color="auto" w:fill="auto"/>
          <w:lang w:val="cs-CZ" w:eastAsia="cs-CZ" w:bidi="cs-CZ"/>
        </w:rPr>
        <w:t xml:space="preserve">“ je ve smyslu § 2 odstavce 2 písmene a) bodu 6 Energetického zákona takovým výstupním bodem elektrizační soustavy opatřeným unikátním kódem EAN, do kterého Obchodník dodává elektřinu pro Zákazníka. Seznam Odběrných míst Zákazníka je obsažen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2"/>
        <w:keepNext w:val="0"/>
        <w:keepLines w:val="0"/>
        <w:widowControl w:val="0"/>
        <w:numPr>
          <w:ilvl w:val="0"/>
          <w:numId w:val="7"/>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Odpovědnost za odchylku</w:t>
      </w:r>
      <w:r>
        <w:rPr>
          <w:color w:val="000000"/>
          <w:spacing w:val="0"/>
          <w:w w:val="100"/>
          <w:position w:val="0"/>
          <w:shd w:val="clear" w:color="auto" w:fill="auto"/>
          <w:lang w:val="cs-CZ" w:eastAsia="cs-CZ" w:bidi="cs-CZ"/>
        </w:rPr>
        <w:t>“ představuje odpovědnost za rozdíl mezi sjednaným množstvím a skutečným množstvím dodávek elektřiny do Odběrného místa ve smyslu ustanovení § 2 odstavce 2 písmene a) bodu 7 Energetického zákona a ve smyslu Pravidel trhu s elektřinou;</w:t>
      </w:r>
    </w:p>
    <w:p>
      <w:pPr>
        <w:pStyle w:val="Style2"/>
        <w:keepNext w:val="0"/>
        <w:keepLines w:val="0"/>
        <w:widowControl w:val="0"/>
        <w:numPr>
          <w:ilvl w:val="0"/>
          <w:numId w:val="7"/>
        </w:numPr>
        <w:shd w:val="clear" w:color="auto" w:fill="auto"/>
        <w:tabs>
          <w:tab w:pos="437" w:val="left"/>
        </w:tabs>
        <w:bidi w:val="0"/>
        <w:spacing w:before="0"/>
        <w:ind w:left="0" w:right="0" w:firstLine="0"/>
        <w:jc w:val="both"/>
      </w:pPr>
      <w:r>
        <w:rPr>
          <w:b/>
          <w:bCs/>
          <w:color w:val="000000"/>
          <w:spacing w:val="0"/>
          <w:w w:val="100"/>
          <w:position w:val="0"/>
          <w:sz w:val="19"/>
          <w:szCs w:val="19"/>
          <w:shd w:val="clear" w:color="auto" w:fill="auto"/>
          <w:lang w:val="cs-CZ" w:eastAsia="cs-CZ" w:bidi="cs-CZ"/>
        </w:rPr>
        <w:t>„OTE</w:t>
      </w:r>
      <w:r>
        <w:rPr>
          <w:color w:val="000000"/>
          <w:spacing w:val="0"/>
          <w:w w:val="100"/>
          <w:position w:val="0"/>
          <w:shd w:val="clear" w:color="auto" w:fill="auto"/>
          <w:lang w:val="cs-CZ" w:eastAsia="cs-CZ" w:bidi="cs-CZ"/>
        </w:rPr>
        <w:t>“ je akciová společnost definovaná v ustanovení § 20a Energetického zákona;</w:t>
      </w:r>
    </w:p>
    <w:p>
      <w:pPr>
        <w:pStyle w:val="Style2"/>
        <w:keepNext w:val="0"/>
        <w:keepLines w:val="0"/>
        <w:widowControl w:val="0"/>
        <w:numPr>
          <w:ilvl w:val="0"/>
          <w:numId w:val="7"/>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Pravidla trhu s elektřinou</w:t>
      </w:r>
      <w:r>
        <w:rPr>
          <w:color w:val="000000"/>
          <w:spacing w:val="0"/>
          <w:w w:val="100"/>
          <w:position w:val="0"/>
          <w:shd w:val="clear" w:color="auto" w:fill="auto"/>
          <w:lang w:val="cs-CZ" w:eastAsia="cs-CZ" w:bidi="cs-CZ"/>
        </w:rPr>
        <w:t>“ jsou účinná ustanovení vyhlášky č. 408/2015 Sb., o Pravidlech trhu s elektřinou či obecně závazného právního předpisu uvedenou vyhlášku měnícího či nahrazujícího;</w:t>
      </w:r>
    </w:p>
    <w:p>
      <w:pPr>
        <w:pStyle w:val="Style2"/>
        <w:keepNext w:val="0"/>
        <w:keepLines w:val="0"/>
        <w:widowControl w:val="0"/>
        <w:numPr>
          <w:ilvl w:val="0"/>
          <w:numId w:val="7"/>
        </w:numPr>
        <w:shd w:val="clear" w:color="auto" w:fill="auto"/>
        <w:tabs>
          <w:tab w:pos="437" w:val="left"/>
        </w:tabs>
        <w:bidi w:val="0"/>
        <w:spacing w:before="0" w:line="326" w:lineRule="auto"/>
        <w:ind w:left="440" w:right="0" w:hanging="440"/>
        <w:jc w:val="both"/>
      </w:pPr>
      <w:r>
        <w:rPr>
          <w:b/>
          <w:bCs/>
          <w:color w:val="000000"/>
          <w:spacing w:val="0"/>
          <w:w w:val="100"/>
          <w:position w:val="0"/>
          <w:sz w:val="19"/>
          <w:szCs w:val="19"/>
          <w:shd w:val="clear" w:color="auto" w:fill="auto"/>
          <w:lang w:val="cs-CZ" w:eastAsia="cs-CZ" w:bidi="cs-CZ"/>
        </w:rPr>
        <w:t xml:space="preserve">„PDS“ </w:t>
      </w:r>
      <w:r>
        <w:rPr>
          <w:color w:val="000000"/>
          <w:spacing w:val="0"/>
          <w:w w:val="100"/>
          <w:position w:val="0"/>
          <w:shd w:val="clear" w:color="auto" w:fill="auto"/>
          <w:lang w:val="cs-CZ" w:eastAsia="cs-CZ" w:bidi="cs-CZ"/>
        </w:rPr>
        <w:t>- místně příslušný provozovatel distribuční soustavy, prostřednictvím kterého Obchodník Zákazníkovi zajišťuje služby distribuční soustavy elektřiny;</w:t>
      </w:r>
    </w:p>
    <w:p>
      <w:pPr>
        <w:pStyle w:val="Style2"/>
        <w:keepNext w:val="0"/>
        <w:keepLines w:val="0"/>
        <w:widowControl w:val="0"/>
        <w:numPr>
          <w:ilvl w:val="0"/>
          <w:numId w:val="7"/>
        </w:numPr>
        <w:shd w:val="clear" w:color="auto" w:fill="auto"/>
        <w:tabs>
          <w:tab w:pos="437" w:val="left"/>
        </w:tabs>
        <w:bidi w:val="0"/>
        <w:spacing w:before="0"/>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Stav nouze</w:t>
      </w:r>
      <w:r>
        <w:rPr>
          <w:color w:val="000000"/>
          <w:spacing w:val="0"/>
          <w:w w:val="100"/>
          <w:position w:val="0"/>
          <w:shd w:val="clear" w:color="auto" w:fill="auto"/>
          <w:lang w:val="cs-CZ" w:eastAsia="cs-CZ" w:bidi="cs-CZ"/>
        </w:rPr>
        <w:t>“ stav definovaný v ustanovení § 54 Energetického zákona;</w:t>
      </w:r>
    </w:p>
    <w:p>
      <w:pPr>
        <w:pStyle w:val="Style2"/>
        <w:keepNext w:val="0"/>
        <w:keepLines w:val="0"/>
        <w:widowControl w:val="0"/>
        <w:numPr>
          <w:ilvl w:val="0"/>
          <w:numId w:val="7"/>
        </w:numPr>
        <w:shd w:val="clear" w:color="auto" w:fill="auto"/>
        <w:tabs>
          <w:tab w:pos="437" w:val="left"/>
        </w:tabs>
        <w:bidi w:val="0"/>
        <w:spacing w:before="0"/>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Termín dodávek</w:t>
      </w:r>
      <w:r>
        <w:rPr>
          <w:color w:val="000000"/>
          <w:spacing w:val="0"/>
          <w:w w:val="100"/>
          <w:position w:val="0"/>
          <w:shd w:val="clear" w:color="auto" w:fill="auto"/>
          <w:lang w:val="cs-CZ" w:eastAsia="cs-CZ" w:bidi="cs-CZ"/>
        </w:rPr>
        <w:t>“ je doba uvedená ve Výběrovém listu Smlouvy a specifikovaná v přílohách Smlouvy;</w:t>
      </w:r>
    </w:p>
    <w:p>
      <w:pPr>
        <w:pStyle w:val="Style2"/>
        <w:keepNext w:val="0"/>
        <w:keepLines w:val="0"/>
        <w:widowControl w:val="0"/>
        <w:numPr>
          <w:ilvl w:val="0"/>
          <w:numId w:val="7"/>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Výběrový list</w:t>
      </w:r>
      <w:r>
        <w:rPr>
          <w:color w:val="000000"/>
          <w:spacing w:val="0"/>
          <w:w w:val="100"/>
          <w:position w:val="0"/>
          <w:shd w:val="clear" w:color="auto" w:fill="auto"/>
          <w:lang w:val="cs-CZ" w:eastAsia="cs-CZ" w:bidi="cs-CZ"/>
        </w:rPr>
        <w:t>“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II</w:t>
        <w:br/>
      </w: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0"/>
          <w:numId w:val="9"/>
        </w:numPr>
        <w:shd w:val="clear" w:color="auto" w:fill="auto"/>
        <w:tabs>
          <w:tab w:pos="433" w:val="left"/>
        </w:tabs>
        <w:bidi w:val="0"/>
        <w:spacing w:before="0" w:line="324" w:lineRule="auto"/>
        <w:ind w:left="460" w:right="0" w:hanging="460"/>
        <w:jc w:val="both"/>
      </w:pPr>
      <w:r>
        <w:rPr>
          <w:color w:val="000000"/>
          <w:spacing w:val="0"/>
          <w:w w:val="100"/>
          <w:position w:val="0"/>
          <w:shd w:val="clear" w:color="auto" w:fill="auto"/>
          <w:lang w:val="cs-CZ" w:eastAsia="cs-CZ" w:bidi="cs-CZ"/>
        </w:rPr>
        <w:t>Obchodník se Smlouvou zavazuje v době odpovídající Termínu dodávek dodávat Zákazníkovi elektřinu v množství a termínech sjednaných dále v Článku III Obecného znění Smlouvy a zajistit přistavení této elektřiny k odběru v Odběrných místech Zákazníka jako výstupních bodech elektrizační soustavy a Zákazník se zavazuje tuto elektřinu ve sjednaném množství odebírat a zaplatit za ni Obchodníkovi dohodnutou cenu za podmínek stanovených dle Článku IV Obecného znění Smlouvy.</w:t>
      </w:r>
    </w:p>
    <w:p>
      <w:pPr>
        <w:pStyle w:val="Style2"/>
        <w:keepNext w:val="0"/>
        <w:keepLines w:val="0"/>
        <w:widowControl w:val="0"/>
        <w:numPr>
          <w:ilvl w:val="0"/>
          <w:numId w:val="9"/>
        </w:numPr>
        <w:shd w:val="clear" w:color="auto" w:fill="auto"/>
        <w:tabs>
          <w:tab w:pos="433" w:val="left"/>
        </w:tabs>
        <w:bidi w:val="0"/>
        <w:spacing w:before="0"/>
        <w:ind w:left="0" w:right="0" w:firstLine="0"/>
        <w:jc w:val="both"/>
      </w:pPr>
      <w:r>
        <w:rPr>
          <w:color w:val="000000"/>
          <w:spacing w:val="0"/>
          <w:w w:val="100"/>
          <w:position w:val="0"/>
          <w:shd w:val="clear" w:color="auto" w:fill="auto"/>
          <w:lang w:val="cs-CZ" w:eastAsia="cs-CZ" w:bidi="cs-CZ"/>
        </w:rPr>
        <w:t>Obchodník se dále zavazuje převzít za Zákazníka v Odběrných místech Odpovědnost za odchylku.</w:t>
      </w:r>
    </w:p>
    <w:p>
      <w:pPr>
        <w:pStyle w:val="Style2"/>
        <w:keepNext w:val="0"/>
        <w:keepLines w:val="0"/>
        <w:widowControl w:val="0"/>
        <w:numPr>
          <w:ilvl w:val="0"/>
          <w:numId w:val="9"/>
        </w:numPr>
        <w:shd w:val="clear" w:color="auto" w:fill="auto"/>
        <w:tabs>
          <w:tab w:pos="433" w:val="left"/>
        </w:tabs>
        <w:bidi w:val="0"/>
        <w:spacing w:before="0" w:after="0"/>
        <w:ind w:left="0" w:right="0" w:firstLine="0"/>
        <w:jc w:val="both"/>
      </w:pPr>
      <w:r>
        <w:rPr>
          <w:color w:val="000000"/>
          <w:spacing w:val="0"/>
          <w:w w:val="100"/>
          <w:position w:val="0"/>
          <w:shd w:val="clear" w:color="auto" w:fill="auto"/>
          <w:lang w:val="cs-CZ" w:eastAsia="cs-CZ" w:bidi="cs-CZ"/>
        </w:rPr>
        <w:t>Obchodník se dále zavazuje vlastním jménem a na vlastní účet zajistit pro Zákazníka v Odběrných místech</w:t>
      </w:r>
    </w:p>
    <w:p>
      <w:pPr>
        <w:pStyle w:val="Style2"/>
        <w:keepNext w:val="0"/>
        <w:keepLines w:val="0"/>
        <w:widowControl w:val="0"/>
        <w:shd w:val="clear" w:color="auto" w:fill="auto"/>
        <w:bidi w:val="0"/>
        <w:spacing w:before="0" w:after="340"/>
        <w:ind w:left="460" w:right="0" w:firstLine="0"/>
        <w:jc w:val="both"/>
      </w:pPr>
      <w:r>
        <w:rPr>
          <w:color w:val="000000"/>
          <w:spacing w:val="0"/>
          <w:w w:val="100"/>
          <w:position w:val="0"/>
          <w:shd w:val="clear" w:color="auto" w:fill="auto"/>
          <w:lang w:val="cs-CZ" w:eastAsia="cs-CZ" w:bidi="cs-CZ"/>
        </w:rPr>
        <w:t>služby distribuční soustavy elektřiny u příslušného PDS v souladu s podmínkami Pravidel trhu s elektřinou a Řádem provozovatele příslušné distribuční soustavy a Zákazník se zavazuje Obchodníkovi uhradit za zajištění distribuce elektřiny cenu stanovenou v souladu s cenovou regulací dále v Článku IV Obecného znění Smlouvy.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III</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Doba plnění, sjednané množství elektřiny a dodací podmínky</w:t>
      </w:r>
    </w:p>
    <w:p>
      <w:pPr>
        <w:pStyle w:val="Style2"/>
        <w:keepNext w:val="0"/>
        <w:keepLines w:val="0"/>
        <w:widowControl w:val="0"/>
        <w:numPr>
          <w:ilvl w:val="0"/>
          <w:numId w:val="11"/>
        </w:numPr>
        <w:shd w:val="clear" w:color="auto" w:fill="auto"/>
        <w:tabs>
          <w:tab w:pos="433" w:val="left"/>
        </w:tabs>
        <w:bidi w:val="0"/>
        <w:spacing w:before="0"/>
        <w:ind w:left="460" w:right="0" w:hanging="460"/>
        <w:jc w:val="both"/>
      </w:pPr>
      <w:r>
        <w:rPr>
          <w:color w:val="000000"/>
          <w:spacing w:val="0"/>
          <w:w w:val="100"/>
          <w:position w:val="0"/>
          <w:shd w:val="clear" w:color="auto" w:fill="auto"/>
          <w:lang w:val="cs-CZ" w:eastAsia="cs-CZ" w:bidi="cs-CZ"/>
        </w:rPr>
        <w:t>Smluvní strany ve smyslu Článku II Obecného znění Smlouvy sjednávají, že Obchodník bude Zákazníkovi v dále uvedeném rozsahu dodávat elektřinu v Termínu dodávek sjednaném ve Výběrovém listu.</w:t>
      </w:r>
    </w:p>
    <w:p>
      <w:pPr>
        <w:pStyle w:val="Style2"/>
        <w:keepNext w:val="0"/>
        <w:keepLines w:val="0"/>
        <w:widowControl w:val="0"/>
        <w:numPr>
          <w:ilvl w:val="0"/>
          <w:numId w:val="11"/>
        </w:numPr>
        <w:shd w:val="clear" w:color="auto" w:fill="auto"/>
        <w:tabs>
          <w:tab w:pos="433" w:val="left"/>
        </w:tabs>
        <w:bidi w:val="0"/>
        <w:spacing w:before="0"/>
        <w:ind w:left="460" w:right="0" w:hanging="460"/>
        <w:jc w:val="both"/>
      </w:pPr>
      <w:r>
        <w:rPr>
          <w:color w:val="000000"/>
          <w:spacing w:val="0"/>
          <w:w w:val="100"/>
          <w:position w:val="0"/>
          <w:shd w:val="clear" w:color="auto" w:fill="auto"/>
          <w:lang w:val="cs-CZ" w:eastAsia="cs-CZ" w:bidi="cs-CZ"/>
        </w:rPr>
        <w:t xml:space="preserve">Sjednané množství elektřiny v MWh a časový průběh odběru elektřiny pro období dodávek je sjednáno jako odběr elektřiny ve všech Odběrných místech Zákazníka uvedených v nedílné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 a jsou platné po celou dobu trvání Smlouvy, pokud se Smluvní strany nedohodnou jinak. Sjednané celkové množství elektřiny je rozděleno na množství elektřiny pro každý měsíc období dodávek dle Smlouvy a je obsaženo v plánu odběru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Smlouvy.Jednotlivá Odběrná místa Zákazníka specifikovaná názvem a kódem Odběrného místa, včetně odběrových diagramů specifikujících množstevní a časový průběh odběru elektřiny jsou uvedeny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2"/>
        <w:keepNext w:val="0"/>
        <w:keepLines w:val="0"/>
        <w:widowControl w:val="0"/>
        <w:numPr>
          <w:ilvl w:val="0"/>
          <w:numId w:val="11"/>
        </w:numPr>
        <w:shd w:val="clear" w:color="auto" w:fill="auto"/>
        <w:tabs>
          <w:tab w:pos="433" w:val="left"/>
        </w:tabs>
        <w:bidi w:val="0"/>
        <w:spacing w:before="0"/>
        <w:ind w:left="460" w:right="0" w:hanging="460"/>
        <w:jc w:val="both"/>
      </w:pPr>
      <w:r>
        <w:rPr>
          <w:color w:val="000000"/>
          <w:spacing w:val="0"/>
          <w:w w:val="100"/>
          <w:position w:val="0"/>
          <w:shd w:val="clear" w:color="auto" w:fill="auto"/>
          <w:lang w:val="cs-CZ" w:eastAsia="cs-CZ" w:bidi="cs-CZ"/>
        </w:rPr>
        <w:t xml:space="preserve">Pro účely sjednání rezervované kapacity pro jednotlivá Odběrná místa Zákazníka v souvislosti se zajištěním služby distribuční soustavy elektřiny je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 specifikována pro každé Odběrné místo smluvní rezervovaná kapacita stanovená v souladu s touto Smlouvou a Pravidly trhu s elektřinou. Obchodník vynaloží veškeré úsilí, které od něho lze rozumně v této souvislosti očekávat, k tomu, aby byla v souladu s Pravidly trhu s elektřinou formou smlouvy o zajištění služby distribuční soustavy elektřiny uzavřené s příslušným PDS pro tato Odběrná místa přidělena taková rezervovaná kapacita, jejíž výše odpovídá výši smluvní rezervované kapacitě stanovené na základě návrhu Zákazníka předloženého Obchodníkovi.</w:t>
      </w:r>
    </w:p>
    <w:p>
      <w:pPr>
        <w:pStyle w:val="Style2"/>
        <w:keepNext w:val="0"/>
        <w:keepLines w:val="0"/>
        <w:widowControl w:val="0"/>
        <w:numPr>
          <w:ilvl w:val="0"/>
          <w:numId w:val="11"/>
        </w:numPr>
        <w:shd w:val="clear" w:color="auto" w:fill="auto"/>
        <w:tabs>
          <w:tab w:pos="433" w:val="left"/>
        </w:tabs>
        <w:bidi w:val="0"/>
        <w:spacing w:before="0" w:after="0"/>
        <w:ind w:left="460" w:right="0" w:hanging="460"/>
        <w:jc w:val="both"/>
      </w:pPr>
      <w:r>
        <w:rPr>
          <w:color w:val="000000"/>
          <w:spacing w:val="0"/>
          <w:w w:val="100"/>
          <w:position w:val="0"/>
          <w:shd w:val="clear" w:color="auto" w:fill="auto"/>
          <w:lang w:val="cs-CZ" w:eastAsia="cs-CZ" w:bidi="cs-CZ"/>
        </w:rPr>
        <w:t xml:space="preserve">Zákazník může požádat o změnu roční rezervované kapacity či sjednat měsíční rezervovanou kapacitu pro jednotlivá odběrná místa specifikovaná EAN kódem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pro konkrétní smluvní období, vždy nejpozději do 10.00 hodin předposledního pracovního dne předcházejícího měsíce pro měsíc následující.</w:t>
      </w:r>
    </w:p>
    <w:p>
      <w:pPr>
        <w:pStyle w:val="Style2"/>
        <w:keepNext w:val="0"/>
        <w:keepLines w:val="0"/>
        <w:widowControl w:val="0"/>
        <w:numPr>
          <w:ilvl w:val="0"/>
          <w:numId w:val="13"/>
        </w:numPr>
        <w:shd w:val="clear" w:color="auto" w:fill="auto"/>
        <w:tabs>
          <w:tab w:pos="758" w:val="left"/>
        </w:tabs>
        <w:bidi w:val="0"/>
        <w:spacing w:before="0" w:after="0"/>
        <w:ind w:left="740" w:right="0" w:hanging="280"/>
        <w:jc w:val="both"/>
      </w:pPr>
      <w:r>
        <w:rPr>
          <w:color w:val="000000"/>
          <w:spacing w:val="0"/>
          <w:w w:val="100"/>
          <w:position w:val="0"/>
          <w:shd w:val="clear" w:color="auto" w:fill="auto"/>
          <w:lang w:val="cs-CZ" w:eastAsia="cs-CZ" w:bidi="cs-CZ"/>
        </w:rPr>
        <w:t>Změnu nebo sjednání kapacity provede Zákazník přes zákaznický portál FLEXI, který je k dispozici na webových stránkách Obchodníka</w:t>
      </w:r>
      <w:r>
        <w:fldChar w:fldCharType="begin"/>
      </w:r>
      <w:r>
        <w:rPr/>
        <w:instrText> HYPERLINK "https://zakaznickyucet-flexi.ppas.cz/" </w:instrText>
      </w:r>
      <w:r>
        <w:fldChar w:fldCharType="separate"/>
      </w:r>
      <w:r>
        <w:rPr>
          <w:color w:val="000000"/>
          <w:spacing w:val="0"/>
          <w:w w:val="100"/>
          <w:position w:val="0"/>
          <w:shd w:val="clear" w:color="auto" w:fill="auto"/>
          <w:lang w:val="cs-CZ" w:eastAsia="cs-CZ" w:bidi="cs-CZ"/>
        </w:rPr>
        <w:t xml:space="preserve"> </w:t>
      </w:r>
      <w:r>
        <w:rPr>
          <w:b/>
          <w:bCs/>
          <w:color w:val="0000FF"/>
          <w:spacing w:val="0"/>
          <w:w w:val="100"/>
          <w:position w:val="0"/>
          <w:sz w:val="19"/>
          <w:szCs w:val="19"/>
          <w:u w:val="single"/>
          <w:shd w:val="clear" w:color="auto" w:fill="auto"/>
          <w:lang w:val="en-US" w:eastAsia="en-US" w:bidi="en-US"/>
        </w:rPr>
        <w:t>https://zakaznickyucet-flexi.ppas.cz/</w:t>
      </w:r>
      <w:r>
        <w:rPr>
          <w:b/>
          <w:bCs/>
          <w:color w:val="0000FF"/>
          <w:spacing w:val="0"/>
          <w:w w:val="100"/>
          <w:position w:val="0"/>
          <w:sz w:val="19"/>
          <w:szCs w:val="19"/>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(přístupové údaje na tento portál budou Zákazníkovi vygenerovány a zaslány na kontaktní e-mail Zákazníka uvedený ve Výběrovém listu Smlouvy);</w:t>
      </w:r>
    </w:p>
    <w:p>
      <w:pPr>
        <w:pStyle w:val="Style2"/>
        <w:keepNext w:val="0"/>
        <w:keepLines w:val="0"/>
        <w:widowControl w:val="0"/>
        <w:numPr>
          <w:ilvl w:val="0"/>
          <w:numId w:val="13"/>
        </w:numPr>
        <w:shd w:val="clear" w:color="auto" w:fill="auto"/>
        <w:tabs>
          <w:tab w:pos="768" w:val="left"/>
        </w:tabs>
        <w:bidi w:val="0"/>
        <w:spacing w:before="0" w:after="0"/>
        <w:ind w:left="740" w:right="0" w:hanging="280"/>
        <w:jc w:val="both"/>
      </w:pPr>
      <w:r>
        <w:rPr>
          <w:color w:val="000000"/>
          <w:spacing w:val="0"/>
          <w:w w:val="100"/>
          <w:position w:val="0"/>
          <w:shd w:val="clear" w:color="auto" w:fill="auto"/>
          <w:lang w:val="cs-CZ" w:eastAsia="cs-CZ" w:bidi="cs-CZ"/>
        </w:rPr>
        <w:t xml:space="preserve">Není-li možné rezervovanou kapacitu sjednat přes zákaznický portál Obchodníka, sjedná Zákazník rezervovanou kapacitu nebo její změnu prostřednictvím e-mailové komunikace, a to odesláním požadavku Zákazníka na e-mailovou adresu Obchodníka pro sjednání rezervované kapacity </w:t>
      </w:r>
      <w:r>
        <w:fldChar w:fldCharType="begin"/>
      </w:r>
      <w:r>
        <w:rPr/>
        <w:instrText> HYPERLINK "mailto:kapacitavn@ppas.cz" </w:instrText>
      </w:r>
      <w:r>
        <w:fldChar w:fldCharType="separate"/>
      </w:r>
      <w:r>
        <w:rPr>
          <w:b/>
          <w:bCs/>
          <w:color w:val="0000FF"/>
          <w:spacing w:val="0"/>
          <w:w w:val="100"/>
          <w:position w:val="0"/>
          <w:sz w:val="19"/>
          <w:szCs w:val="19"/>
          <w:u w:val="single"/>
          <w:shd w:val="clear" w:color="auto" w:fill="auto"/>
          <w:lang w:val="en-US" w:eastAsia="en-US" w:bidi="en-US"/>
        </w:rPr>
        <w:t>kapacitavn@ppas.cz</w:t>
      </w:r>
      <w:r>
        <w:rPr>
          <w:b/>
          <w:bCs/>
          <w:color w:val="0000FF"/>
          <w:spacing w:val="0"/>
          <w:w w:val="100"/>
          <w:position w:val="0"/>
          <w:sz w:val="19"/>
          <w:szCs w:val="19"/>
          <w:shd w:val="clear" w:color="auto" w:fill="auto"/>
          <w:lang w:val="en-US" w:eastAsia="en-US" w:bidi="en-US"/>
        </w:rPr>
        <w:t xml:space="preserve"> </w:t>
      </w:r>
      <w:r>
        <w:fldChar w:fldCharType="end"/>
      </w:r>
      <w:r>
        <w:rPr>
          <w:b/>
          <w:bCs/>
          <w:color w:val="000000"/>
          <w:spacing w:val="0"/>
          <w:w w:val="100"/>
          <w:position w:val="0"/>
          <w:sz w:val="19"/>
          <w:szCs w:val="19"/>
          <w:shd w:val="clear" w:color="auto" w:fill="auto"/>
          <w:lang w:val="cs-CZ" w:eastAsia="cs-CZ" w:bidi="cs-CZ"/>
        </w:rPr>
        <w:t>.</w:t>
      </w:r>
    </w:p>
    <w:p>
      <w:pPr>
        <w:pStyle w:val="Style2"/>
        <w:keepNext w:val="0"/>
        <w:keepLines w:val="0"/>
        <w:widowControl w:val="0"/>
        <w:shd w:val="clear" w:color="auto" w:fill="auto"/>
        <w:bidi w:val="0"/>
        <w:spacing w:before="0" w:after="240"/>
        <w:ind w:left="460" w:right="0" w:firstLine="0"/>
        <w:jc w:val="both"/>
      </w:pPr>
      <w:r>
        <w:rPr>
          <w:color w:val="000000"/>
          <w:spacing w:val="0"/>
          <w:w w:val="100"/>
          <w:position w:val="0"/>
          <w:shd w:val="clear" w:color="auto" w:fill="auto"/>
          <w:lang w:val="cs-CZ" w:eastAsia="cs-CZ" w:bidi="cs-CZ"/>
        </w:rPr>
        <w:t xml:space="preserve">Při nedodržení postupu sjednávání kapacity ze strany Zákazníka je Obchodník oprávněn odmítnout požadovanou změnu, neboť nemůže takovou změnu zpracovat a sjednat v souladu s aktuálně platnou právní úpravou s příslušným PDS. Obchodník je dále oprávněn odmítnout požadavek na změnu hodnoty </w:t>
      </w:r>
      <w:r>
        <w:rPr>
          <w:color w:val="000000"/>
          <w:spacing w:val="0"/>
          <w:w w:val="100"/>
          <w:position w:val="0"/>
          <w:shd w:val="clear" w:color="auto" w:fill="auto"/>
          <w:lang w:val="cs-CZ" w:eastAsia="cs-CZ" w:bidi="cs-CZ"/>
        </w:rPr>
        <w:t>roční nebo měsíční rezervované kapacity navržené zákazníkem, je-li tento požadavek v rozporu s Pravidly trhu s elektřinou a podmínkami příslušného PDS nebo je-li požadavek v rozporu s energetickým zákonem a navazujícími prováděcími předpisy. Rezervovaná kapacita nebo její změna je sjednána okamžikem, kdy Obchodník potvrdí akceptaci požadované rezervované kapacity příslušným PDS na kontaktní e-mailovou adresu Zákazníka. Na jinou formu sjednávání kapacity nebude brán zřetel a zůstanou tak v platnosti hodnoty roční a měsíční rezervované kapacity uvedené ve smlouvě, respektive poslední sjednané hodnoty rezervované roční nebo měsíční kapacity Obchodníkem řádně potvrzené.</w:t>
      </w:r>
    </w:p>
    <w:p>
      <w:pPr>
        <w:pStyle w:val="Style2"/>
        <w:keepNext w:val="0"/>
        <w:keepLines w:val="0"/>
        <w:widowControl w:val="0"/>
        <w:numPr>
          <w:ilvl w:val="0"/>
          <w:numId w:val="11"/>
        </w:numPr>
        <w:shd w:val="clear" w:color="auto" w:fill="auto"/>
        <w:tabs>
          <w:tab w:pos="438" w:val="left"/>
        </w:tabs>
        <w:bidi w:val="0"/>
        <w:spacing w:before="0"/>
        <w:ind w:left="460" w:right="0" w:hanging="460"/>
        <w:jc w:val="both"/>
      </w:pPr>
      <w:r>
        <w:rPr>
          <w:color w:val="000000"/>
          <w:spacing w:val="0"/>
          <w:w w:val="100"/>
          <w:position w:val="0"/>
          <w:shd w:val="clear" w:color="auto" w:fill="auto"/>
          <w:lang w:val="cs-CZ" w:eastAsia="cs-CZ" w:bidi="cs-CZ"/>
        </w:rPr>
        <w:t>Dodávka elektřiny je považována za splněnou přechodem elektřiny z příslušné distribuční soustavy přes měřící zařízení do Odběrného místa. Za dodané množství elektřiny se považují skutečné hodnoty spotřeby elektřiny uvedené na fakturách za službu distribuční soustavy elektřiny od příslušného PDS za Odběrná místa Zákazníka.</w:t>
      </w:r>
    </w:p>
    <w:p>
      <w:pPr>
        <w:pStyle w:val="Style2"/>
        <w:keepNext w:val="0"/>
        <w:keepLines w:val="0"/>
        <w:widowControl w:val="0"/>
        <w:numPr>
          <w:ilvl w:val="0"/>
          <w:numId w:val="11"/>
        </w:numPr>
        <w:shd w:val="clear" w:color="auto" w:fill="auto"/>
        <w:tabs>
          <w:tab w:pos="438" w:val="left"/>
        </w:tabs>
        <w:bidi w:val="0"/>
        <w:spacing w:before="0"/>
        <w:ind w:left="460" w:right="0" w:hanging="460"/>
        <w:jc w:val="both"/>
      </w:pPr>
      <w:r>
        <w:rPr>
          <w:color w:val="000000"/>
          <w:spacing w:val="0"/>
          <w:w w:val="100"/>
          <w:position w:val="0"/>
          <w:shd w:val="clear" w:color="auto" w:fill="auto"/>
          <w:lang w:val="cs-CZ" w:eastAsia="cs-CZ" w:bidi="cs-CZ"/>
        </w:rPr>
        <w:t>Smluvní strany jsou si při plnění Smlouvy povinny poskytovat veškerou součinnost, kterou lze v souvislosti s řádným plněním práv a povinností založených Smlouvou rozumně očekávat, přičemž Zákazník se v této souvislosti zavazuje na žádost Obchodníka týkající se ověření údaje o spotřebě elektřiny v Odběrném místě udělit Obchodníkovi k možnosti takového ověření v systému OTE a příslušného PDS plnou moc. Zákazník je dále povinen na kontaktní e-mail Obchodníka uvedený ve Výběrovém listu Smlouvy oznámit všechny změny, které mohou ovlivnit řádné plnění Smlouvy, zejména se zavazuje v případě jakékoli neočekávané události, např. havárie odběrného elektrického zařízení, havárie výrobního zařízení, mající vliv na jeho odběr elektřiny, především její množství dle Smlouvy bez zbytečného odkladu od jejího zjištění tuto skutečnost oznámit Obchodníkovi. V případě očekávané události, např. plánované opravy, celozávodní dovolené, která má vliv na jeho odběr elektřiny dle Smlouvy, se Zákazník zavazuje do 10 dnů před jejím počátkem tuto skutečnost oznámit Obchodníkovi. Nesplnění povinností Zákazníka dle předchozích dvou vět je považováno za porušení Smlouvy podstatným způsobem.</w:t>
      </w:r>
    </w:p>
    <w:p>
      <w:pPr>
        <w:pStyle w:val="Style2"/>
        <w:keepNext w:val="0"/>
        <w:keepLines w:val="0"/>
        <w:widowControl w:val="0"/>
        <w:numPr>
          <w:ilvl w:val="0"/>
          <w:numId w:val="11"/>
        </w:numPr>
        <w:shd w:val="clear" w:color="auto" w:fill="auto"/>
        <w:tabs>
          <w:tab w:pos="438" w:val="left"/>
        </w:tabs>
        <w:bidi w:val="0"/>
        <w:spacing w:before="0" w:after="340"/>
        <w:ind w:left="460" w:right="0" w:hanging="460"/>
        <w:jc w:val="both"/>
      </w:pPr>
      <w:r>
        <w:rPr>
          <w:color w:val="000000"/>
          <w:spacing w:val="0"/>
          <w:w w:val="100"/>
          <w:position w:val="0"/>
          <w:shd w:val="clear" w:color="auto" w:fill="auto"/>
          <w:lang w:val="cs-CZ" w:eastAsia="cs-CZ" w:bidi="cs-CZ"/>
        </w:rPr>
        <w:t>Zákazník je před podpisem Smlouvy povinen sdělit Obchodníkovi, zda je zároveň výrobcem elektřiny, případně sdělit Obchodníkovi, stane-li se výrobcem elektřiny v průběhu dodávky dle této Smlouvy.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IV</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Cena</w:t>
      </w:r>
    </w:p>
    <w:p>
      <w:pPr>
        <w:pStyle w:val="Style2"/>
        <w:keepNext w:val="0"/>
        <w:keepLines w:val="0"/>
        <w:widowControl w:val="0"/>
        <w:numPr>
          <w:ilvl w:val="0"/>
          <w:numId w:val="15"/>
        </w:numPr>
        <w:shd w:val="clear" w:color="auto" w:fill="auto"/>
        <w:tabs>
          <w:tab w:pos="438" w:val="left"/>
        </w:tabs>
        <w:bidi w:val="0"/>
        <w:spacing w:before="0" w:after="0"/>
        <w:ind w:left="460" w:right="0" w:hanging="460"/>
        <w:jc w:val="both"/>
      </w:pPr>
      <w:r>
        <w:rPr>
          <w:color w:val="000000"/>
          <w:spacing w:val="0"/>
          <w:w w:val="100"/>
          <w:position w:val="0"/>
          <w:shd w:val="clear" w:color="auto" w:fill="auto"/>
          <w:lang w:val="cs-CZ" w:eastAsia="cs-CZ" w:bidi="cs-CZ"/>
        </w:rPr>
        <w:t>Zákazník se zavazuje Obchodníkovi uhradit za jeho plnění dle této Smlouvy (Článek II Obecného znění Smlouvy) dále uvedenou cenu (cena za dodávky elektřiny a související služby), která je tvořena:</w:t>
      </w:r>
    </w:p>
    <w:p>
      <w:pPr>
        <w:pStyle w:val="Style2"/>
        <w:keepNext w:val="0"/>
        <w:keepLines w:val="0"/>
        <w:widowControl w:val="0"/>
        <w:numPr>
          <w:ilvl w:val="0"/>
          <w:numId w:val="17"/>
        </w:numPr>
        <w:shd w:val="clear" w:color="auto" w:fill="auto"/>
        <w:tabs>
          <w:tab w:pos="438" w:val="left"/>
        </w:tabs>
        <w:bidi w:val="0"/>
        <w:spacing w:before="0" w:after="0"/>
        <w:ind w:left="460" w:right="0" w:hanging="460"/>
        <w:jc w:val="both"/>
      </w:pPr>
      <w:r>
        <w:rPr>
          <w:color w:val="000000"/>
          <w:spacing w:val="0"/>
          <w:w w:val="100"/>
          <w:position w:val="0"/>
          <w:shd w:val="clear" w:color="auto" w:fill="auto"/>
          <w:lang w:val="cs-CZ" w:eastAsia="cs-CZ" w:bidi="cs-CZ"/>
        </w:rPr>
        <w:t xml:space="preserve">neregulovanou složkou ceny označovanou jako cena dodávky elektřiny individuálně sjednanou v </w:t>
      </w:r>
      <w:r>
        <w:rPr>
          <w:color w:val="000000"/>
          <w:spacing w:val="0"/>
          <w:w w:val="100"/>
          <w:position w:val="0"/>
          <w:u w:val="single"/>
          <w:shd w:val="clear" w:color="auto" w:fill="auto"/>
          <w:lang w:val="cs-CZ" w:eastAsia="cs-CZ" w:bidi="cs-CZ"/>
        </w:rPr>
        <w:t xml:space="preserve">Příloze </w:t>
      </w:r>
      <w:r>
        <w:rPr>
          <w:color w:val="000000"/>
          <w:spacing w:val="0"/>
          <w:w w:val="100"/>
          <w:position w:val="0"/>
          <w:shd w:val="clear" w:color="auto" w:fill="auto"/>
          <w:lang w:val="cs-CZ" w:eastAsia="cs-CZ" w:bidi="cs-CZ"/>
        </w:rPr>
        <w:t>B Smlouvy;</w:t>
      </w:r>
    </w:p>
    <w:p>
      <w:pPr>
        <w:pStyle w:val="Style2"/>
        <w:keepNext w:val="0"/>
        <w:keepLines w:val="0"/>
        <w:widowControl w:val="0"/>
        <w:numPr>
          <w:ilvl w:val="0"/>
          <w:numId w:val="17"/>
        </w:numPr>
        <w:shd w:val="clear" w:color="auto" w:fill="auto"/>
        <w:tabs>
          <w:tab w:pos="438" w:val="left"/>
        </w:tabs>
        <w:bidi w:val="0"/>
        <w:spacing w:before="0" w:after="0"/>
        <w:ind w:left="460" w:right="0" w:hanging="460"/>
        <w:jc w:val="both"/>
      </w:pPr>
      <w:r>
        <w:rPr>
          <w:color w:val="000000"/>
          <w:spacing w:val="0"/>
          <w:w w:val="100"/>
          <w:position w:val="0"/>
          <w:shd w:val="clear" w:color="auto" w:fill="auto"/>
          <w:lang w:val="cs-CZ" w:eastAsia="cs-CZ" w:bidi="cs-CZ"/>
        </w:rPr>
        <w:t>regulovanou složkou ceny, která se stanoví v souladu s Energetickým zákonem a Pravidly trhu s elektřinou formou platného a účinného cenového rozhodnutí ERÚ a Obchodník ji připočte k ceně dle písm. a) tohoto odstavce;</w:t>
      </w:r>
    </w:p>
    <w:p>
      <w:pPr>
        <w:pStyle w:val="Style2"/>
        <w:keepNext w:val="0"/>
        <w:keepLines w:val="0"/>
        <w:widowControl w:val="0"/>
        <w:numPr>
          <w:ilvl w:val="0"/>
          <w:numId w:val="17"/>
        </w:numPr>
        <w:shd w:val="clear" w:color="auto" w:fill="auto"/>
        <w:tabs>
          <w:tab w:pos="438" w:val="left"/>
        </w:tabs>
        <w:bidi w:val="0"/>
        <w:spacing w:before="0" w:after="0"/>
        <w:ind w:left="460" w:right="0" w:hanging="460"/>
        <w:jc w:val="both"/>
      </w:pPr>
      <w:r>
        <w:rPr>
          <w:color w:val="000000"/>
          <w:spacing w:val="0"/>
          <w:w w:val="100"/>
          <w:position w:val="0"/>
          <w:shd w:val="clear" w:color="auto" w:fill="auto"/>
          <w:lang w:val="cs-CZ" w:eastAsia="cs-CZ" w:bidi="cs-CZ"/>
        </w:rPr>
        <w:t>Nepřímými daněmi, které Obchodník v souladu s obecně závaznými právními předpisy připočítá k ceně dle písm. a) tohoto odstavce.</w:t>
      </w:r>
    </w:p>
    <w:p>
      <w:pPr>
        <w:pStyle w:val="Style2"/>
        <w:keepNext w:val="0"/>
        <w:keepLines w:val="0"/>
        <w:widowControl w:val="0"/>
        <w:numPr>
          <w:ilvl w:val="0"/>
          <w:numId w:val="15"/>
        </w:numPr>
        <w:shd w:val="clear" w:color="auto" w:fill="auto"/>
        <w:tabs>
          <w:tab w:pos="438" w:val="left"/>
        </w:tabs>
        <w:bidi w:val="0"/>
        <w:spacing w:before="0"/>
        <w:ind w:left="460" w:right="0" w:hanging="460"/>
        <w:jc w:val="both"/>
      </w:pPr>
      <w:r>
        <w:rPr>
          <w:color w:val="000000"/>
          <w:spacing w:val="0"/>
          <w:w w:val="100"/>
          <w:position w:val="0"/>
          <w:shd w:val="clear" w:color="auto" w:fill="auto"/>
          <w:lang w:val="cs-CZ" w:eastAsia="cs-CZ" w:bidi="cs-CZ"/>
        </w:rPr>
        <w:t>Zákazník má právo po dohodě s příslušným PDS zvolit sazbu distribuce za předpokladu splnění stanovených podmínek dle platného a účinného cenového rozhodnutí ERÚ. Cena se hradí formou měsíčních plateb, není-li mezi Smluvními stranami ujednáno jinak.</w:t>
      </w:r>
    </w:p>
    <w:p>
      <w:pPr>
        <w:pStyle w:val="Style2"/>
        <w:keepNext w:val="0"/>
        <w:keepLines w:val="0"/>
        <w:widowControl w:val="0"/>
        <w:numPr>
          <w:ilvl w:val="0"/>
          <w:numId w:val="15"/>
        </w:numPr>
        <w:shd w:val="clear" w:color="auto" w:fill="auto"/>
        <w:tabs>
          <w:tab w:pos="438" w:val="left"/>
        </w:tabs>
        <w:bidi w:val="0"/>
        <w:spacing w:before="0" w:line="324" w:lineRule="auto"/>
        <w:ind w:left="460" w:right="0" w:hanging="460"/>
        <w:jc w:val="both"/>
      </w:pPr>
      <w:r>
        <w:rPr>
          <w:color w:val="000000"/>
          <w:spacing w:val="0"/>
          <w:w w:val="100"/>
          <w:position w:val="0"/>
          <w:shd w:val="clear" w:color="auto" w:fill="auto"/>
          <w:lang w:val="cs-CZ" w:eastAsia="cs-CZ" w:bidi="cs-CZ"/>
        </w:rPr>
        <w:t>Smluvní strany sjednávají, že měsíční platba pro příslušný měsíc je stanovena jako součet měsíčních plateb za jednotlivá Odběrná místa Zákazníka. Pro stanovení dodaného a odebraného množství elektřiny za příslušný měsíc se použije postup podle Článku III odstavce 5. Obecného znění Smlouvy pro všechny dny příslušného měsíce.</w:t>
      </w:r>
    </w:p>
    <w:p>
      <w:pPr>
        <w:pStyle w:val="Style2"/>
        <w:keepNext w:val="0"/>
        <w:keepLines w:val="0"/>
        <w:widowControl w:val="0"/>
        <w:numPr>
          <w:ilvl w:val="0"/>
          <w:numId w:val="15"/>
        </w:numPr>
        <w:shd w:val="clear" w:color="auto" w:fill="auto"/>
        <w:tabs>
          <w:tab w:pos="438" w:val="left"/>
        </w:tabs>
        <w:bidi w:val="0"/>
        <w:spacing w:before="0"/>
        <w:ind w:left="460" w:right="0" w:hanging="460"/>
        <w:jc w:val="both"/>
      </w:pPr>
      <w:r>
        <w:rPr>
          <w:color w:val="000000"/>
          <w:spacing w:val="0"/>
          <w:w w:val="100"/>
          <w:position w:val="0"/>
          <w:shd w:val="clear" w:color="auto" w:fill="auto"/>
          <w:lang w:val="cs-CZ" w:eastAsia="cs-CZ" w:bidi="cs-CZ"/>
        </w:rPr>
        <w:t xml:space="preserve">Zákazník je povinen předložit Obchodníkovi povolení k nabytí elektřiny osvobozené od daně z elektřiny, je-li jeho držitelem a uplatňuje-li osvobození od této daně, případně další doklad, uplatňuje-li osvobození </w:t>
      </w:r>
      <w:r>
        <w:rPr>
          <w:color w:val="000000"/>
          <w:spacing w:val="0"/>
          <w:w w:val="100"/>
          <w:position w:val="0"/>
          <w:shd w:val="clear" w:color="auto" w:fill="auto"/>
          <w:lang w:val="cs-CZ" w:eastAsia="cs-CZ" w:bidi="cs-CZ"/>
        </w:rPr>
        <w:t>od jiné daně. Zároveň je Zákazník povinen v případě zániku či zrušení povolení dle předchozí věty tuto skutečnost Obchodníkovi oznámit, a to bez zbytečného odkladu, nejdéle však do 2. pracovního dne ode dne zániku nebo zrušení tohoto povolení.</w:t>
      </w:r>
    </w:p>
    <w:p>
      <w:pPr>
        <w:pStyle w:val="Style2"/>
        <w:keepNext w:val="0"/>
        <w:keepLines w:val="0"/>
        <w:widowControl w:val="0"/>
        <w:numPr>
          <w:ilvl w:val="0"/>
          <w:numId w:val="15"/>
        </w:numPr>
        <w:shd w:val="clear" w:color="auto" w:fill="auto"/>
        <w:tabs>
          <w:tab w:pos="437" w:val="left"/>
        </w:tabs>
        <w:bidi w:val="0"/>
        <w:spacing w:before="0" w:line="324" w:lineRule="auto"/>
        <w:ind w:left="440" w:right="0" w:hanging="440"/>
        <w:jc w:val="both"/>
      </w:pPr>
      <w:r>
        <w:rPr>
          <w:color w:val="000000"/>
          <w:spacing w:val="0"/>
          <w:w w:val="100"/>
          <w:position w:val="0"/>
          <w:shd w:val="clear" w:color="auto" w:fill="auto"/>
          <w:lang w:val="cs-CZ" w:eastAsia="cs-CZ" w:bidi="cs-CZ"/>
        </w:rPr>
        <w:t>V případě, že v Odběrném místě Zákazníka dojde v příslušném dni k překročení sjednané maximální rezervované kapacity, postupuje se podle principů uvedených v platném a účinném cenovém rozhodnutí ERÚ.</w:t>
      </w:r>
    </w:p>
    <w:p>
      <w:pPr>
        <w:pStyle w:val="Style2"/>
        <w:keepNext w:val="0"/>
        <w:keepLines w:val="0"/>
        <w:widowControl w:val="0"/>
        <w:numPr>
          <w:ilvl w:val="0"/>
          <w:numId w:val="15"/>
        </w:numPr>
        <w:shd w:val="clear" w:color="auto" w:fill="auto"/>
        <w:tabs>
          <w:tab w:pos="437" w:val="left"/>
        </w:tabs>
        <w:bidi w:val="0"/>
        <w:spacing w:before="0" w:after="500"/>
        <w:ind w:left="440" w:right="0" w:hanging="440"/>
        <w:jc w:val="both"/>
      </w:pPr>
      <w:r>
        <w:rPr>
          <w:color w:val="000000"/>
          <w:spacing w:val="0"/>
          <w:w w:val="100"/>
          <w:position w:val="0"/>
          <w:shd w:val="clear" w:color="auto" w:fill="auto"/>
          <w:lang w:val="cs-CZ" w:eastAsia="cs-CZ" w:bidi="cs-CZ"/>
        </w:rPr>
        <w:t>V případě vyhlášení Stavu nouze nebo předcházení Stavu nouze je cena za dodávku elektřiny stanovena podle principů uvedených v Pravidlech trhu s elektřinou a platném a účinném cenovém rozhodnutí ERÚ pro zúčtování odchylek ve Stavech nouze a při předcházení Stavů nouze.</w:t>
      </w:r>
    </w:p>
    <w:p>
      <w:pPr>
        <w:pStyle w:val="Style15"/>
        <w:keepNext/>
        <w:keepLines/>
        <w:widowControl w:val="0"/>
        <w:shd w:val="clear" w:color="auto" w:fill="auto"/>
        <w:bidi w:val="0"/>
        <w:spacing w:before="0"/>
        <w:ind w:left="0" w:right="0" w:firstLine="0"/>
        <w:jc w:val="center"/>
      </w:pPr>
      <w:bookmarkStart w:id="6" w:name="bookmark6"/>
      <w:bookmarkStart w:id="7" w:name="bookmark7"/>
      <w:r>
        <w:rPr>
          <w:b w:val="0"/>
          <w:bCs w:val="0"/>
          <w:color w:val="000000"/>
          <w:spacing w:val="0"/>
          <w:w w:val="100"/>
          <w:position w:val="0"/>
          <w:sz w:val="19"/>
          <w:szCs w:val="19"/>
          <w:shd w:val="clear" w:color="auto" w:fill="auto"/>
          <w:lang w:val="cs-CZ" w:eastAsia="cs-CZ" w:bidi="cs-CZ"/>
        </w:rPr>
        <w:t>Článek V</w:t>
        <w:br/>
      </w:r>
      <w:r>
        <w:rPr>
          <w:color w:val="000000"/>
          <w:spacing w:val="0"/>
          <w:w w:val="100"/>
          <w:position w:val="0"/>
          <w:shd w:val="clear" w:color="auto" w:fill="auto"/>
          <w:lang w:val="cs-CZ" w:eastAsia="cs-CZ" w:bidi="cs-CZ"/>
        </w:rPr>
        <w:t>Fakturační a platební podmínky</w:t>
      </w:r>
      <w:bookmarkEnd w:id="6"/>
      <w:bookmarkEnd w:id="7"/>
    </w:p>
    <w:p>
      <w:pPr>
        <w:pStyle w:val="Style2"/>
        <w:keepNext w:val="0"/>
        <w:keepLines w:val="0"/>
        <w:widowControl w:val="0"/>
        <w:numPr>
          <w:ilvl w:val="0"/>
          <w:numId w:val="19"/>
        </w:numPr>
        <w:shd w:val="clear" w:color="auto" w:fill="auto"/>
        <w:tabs>
          <w:tab w:pos="437" w:val="left"/>
        </w:tabs>
        <w:bidi w:val="0"/>
        <w:spacing w:before="0" w:line="324" w:lineRule="auto"/>
        <w:ind w:left="440" w:right="0" w:hanging="440"/>
        <w:jc w:val="both"/>
      </w:pPr>
      <w:r>
        <w:rPr>
          <w:color w:val="000000"/>
          <w:spacing w:val="0"/>
          <w:w w:val="100"/>
          <w:position w:val="0"/>
          <w:shd w:val="clear" w:color="auto" w:fill="auto"/>
          <w:lang w:val="cs-CZ" w:eastAsia="cs-CZ" w:bidi="cs-CZ"/>
        </w:rPr>
        <w:t>Výše záloh stanovená Obchodníkem je vypočtena z množství elektřiny, jež se Obchodník zavazuje dle Smlouvy dodat a Zákazník odebrat v měsíčním členění ve výši sjednané ve Výběrovém listu jako procentní části z celkové předpokládané ceny dodávky elektřiny včetně DPH, odvádí-li z ceny dle Smlouvy DPH jako její plátce Obchodník, v ostatních případech bez DPH, zaokrouhlená na desítky Kč.</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Splatnost zálohy na cenu pro kalendářní měsíc je sjednána ve Výběrovém listu. V případě, že bude sjednaný den splatnosti dnem pracovního volna nebo klidu, uhradí Zákazník splátku zálohy nejbližší následující pracovní den.</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Oznámení s rozpisem zálohových plateb zašle Obchodník Zákazníkovi písemně nejpozději do 7 dnů před dnem splatnosti první zálohy.</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Dodávka plnění Obchodníka za uplynulý měsíc bude Zákazníkovi vyúčtována do 14. pracovního dne následujícího měsíce fakturou jako souhrnným daňovým dokladem, který bude obsahovat náležitosti dle obecně závazných právních předpisů, se zdanitelným plněním k poslednímu dni měsíce, v němž byla dodávka uskutečněna. Faktura bude zároveň obsahovat i vyúčtování uhrazené zálohy.</w:t>
      </w:r>
    </w:p>
    <w:p>
      <w:pPr>
        <w:pStyle w:val="Style2"/>
        <w:keepNext w:val="0"/>
        <w:keepLines w:val="0"/>
        <w:widowControl w:val="0"/>
        <w:numPr>
          <w:ilvl w:val="0"/>
          <w:numId w:val="19"/>
        </w:numPr>
        <w:shd w:val="clear" w:color="auto" w:fill="auto"/>
        <w:tabs>
          <w:tab w:pos="437" w:val="left"/>
        </w:tabs>
        <w:bidi w:val="0"/>
        <w:spacing w:before="0" w:line="324" w:lineRule="auto"/>
        <w:ind w:left="440" w:right="0" w:hanging="440"/>
        <w:jc w:val="both"/>
      </w:pPr>
      <w:r>
        <w:rPr>
          <w:color w:val="000000"/>
          <w:spacing w:val="0"/>
          <w:w w:val="100"/>
          <w:position w:val="0"/>
          <w:shd w:val="clear" w:color="auto" w:fill="auto"/>
          <w:lang w:val="cs-CZ" w:eastAsia="cs-CZ" w:bidi="cs-CZ"/>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dluhy vůči Obchodníkovi. V případě neuhrazených dluhů ze strany Zákazníka bude přeplatek použit k započtení těchto dluhů.</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Zákazník bude hradit zálohy a faktury za dodávky Obchodníka na bankovní účet Obchodníka s číslem uvedeným na faktuře, případně Obchodníkem jinak Zákazníkovi uvedeným, bezhotovostně způsobem sjednaným ve Výběrovém listu.</w:t>
      </w:r>
    </w:p>
    <w:p>
      <w:pPr>
        <w:pStyle w:val="Style2"/>
        <w:keepNext w:val="0"/>
        <w:keepLines w:val="0"/>
        <w:widowControl w:val="0"/>
        <w:numPr>
          <w:ilvl w:val="0"/>
          <w:numId w:val="19"/>
        </w:numPr>
        <w:shd w:val="clear" w:color="auto" w:fill="auto"/>
        <w:tabs>
          <w:tab w:pos="437" w:val="left"/>
        </w:tabs>
        <w:bidi w:val="0"/>
        <w:spacing w:before="0" w:line="324" w:lineRule="auto"/>
        <w:ind w:left="440" w:right="0" w:hanging="440"/>
        <w:jc w:val="both"/>
      </w:pPr>
      <w:r>
        <w:rPr>
          <w:color w:val="000000"/>
          <w:spacing w:val="0"/>
          <w:w w:val="100"/>
          <w:position w:val="0"/>
          <w:shd w:val="clear" w:color="auto" w:fill="auto"/>
          <w:lang w:val="cs-CZ" w:eastAsia="cs-CZ" w:bidi="cs-CZ"/>
        </w:rPr>
        <w:t>Při nedodržení termínů a lhůt sjednaného způsobu úhrady záloh a faktur a jejich výše na straně Zákazníka vzniká Obchodníkovi právo na smluvní úrok z prodlení ve výši 0,1 %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Při nedodržení termínů a lhůt sjednaného způsobu placení faktur, které v důsledku přeplatků hradí Obchodník Zákazníkovi, vzniká Zákazníkovi právo na smluvní úrok z prodlení ve výši 0,1 % z dlužné částky za každý den prodlení. Obchodník je povinen uhradit smluvní úrok z prodlení Zákazníkovi na základě vystavené faktury do 14 dnů od data doručení.</w:t>
      </w:r>
    </w:p>
    <w:p>
      <w:pPr>
        <w:pStyle w:val="Style2"/>
        <w:keepNext w:val="0"/>
        <w:keepLines w:val="0"/>
        <w:widowControl w:val="0"/>
        <w:numPr>
          <w:ilvl w:val="0"/>
          <w:numId w:val="19"/>
        </w:numPr>
        <w:shd w:val="clear" w:color="auto" w:fill="auto"/>
        <w:tabs>
          <w:tab w:pos="437" w:val="left"/>
        </w:tabs>
        <w:bidi w:val="0"/>
        <w:spacing w:before="0"/>
        <w:ind w:left="440" w:right="0" w:hanging="440"/>
        <w:jc w:val="both"/>
      </w:pPr>
      <w:r>
        <w:rPr>
          <w:color w:val="000000"/>
          <w:spacing w:val="0"/>
          <w:w w:val="100"/>
          <w:position w:val="0"/>
          <w:shd w:val="clear" w:color="auto" w:fill="auto"/>
          <w:lang w:val="cs-CZ" w:eastAsia="cs-CZ" w:bidi="cs-CZ"/>
        </w:rPr>
        <w:t xml:space="preserve">Nedojde-li k úhradě dlužných částek a k nápravě v plnění fakturačních a platebních podmínek ze strany Zákazníka nebo nedojde-li k dohodě o úhradě mezi Obchodníkem a Zákazníkem do 5 kalendářních dnů ode dne, kdy došlo ze strany Zákazníka k prodlení s plněním povinnosti dle Smlouvy, je Obchodník </w:t>
      </w:r>
      <w:r>
        <w:rPr>
          <w:color w:val="000000"/>
          <w:spacing w:val="0"/>
          <w:w w:val="100"/>
          <w:position w:val="0"/>
          <w:shd w:val="clear" w:color="auto" w:fill="auto"/>
          <w:lang w:val="cs-CZ" w:eastAsia="cs-CZ" w:bidi="cs-CZ"/>
        </w:rPr>
        <w:t>oprávněn vypovědět Smlouvu bez ohledu na ustanovení Článku VI Obecného znění Smlouvy. Výpověď je účinná uplynutím dvoudenní výpovědní lhůty od dne jejího doručení Zákazníkovi. Tím však není dotčena povinnost Zákazníka uhradit veškeré dluhy Obchodníkovi.</w:t>
      </w:r>
    </w:p>
    <w:p>
      <w:pPr>
        <w:pStyle w:val="Style2"/>
        <w:keepNext w:val="0"/>
        <w:keepLines w:val="0"/>
        <w:widowControl w:val="0"/>
        <w:numPr>
          <w:ilvl w:val="0"/>
          <w:numId w:val="19"/>
        </w:numPr>
        <w:shd w:val="clear" w:color="auto" w:fill="auto"/>
        <w:tabs>
          <w:tab w:pos="468" w:val="left"/>
        </w:tabs>
        <w:bidi w:val="0"/>
        <w:spacing w:before="0" w:after="380"/>
        <w:ind w:left="460" w:right="0" w:hanging="460"/>
        <w:jc w:val="both"/>
      </w:pPr>
      <w:r>
        <w:rPr>
          <w:color w:val="000000"/>
          <w:spacing w:val="0"/>
          <w:w w:val="100"/>
          <w:position w:val="0"/>
          <w:shd w:val="clear" w:color="auto" w:fill="auto"/>
          <w:lang w:val="cs-CZ" w:eastAsia="cs-CZ" w:bidi="cs-CZ"/>
        </w:rPr>
        <w:t>Poruší-li Zákazník své platební povinnosti dle Článku V Obecného znění Smlouvy výše a Obchodník Smlouvu vypoví v souladu s Článkem V odstavcem 9. Obecného znění Smlouvy nebo od Smlouvy z uvedeného důvodu odstoupí, vzniká Zákazníkovi povinnost uhradit Obchodníkovi smluvní pokutu ve výši podílu 10 % na rozdílu mezi cenou ve Smlouvě sjednaného celkového množství elektřiny platnou ke dni účinnosti výpovědi či odstoupení a souhrnnou cenou dodávek elektřiny uskutečněných dle Smlouvy až do dne účinnosti výpovědi či odstoupení. Bude-li mít takto vypočtený rozdíl negativní hodnotu, nárok na smluvní pokutu nevzniká. Smluvní pokuta dle tohoto odstavce je splatná do 3 dnů od doručení výpovědi či odstoupení Zákazníkovi. Ujednáním o smluvní pokutě dle tohoto článku není jakkoli dotčeno právo Obchodníka na náhradu škody v celé výši způsobené porušením povinnosti Zákazníka odebrat sjednané množství elektřiny. Smluvní pokuty sjednané v tomto článku nezanikají zánikem Smlouvy.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VI</w:t>
      </w:r>
    </w:p>
    <w:p>
      <w:pPr>
        <w:pStyle w:val="Style15"/>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Omezení nebo přerušení dodávek elektřiny</w:t>
      </w:r>
      <w:bookmarkEnd w:id="8"/>
      <w:bookmarkEnd w:id="9"/>
    </w:p>
    <w:p>
      <w:pPr>
        <w:pStyle w:val="Style2"/>
        <w:keepNext w:val="0"/>
        <w:keepLines w:val="0"/>
        <w:widowControl w:val="0"/>
        <w:shd w:val="clear" w:color="auto" w:fill="auto"/>
        <w:bidi w:val="0"/>
        <w:spacing w:before="0"/>
        <w:ind w:left="460" w:right="0" w:hanging="460"/>
        <w:jc w:val="both"/>
      </w:pPr>
      <w:r>
        <w:rPr>
          <w:color w:val="000000"/>
          <w:spacing w:val="0"/>
          <w:w w:val="100"/>
          <w:position w:val="0"/>
          <w:shd w:val="clear" w:color="auto" w:fill="auto"/>
          <w:lang w:val="cs-CZ" w:eastAsia="cs-CZ" w:bidi="cs-CZ"/>
        </w:rPr>
        <w:t>1. Omezení nebo přerušení dodávek a odběru elektřiny se řídí Energetickým zákonem a předpisy vydanými k jeho provedení. K omezení nebo přerušení dodávek a odběru elektřiny může dojít zejména v případech, kdy provozovatel přepravní soustavy, PDS v souladu s oprávněním podle Energetického zákona přeruší nebo omezí činnosti spojené s přepravou elektřiny, distribucí elektřiny a za souvislostí uvedených v Řádu provozovatele přepravní soustavy, Řádu provozovatele distribuční soustavy.</w:t>
      </w:r>
    </w:p>
    <w:p>
      <w:pPr>
        <w:pStyle w:val="Style2"/>
        <w:keepNext w:val="0"/>
        <w:keepLines w:val="0"/>
        <w:widowControl w:val="0"/>
        <w:numPr>
          <w:ilvl w:val="0"/>
          <w:numId w:val="5"/>
        </w:numPr>
        <w:shd w:val="clear" w:color="auto" w:fill="auto"/>
        <w:tabs>
          <w:tab w:pos="468" w:val="left"/>
        </w:tabs>
        <w:bidi w:val="0"/>
        <w:spacing w:before="0" w:after="340"/>
        <w:ind w:left="460" w:right="0" w:hanging="460"/>
        <w:jc w:val="both"/>
      </w:pPr>
      <w:r>
        <w:rPr>
          <w:color w:val="000000"/>
          <w:spacing w:val="0"/>
          <w:w w:val="100"/>
          <w:position w:val="0"/>
          <w:shd w:val="clear" w:color="auto" w:fill="auto"/>
          <w:lang w:val="cs-CZ" w:eastAsia="cs-CZ" w:bidi="cs-CZ"/>
        </w:rPr>
        <w:t>Obchodník je dále oprávněn omezit nebo přerušit dodávku elektřiny, neplní-li Zákazník dohodnuté fakturační a platební podmínky a nereaguje na předchozí výzvy k nápravě nebo bylo-li proti Zákazníkovi zahájeno insolvenční řízení. Omezení nebo přerušení dodávky elektřiny bude v tomto případě oznámeno Zákazníkovi 5 dnů předem. Omezením nebo přerušením dodávky elektřiny není dotčena povinnost Zákazníka uhradit veškeré dlužné částky Obchodníkovi.</w:t>
      </w:r>
    </w:p>
    <w:p>
      <w:pPr>
        <w:pStyle w:val="Style15"/>
        <w:keepNext/>
        <w:keepLines/>
        <w:widowControl w:val="0"/>
        <w:shd w:val="clear" w:color="auto" w:fill="auto"/>
        <w:bidi w:val="0"/>
        <w:spacing w:before="0" w:line="326" w:lineRule="auto"/>
        <w:ind w:left="0" w:right="0" w:firstLine="0"/>
        <w:jc w:val="center"/>
      </w:pPr>
      <w:bookmarkStart w:id="10" w:name="bookmark10"/>
      <w:bookmarkStart w:id="11" w:name="bookmark11"/>
      <w:r>
        <w:rPr>
          <w:b w:val="0"/>
          <w:bCs w:val="0"/>
          <w:color w:val="000000"/>
          <w:spacing w:val="0"/>
          <w:w w:val="100"/>
          <w:position w:val="0"/>
          <w:sz w:val="19"/>
          <w:szCs w:val="19"/>
          <w:shd w:val="clear" w:color="auto" w:fill="auto"/>
          <w:lang w:val="cs-CZ" w:eastAsia="cs-CZ" w:bidi="cs-CZ"/>
        </w:rPr>
        <w:t>Článek VII</w:t>
        <w:br/>
      </w:r>
      <w:r>
        <w:rPr>
          <w:color w:val="000000"/>
          <w:spacing w:val="0"/>
          <w:w w:val="100"/>
          <w:position w:val="0"/>
          <w:shd w:val="clear" w:color="auto" w:fill="auto"/>
          <w:lang w:val="cs-CZ" w:eastAsia="cs-CZ" w:bidi="cs-CZ"/>
        </w:rPr>
        <w:t>Oddělitelnost</w:t>
      </w:r>
      <w:bookmarkEnd w:id="10"/>
      <w:bookmarkEnd w:id="11"/>
    </w:p>
    <w:p>
      <w:pPr>
        <w:pStyle w:val="Style2"/>
        <w:keepNext w:val="0"/>
        <w:keepLines w:val="0"/>
        <w:widowControl w:val="0"/>
        <w:shd w:val="clear" w:color="auto" w:fill="auto"/>
        <w:bidi w:val="0"/>
        <w:spacing w:before="0" w:after="220"/>
        <w:ind w:left="460" w:right="0" w:hanging="460"/>
        <w:jc w:val="both"/>
      </w:pPr>
      <w:r>
        <w:rPr>
          <w:color w:val="000000"/>
          <w:spacing w:val="0"/>
          <w:w w:val="100"/>
          <w:position w:val="0"/>
          <w:shd w:val="clear" w:color="auto" w:fill="auto"/>
          <w:lang w:val="cs-CZ" w:eastAsia="cs-CZ" w:bidi="cs-CZ"/>
        </w:rPr>
        <w:t>1. 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odstavci 1. písmeni m) Obecného znění Smlouvy.</w:t>
      </w:r>
    </w:p>
    <w:p>
      <w:pPr>
        <w:pStyle w:val="Style15"/>
        <w:keepNext/>
        <w:keepLines/>
        <w:widowControl w:val="0"/>
        <w:shd w:val="clear" w:color="auto" w:fill="auto"/>
        <w:bidi w:val="0"/>
        <w:spacing w:before="0"/>
        <w:ind w:left="0" w:right="0" w:firstLine="0"/>
        <w:jc w:val="center"/>
      </w:pPr>
      <w:bookmarkStart w:id="12" w:name="bookmark12"/>
      <w:bookmarkStart w:id="13" w:name="bookmark13"/>
      <w:r>
        <w:rPr>
          <w:b w:val="0"/>
          <w:bCs w:val="0"/>
          <w:color w:val="000000"/>
          <w:spacing w:val="0"/>
          <w:w w:val="100"/>
          <w:position w:val="0"/>
          <w:sz w:val="19"/>
          <w:szCs w:val="19"/>
          <w:shd w:val="clear" w:color="auto" w:fill="auto"/>
          <w:lang w:val="cs-CZ" w:eastAsia="cs-CZ" w:bidi="cs-CZ"/>
        </w:rPr>
        <w:t>Článek VII</w:t>
        <w:br/>
      </w:r>
      <w:r>
        <w:rPr>
          <w:color w:val="000000"/>
          <w:spacing w:val="0"/>
          <w:w w:val="100"/>
          <w:position w:val="0"/>
          <w:shd w:val="clear" w:color="auto" w:fill="auto"/>
          <w:lang w:val="cs-CZ" w:eastAsia="cs-CZ" w:bidi="cs-CZ"/>
        </w:rPr>
        <w:t>Řešení sporů</w:t>
      </w:r>
      <w:bookmarkEnd w:id="12"/>
      <w:bookmarkEnd w:id="13"/>
    </w:p>
    <w:p>
      <w:pPr>
        <w:pStyle w:val="Style2"/>
        <w:keepNext w:val="0"/>
        <w:keepLines w:val="0"/>
        <w:widowControl w:val="0"/>
        <w:shd w:val="clear" w:color="auto" w:fill="auto"/>
        <w:bidi w:val="0"/>
        <w:spacing w:before="0"/>
        <w:ind w:left="460" w:right="0" w:hanging="460"/>
        <w:jc w:val="both"/>
      </w:pPr>
      <w:r>
        <w:rPr>
          <w:color w:val="000000"/>
          <w:spacing w:val="0"/>
          <w:w w:val="100"/>
          <w:position w:val="0"/>
          <w:shd w:val="clear" w:color="auto" w:fill="auto"/>
          <w:lang w:val="cs-CZ" w:eastAsia="cs-CZ" w:bidi="cs-CZ"/>
        </w:rPr>
        <w:t>1. Všechny spory mezi Smluvními stranami, které vzniknou na základě či v souvislosti se Smlouvou se Smluvní strany zavazují řešit dohodou. Nedojde-li k dohodě, bude spor s konečnou platností rozhodován podle českého práva, příslušnými českými soudy.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IX</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Utajení</w:t>
      </w:r>
    </w:p>
    <w:p>
      <w:pPr>
        <w:pStyle w:val="Style2"/>
        <w:keepNext w:val="0"/>
        <w:keepLines w:val="0"/>
        <w:widowControl w:val="0"/>
        <w:shd w:val="clear" w:color="auto" w:fill="auto"/>
        <w:bidi w:val="0"/>
        <w:spacing w:before="0" w:after="260"/>
        <w:ind w:left="460" w:right="0" w:hanging="460"/>
        <w:jc w:val="both"/>
      </w:pPr>
      <w:r>
        <w:rPr>
          <w:color w:val="000000"/>
          <w:spacing w:val="0"/>
          <w:w w:val="100"/>
          <w:position w:val="0"/>
          <w:shd w:val="clear" w:color="auto" w:fill="auto"/>
          <w:lang w:val="cs-CZ" w:eastAsia="cs-CZ" w:bidi="cs-CZ"/>
        </w:rPr>
        <w:t>1. 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X</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Přílohy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numPr>
          <w:ilvl w:val="0"/>
          <w:numId w:val="21"/>
        </w:numPr>
        <w:shd w:val="clear" w:color="auto" w:fill="auto"/>
        <w:tabs>
          <w:tab w:pos="415" w:val="left"/>
        </w:tabs>
        <w:bidi w:val="0"/>
        <w:spacing w:before="0" w:after="0"/>
        <w:ind w:left="0" w:right="0" w:firstLine="0"/>
        <w:jc w:val="both"/>
      </w:pPr>
      <w:r>
        <w:rPr>
          <w:color w:val="000000"/>
          <w:spacing w:val="0"/>
          <w:w w:val="100"/>
          <w:position w:val="0"/>
          <w:shd w:val="clear" w:color="auto" w:fill="auto"/>
          <w:lang w:val="cs-CZ" w:eastAsia="cs-CZ" w:bidi="cs-CZ"/>
        </w:rPr>
        <w:t>Příloha A - Seznam a specifikace odběrných míst</w:t>
      </w:r>
    </w:p>
    <w:p>
      <w:pPr>
        <w:pStyle w:val="Style2"/>
        <w:keepNext w:val="0"/>
        <w:keepLines w:val="0"/>
        <w:widowControl w:val="0"/>
        <w:numPr>
          <w:ilvl w:val="0"/>
          <w:numId w:val="21"/>
        </w:numPr>
        <w:shd w:val="clear" w:color="auto" w:fill="auto"/>
        <w:tabs>
          <w:tab w:pos="415" w:val="left"/>
        </w:tabs>
        <w:bidi w:val="0"/>
        <w:spacing w:before="0" w:after="260"/>
        <w:ind w:left="0" w:right="0" w:firstLine="0"/>
        <w:jc w:val="both"/>
      </w:pPr>
      <w:r>
        <w:rPr>
          <w:color w:val="000000"/>
          <w:spacing w:val="0"/>
          <w:w w:val="100"/>
          <w:position w:val="0"/>
          <w:shd w:val="clear" w:color="auto" w:fill="auto"/>
          <w:lang w:val="cs-CZ" w:eastAsia="cs-CZ" w:bidi="cs-CZ"/>
        </w:rPr>
        <w:t>Příloha B - Cena dodávky elektřiny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XI</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0"/>
          <w:numId w:val="23"/>
        </w:numPr>
        <w:shd w:val="clear" w:color="auto" w:fill="auto"/>
        <w:tabs>
          <w:tab w:pos="415" w:val="left"/>
        </w:tabs>
        <w:bidi w:val="0"/>
        <w:spacing w:before="0"/>
        <w:ind w:left="460" w:right="0" w:hanging="460"/>
        <w:jc w:val="both"/>
      </w:pPr>
      <w:r>
        <w:rPr>
          <w:color w:val="000000"/>
          <w:spacing w:val="0"/>
          <w:w w:val="100"/>
          <w:position w:val="0"/>
          <w:shd w:val="clear" w:color="auto" w:fill="auto"/>
          <w:lang w:val="cs-CZ" w:eastAsia="cs-CZ" w:bidi="cs-CZ"/>
        </w:rPr>
        <w:t>Nestanoví-li dohoda Smluvních stran jinak, Smlouva nabývá platnosti a účinnosti dnem podpisu oběma Smluvními stranami.</w:t>
      </w:r>
    </w:p>
    <w:p>
      <w:pPr>
        <w:pStyle w:val="Style2"/>
        <w:keepNext w:val="0"/>
        <w:keepLines w:val="0"/>
        <w:widowControl w:val="0"/>
        <w:numPr>
          <w:ilvl w:val="0"/>
          <w:numId w:val="23"/>
        </w:numPr>
        <w:shd w:val="clear" w:color="auto" w:fill="auto"/>
        <w:tabs>
          <w:tab w:pos="415" w:val="left"/>
        </w:tabs>
        <w:bidi w:val="0"/>
        <w:spacing w:before="0"/>
        <w:ind w:left="460" w:right="0" w:hanging="460"/>
        <w:jc w:val="both"/>
      </w:pPr>
      <w:r>
        <w:rPr>
          <w:color w:val="000000"/>
          <w:spacing w:val="0"/>
          <w:w w:val="100"/>
          <w:position w:val="0"/>
          <w:shd w:val="clear" w:color="auto" w:fill="auto"/>
          <w:lang w:val="cs-CZ" w:eastAsia="cs-CZ" w:bidi="cs-CZ"/>
        </w:rPr>
        <w:t>Smluvní strany sjednaly, že v případě podstatného porušení Smlouvy smluvní stranou může druhá smluvní strana od Smlouvy odstoupit. Za podstatné porušení Smlouvy ze strany Zákazníka je Obchodníkem považováno zejména neplnění platebních povinností dle Článků IV a V Obecného znění Smlouvy. Za podstatné porušení Smlouvy ze strany Obchodníka je Zákazníkem považováno nedodání sjednaného množství elektřiny dle Článku III Obecného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w:t>
      </w:r>
    </w:p>
    <w:p>
      <w:pPr>
        <w:pStyle w:val="Style2"/>
        <w:keepNext w:val="0"/>
        <w:keepLines w:val="0"/>
        <w:widowControl w:val="0"/>
        <w:numPr>
          <w:ilvl w:val="0"/>
          <w:numId w:val="23"/>
        </w:numPr>
        <w:shd w:val="clear" w:color="auto" w:fill="auto"/>
        <w:tabs>
          <w:tab w:pos="415" w:val="left"/>
        </w:tabs>
        <w:bidi w:val="0"/>
        <w:spacing w:before="0"/>
        <w:ind w:left="460" w:right="0" w:hanging="460"/>
        <w:jc w:val="both"/>
      </w:pPr>
      <w:r>
        <w:rPr>
          <w:color w:val="000000"/>
          <w:spacing w:val="0"/>
          <w:w w:val="100"/>
          <w:position w:val="0"/>
          <w:shd w:val="clear" w:color="auto" w:fill="auto"/>
          <w:lang w:val="cs-CZ" w:eastAsia="cs-CZ" w:bidi="cs-CZ"/>
        </w:rPr>
        <w:t>Listina dle Smlouvy se považuje za doručenou příslušnému adresátovi uvedenému níže, jejím převzetím adresátem při osobním doručení a třetím pracovním dnem při zaslání kurýrní službou disponující poštovní licencí či doručení doporučenou poštou. Pokud kterákoliv ze Smluvních stran využije více než jeden z výše uvedených způsobů doručování podle Smlouvy, potom se bude příslušná listina považovat za obdrženou druhou stranou v takový výše stanovený den, který nastane dříve. Pro účely doručování Smluvní strany uvádějí kontaktní adresy uvedené v záhlaví Výběrového listu. Smluvní strany se zavazují se neprodleně vzájemně informovat o jakýchkoliv změnách v údajích týkajících se kontaktních údajů Smluvních stran, nebo jejich zástupců. Při prokazování doručení postačí, když odesílatel prokáže, že oznámení bylo doručeno, odesláno či zasláno způsobem popsaným ve Smlouvě.</w:t>
      </w:r>
    </w:p>
    <w:p>
      <w:pPr>
        <w:pStyle w:val="Style2"/>
        <w:keepNext w:val="0"/>
        <w:keepLines w:val="0"/>
        <w:widowControl w:val="0"/>
        <w:numPr>
          <w:ilvl w:val="0"/>
          <w:numId w:val="23"/>
        </w:numPr>
        <w:shd w:val="clear" w:color="auto" w:fill="auto"/>
        <w:tabs>
          <w:tab w:pos="415" w:val="left"/>
        </w:tabs>
        <w:bidi w:val="0"/>
        <w:spacing w:before="0" w:after="0"/>
        <w:ind w:left="460" w:right="0" w:hanging="460"/>
        <w:jc w:val="both"/>
      </w:pPr>
      <w:r>
        <w:rPr>
          <w:color w:val="000000"/>
          <w:spacing w:val="0"/>
          <w:w w:val="100"/>
          <w:position w:val="0"/>
          <w:shd w:val="clear" w:color="auto" w:fill="auto"/>
          <w:lang w:val="cs-CZ" w:eastAsia="cs-CZ" w:bidi="cs-CZ"/>
        </w:rPr>
        <w:t>Zákazník není bez výslovného souhlasu Obchodníka oprávněn započíst jakékoli své splatné peněžité pohledávky za Obchodníkem proti jakýmkoli peněžitým pohledávkám Obchodníka za Zákazníkem.</w:t>
      </w:r>
    </w:p>
    <w:p>
      <w:pPr>
        <w:pStyle w:val="Style2"/>
        <w:keepNext w:val="0"/>
        <w:keepLines w:val="0"/>
        <w:widowControl w:val="0"/>
        <w:numPr>
          <w:ilvl w:val="0"/>
          <w:numId w:val="23"/>
        </w:numPr>
        <w:shd w:val="clear" w:color="auto" w:fill="auto"/>
        <w:tabs>
          <w:tab w:pos="415" w:val="left"/>
        </w:tabs>
        <w:bidi w:val="0"/>
        <w:spacing w:before="0" w:after="0"/>
        <w:ind w:left="460" w:right="0" w:hanging="460"/>
        <w:jc w:val="both"/>
      </w:pPr>
      <w:r>
        <w:rPr>
          <w:color w:val="000000"/>
          <w:spacing w:val="0"/>
          <w:w w:val="100"/>
          <w:position w:val="0"/>
          <w:shd w:val="clear" w:color="auto" w:fill="auto"/>
          <w:lang w:val="cs-CZ" w:eastAsia="cs-CZ" w:bidi="cs-CZ"/>
        </w:rPr>
        <w:t>Zákazník a Obchodník prohlašují, že na sebe přebírají nebezpečí změny okolností ve smyslu § 1765 odst.1 ObčZ.</w:t>
      </w:r>
    </w:p>
    <w:p>
      <w:pPr>
        <w:pStyle w:val="Style2"/>
        <w:keepNext w:val="0"/>
        <w:keepLines w:val="0"/>
        <w:widowControl w:val="0"/>
        <w:numPr>
          <w:ilvl w:val="0"/>
          <w:numId w:val="23"/>
        </w:numPr>
        <w:shd w:val="clear" w:color="auto" w:fill="auto"/>
        <w:tabs>
          <w:tab w:pos="415" w:val="left"/>
        </w:tabs>
        <w:bidi w:val="0"/>
        <w:spacing w:before="0" w:after="0"/>
        <w:ind w:left="460" w:right="0" w:hanging="460"/>
        <w:jc w:val="both"/>
      </w:pPr>
      <w:r>
        <w:rPr>
          <w:color w:val="000000"/>
          <w:spacing w:val="0"/>
          <w:w w:val="100"/>
          <w:position w:val="0"/>
          <w:shd w:val="clear" w:color="auto" w:fill="auto"/>
          <w:lang w:val="cs-CZ" w:eastAsia="cs-CZ" w:bidi="cs-CZ"/>
        </w:rPr>
        <w:t>Zákazník, který je právnickou osobou prohlašuje, že se podpisem Smlouvy ve smyslu § 2000 odst. 1 ObčZ vzdává práva, domáhat se zrušení závazků založených Smlouvou.</w:t>
      </w:r>
    </w:p>
    <w:p>
      <w:pPr>
        <w:pStyle w:val="Style2"/>
        <w:keepNext w:val="0"/>
        <w:keepLines w:val="0"/>
        <w:widowControl w:val="0"/>
        <w:numPr>
          <w:ilvl w:val="0"/>
          <w:numId w:val="23"/>
        </w:numPr>
        <w:shd w:val="clear" w:color="auto" w:fill="auto"/>
        <w:tabs>
          <w:tab w:pos="415" w:val="left"/>
        </w:tabs>
        <w:bidi w:val="0"/>
        <w:spacing w:before="0" w:after="0"/>
        <w:ind w:left="460" w:right="0" w:hanging="460"/>
        <w:jc w:val="both"/>
      </w:pPr>
      <w:r>
        <w:rPr>
          <w:color w:val="000000"/>
          <w:spacing w:val="0"/>
          <w:w w:val="100"/>
          <w:position w:val="0"/>
          <w:shd w:val="clear" w:color="auto" w:fill="auto"/>
          <w:lang w:val="cs-CZ" w:eastAsia="cs-CZ" w:bidi="cs-CZ"/>
        </w:rPr>
        <w:t>Zákazník se zavazuje nesjednávat dodávku elektřiny, resp. dodávku sdružených služeb dodávky elektřiny do Odběrného místa od více dodavatelů elektřiny (obchodníků) ve smyslu Energetického zákona.</w:t>
      </w:r>
    </w:p>
    <w:p>
      <w:pPr>
        <w:pStyle w:val="Style2"/>
        <w:keepNext w:val="0"/>
        <w:keepLines w:val="0"/>
        <w:widowControl w:val="0"/>
        <w:numPr>
          <w:ilvl w:val="0"/>
          <w:numId w:val="23"/>
        </w:numPr>
        <w:shd w:val="clear" w:color="auto" w:fill="auto"/>
        <w:tabs>
          <w:tab w:pos="415" w:val="left"/>
        </w:tabs>
        <w:bidi w:val="0"/>
        <w:spacing w:before="0"/>
        <w:ind w:left="460" w:right="0" w:hanging="460"/>
        <w:jc w:val="both"/>
      </w:pPr>
      <w:r>
        <w:rPr>
          <w:color w:val="000000"/>
          <w:spacing w:val="0"/>
          <w:w w:val="100"/>
          <w:position w:val="0"/>
          <w:shd w:val="clear" w:color="auto" w:fill="auto"/>
          <w:lang w:val="cs-CZ" w:eastAsia="cs-CZ" w:bidi="cs-CZ"/>
        </w:rP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r>
        <w:fldChar w:fldCharType="begin"/>
      </w:r>
      <w:r>
        <w:rPr/>
        <w:instrText> HYPERLINK "http://www.ppas.cz/info" </w:instrText>
      </w:r>
      <w:r>
        <w:fldChar w:fldCharType="separate"/>
      </w:r>
      <w:r>
        <w:rPr>
          <w:color w:val="000000"/>
          <w:spacing w:val="0"/>
          <w:w w:val="100"/>
          <w:position w:val="0"/>
          <w:shd w:val="clear" w:color="auto" w:fill="auto"/>
          <w:lang w:val="cs-CZ" w:eastAsia="cs-CZ" w:bidi="cs-CZ"/>
        </w:rPr>
        <w:t>www.ppas.cz/info</w:t>
      </w:r>
      <w:r>
        <w:fldChar w:fldCharType="end"/>
      </w:r>
      <w:r>
        <w:rPr>
          <w:color w:val="000000"/>
          <w:spacing w:val="0"/>
          <w:w w:val="100"/>
          <w:position w:val="0"/>
          <w:shd w:val="clear" w:color="auto" w:fill="auto"/>
          <w:lang w:val="cs-CZ" w:eastAsia="cs-CZ" w:bidi="cs-CZ"/>
        </w:rPr>
        <w:t xml:space="preserve"> a dále na vyžádání v obchodních kancelářích Obchodníka.</w:t>
      </w:r>
      <w:r>
        <w:br w:type="page"/>
      </w:r>
    </w:p>
    <w:p>
      <w:pPr>
        <w:pStyle w:val="Style2"/>
        <w:keepNext w:val="0"/>
        <w:keepLines w:val="0"/>
        <w:widowControl w:val="0"/>
        <w:numPr>
          <w:ilvl w:val="0"/>
          <w:numId w:val="23"/>
        </w:numPr>
        <w:shd w:val="clear" w:color="auto" w:fill="auto"/>
        <w:tabs>
          <w:tab w:pos="437" w:val="left"/>
        </w:tabs>
        <w:bidi w:val="0"/>
        <w:spacing w:before="0" w:after="0" w:line="324" w:lineRule="auto"/>
        <w:ind w:left="460" w:right="0" w:hanging="460"/>
        <w:jc w:val="both"/>
      </w:pPr>
      <w:r>
        <w:rPr>
          <w:color w:val="000000"/>
          <w:spacing w:val="0"/>
          <w:w w:val="100"/>
          <w:position w:val="0"/>
          <w:shd w:val="clear" w:color="auto" w:fill="auto"/>
          <w:lang w:val="cs-CZ" w:eastAsia="cs-CZ" w:bidi="cs-CZ"/>
        </w:rPr>
        <w:t>Veškerá práva a povinnosti smluvních stran Smlouvou výslovně neupravené se řídí platnými obecně závaznými právními předpisy, Obchodními podmínkami operátora trhu a Řády příslušných provozovatelů distribučních soustav.</w:t>
      </w:r>
    </w:p>
    <w:p>
      <w:pPr>
        <w:pStyle w:val="Style2"/>
        <w:keepNext w:val="0"/>
        <w:keepLines w:val="0"/>
        <w:widowControl w:val="0"/>
        <w:numPr>
          <w:ilvl w:val="0"/>
          <w:numId w:val="23"/>
        </w:numPr>
        <w:shd w:val="clear" w:color="auto" w:fill="auto"/>
        <w:tabs>
          <w:tab w:pos="437" w:val="left"/>
        </w:tabs>
        <w:bidi w:val="0"/>
        <w:spacing w:before="0" w:line="324" w:lineRule="auto"/>
        <w:ind w:left="460" w:right="0" w:hanging="460"/>
        <w:jc w:val="both"/>
      </w:pPr>
      <w:r>
        <w:rPr>
          <w:color w:val="000000"/>
          <w:spacing w:val="0"/>
          <w:w w:val="100"/>
          <w:position w:val="0"/>
          <w:shd w:val="clear" w:color="auto" w:fill="auto"/>
          <w:lang w:val="cs-CZ" w:eastAsia="cs-CZ" w:bidi="cs-CZ"/>
        </w:rPr>
        <w:t>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pPr>
        <w:pStyle w:val="Style2"/>
        <w:keepNext w:val="0"/>
        <w:keepLines w:val="0"/>
        <w:widowControl w:val="0"/>
        <w:numPr>
          <w:ilvl w:val="0"/>
          <w:numId w:val="23"/>
        </w:numPr>
        <w:shd w:val="clear" w:color="auto" w:fill="auto"/>
        <w:tabs>
          <w:tab w:pos="437" w:val="left"/>
        </w:tabs>
        <w:bidi w:val="0"/>
        <w:spacing w:before="0" w:after="860"/>
        <w:ind w:left="460" w:right="0" w:hanging="460"/>
        <w:jc w:val="both"/>
      </w:pPr>
      <w:r>
        <w:rPr>
          <w:color w:val="000000"/>
          <w:spacing w:val="0"/>
          <w:w w:val="100"/>
          <w:position w:val="0"/>
          <w:shd w:val="clear" w:color="auto" w:fill="auto"/>
          <w:lang w:val="cs-CZ" w:eastAsia="cs-CZ" w:bidi="cs-CZ"/>
        </w:rPr>
        <w:t>Uzavření Smlouvy žádným způsobem neovlivňuje platnost ani účinnost jakýchkoli smluv uzavřených mezi Smluvními stranami.</w:t>
      </w:r>
    </w:p>
    <w:tbl>
      <w:tblPr>
        <w:tblOverlap w:val="never"/>
        <w:jc w:val="center"/>
        <w:tblLayout w:type="fixed"/>
      </w:tblPr>
      <w:tblGrid>
        <w:gridCol w:w="3811"/>
        <w:gridCol w:w="5251"/>
      </w:tblGrid>
      <w:tr>
        <w:trPr>
          <w:trHeight w:val="816"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Pražská plynárenská, a. s.</w:t>
            </w:r>
          </w:p>
        </w:tc>
        <w:tc>
          <w:tcPr>
            <w:tcBorders/>
            <w:shd w:val="clear" w:color="auto" w:fill="FFFFFF"/>
            <w:vAlign w:val="bottom"/>
          </w:tcPr>
          <w:p>
            <w:pPr>
              <w:pStyle w:val="Style22"/>
              <w:keepNext w:val="0"/>
              <w:keepLines w:val="0"/>
              <w:widowControl w:val="0"/>
              <w:shd w:val="clear" w:color="auto" w:fill="auto"/>
              <w:bidi w:val="0"/>
              <w:spacing w:before="0" w:after="0" w:line="286" w:lineRule="auto"/>
              <w:ind w:left="1160" w:right="0" w:firstLine="0"/>
              <w:jc w:val="left"/>
            </w:pPr>
            <w:r>
              <w:rPr>
                <w:color w:val="000000"/>
                <w:spacing w:val="0"/>
                <w:w w:val="100"/>
                <w:position w:val="0"/>
                <w:shd w:val="clear" w:color="auto" w:fill="auto"/>
                <w:lang w:val="cs-CZ" w:eastAsia="cs-CZ" w:bidi="cs-CZ"/>
              </w:rPr>
              <w:t>V Jihlavě dne</w:t>
            </w:r>
          </w:p>
          <w:p>
            <w:pPr>
              <w:pStyle w:val="Style22"/>
              <w:keepNext w:val="0"/>
              <w:keepLines w:val="0"/>
              <w:widowControl w:val="0"/>
              <w:shd w:val="clear" w:color="auto" w:fill="auto"/>
              <w:bidi w:val="0"/>
              <w:spacing w:before="0" w:after="0" w:line="286" w:lineRule="auto"/>
              <w:ind w:left="1160" w:right="0" w:firstLine="0"/>
              <w:jc w:val="left"/>
            </w:pPr>
            <w:r>
              <w:rPr>
                <w:b/>
                <w:bCs/>
                <w:color w:val="000000"/>
                <w:spacing w:val="0"/>
                <w:w w:val="100"/>
                <w:position w:val="0"/>
                <w:sz w:val="19"/>
                <w:szCs w:val="19"/>
                <w:shd w:val="clear" w:color="auto" w:fill="auto"/>
                <w:lang w:val="cs-CZ" w:eastAsia="cs-CZ" w:bidi="cs-CZ"/>
              </w:rPr>
              <w:t>Krajská správa a údržba silnic Vysočiny, příspěvková organizace</w:t>
            </w:r>
          </w:p>
        </w:tc>
      </w:tr>
    </w:tbl>
    <w:p>
      <w:pPr>
        <w:widowControl w:val="0"/>
        <w:spacing w:after="1159" w:line="1" w:lineRule="exact"/>
      </w:pPr>
    </w:p>
    <w:p>
      <w:pPr>
        <w:pStyle w:val="Style2"/>
        <w:keepNext w:val="0"/>
        <w:keepLines w:val="0"/>
        <w:widowControl w:val="0"/>
        <w:shd w:val="clear" w:color="auto" w:fill="auto"/>
        <w:bidi w:val="0"/>
        <w:spacing w:before="0" w:after="0"/>
        <w:ind w:left="2900" w:right="0" w:firstLine="0"/>
        <w:jc w:val="left"/>
        <w:sectPr>
          <w:footerReference w:type="default" r:id="rId5"/>
          <w:footnotePr>
            <w:pos w:val="pageBottom"/>
            <w:numFmt w:val="decimal"/>
            <w:numRestart w:val="continuous"/>
          </w:footnotePr>
          <w:pgSz w:w="11900" w:h="16840"/>
          <w:pgMar w:top="957" w:left="1074" w:right="1083" w:bottom="866" w:header="529"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722630</wp:posOffset>
                </wp:positionH>
                <wp:positionV relativeFrom="paragraph">
                  <wp:posOffset>12700</wp:posOffset>
                </wp:positionV>
                <wp:extent cx="1170305" cy="399415"/>
                <wp:wrapSquare wrapText="right"/>
                <wp:docPr id="3" name="Shape 3"/>
                <a:graphic xmlns:a="http://schemas.openxmlformats.org/drawingml/2006/main">
                  <a:graphicData uri="http://schemas.microsoft.com/office/word/2010/wordprocessingShape">
                    <wps:wsp>
                      <wps:cNvSpPr txBox="1"/>
                      <wps:spPr>
                        <a:xfrm>
                          <a:ext cx="1170305" cy="399415"/>
                        </a:xfrm>
                        <a:prstGeom prst="rect"/>
                        <a:noFill/>
                      </wps:spPr>
                      <wps:txbx>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z w:val="19"/>
                                <w:szCs w:val="19"/>
                                <w:shd w:val="clear" w:color="auto" w:fill="auto"/>
                                <w:lang w:val="cs-CZ" w:eastAsia="cs-CZ" w:bidi="cs-CZ"/>
                              </w:rPr>
                              <w:t>Ing. David Hrůza manažer prodeje</w:t>
                            </w:r>
                          </w:p>
                        </w:txbxContent>
                      </wps:txbx>
                      <wps:bodyPr lIns="0" tIns="0" rIns="0" bIns="0">
                        <a:noAutoFit/>
                      </wps:bodyPr>
                    </wps:wsp>
                  </a:graphicData>
                </a:graphic>
              </wp:anchor>
            </w:drawing>
          </mc:Choice>
          <mc:Fallback>
            <w:pict>
              <v:shape id="_x0000_s1029" type="#_x0000_t202" style="position:absolute;margin-left:56.899999999999999pt;margin-top:1.pt;width:92.150000000000006pt;height:31.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z w:val="19"/>
                          <w:szCs w:val="19"/>
                          <w:shd w:val="clear" w:color="auto" w:fill="auto"/>
                          <w:lang w:val="cs-CZ" w:eastAsia="cs-CZ" w:bidi="cs-CZ"/>
                        </w:rPr>
                        <w:t>Ing. David Hrůza manažer prodeje</w:t>
                      </w:r>
                    </w:p>
                  </w:txbxContent>
                </v:textbox>
                <w10:wrap type="square" side="right" anchorx="page"/>
              </v:shape>
            </w:pict>
          </mc:Fallback>
        </mc:AlternateContent>
      </w:r>
      <w:r>
        <w:rPr>
          <w:b/>
          <w:bCs/>
          <w:color w:val="000000"/>
          <w:spacing w:val="0"/>
          <w:w w:val="100"/>
          <w:position w:val="0"/>
          <w:sz w:val="19"/>
          <w:szCs w:val="19"/>
          <w:shd w:val="clear" w:color="auto" w:fill="auto"/>
          <w:lang w:val="cs-CZ" w:eastAsia="cs-CZ" w:bidi="cs-CZ"/>
        </w:rPr>
        <w:t>Ing. Radovan Necid ředitel</w:t>
      </w:r>
    </w:p>
    <w:p>
      <w:pPr>
        <w:pStyle w:val="Style15"/>
        <w:keepNext/>
        <w:keepLines/>
        <w:widowControl w:val="0"/>
        <w:shd w:val="clear" w:color="auto" w:fill="auto"/>
        <w:bidi w:val="0"/>
        <w:spacing w:before="0" w:after="32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Příloha B: Cena dodávky elektřiny</w:t>
      </w:r>
      <w:bookmarkEnd w:id="14"/>
      <w:bookmarkEnd w:id="15"/>
    </w:p>
    <w:p>
      <w:pPr>
        <w:pStyle w:val="Style2"/>
        <w:keepNext w:val="0"/>
        <w:keepLines w:val="0"/>
        <w:widowControl w:val="0"/>
        <w:shd w:val="clear" w:color="auto" w:fill="auto"/>
        <w:bidi w:val="0"/>
        <w:spacing w:before="0" w:after="220" w:line="276" w:lineRule="auto"/>
        <w:ind w:left="0" w:right="0" w:firstLine="0"/>
        <w:jc w:val="left"/>
      </w:pPr>
      <w:r>
        <w:rPr>
          <w:color w:val="000000"/>
          <w:spacing w:val="0"/>
          <w:w w:val="100"/>
          <w:position w:val="0"/>
          <w:shd w:val="clear" w:color="auto" w:fill="auto"/>
          <w:lang w:val="cs-CZ" w:eastAsia="cs-CZ" w:bidi="cs-CZ"/>
        </w:rPr>
        <w:t>Obchodník se Zákazníkem sjednávají individuální cenu za dodávku elektřiny (neregulovaná složka ceny), která činí:</w:t>
      </w:r>
    </w:p>
    <w:tbl>
      <w:tblPr>
        <w:tblOverlap w:val="never"/>
        <w:jc w:val="center"/>
        <w:tblLayout w:type="fixed"/>
      </w:tblPr>
      <w:tblGrid>
        <w:gridCol w:w="3298"/>
        <w:gridCol w:w="1536"/>
        <w:gridCol w:w="4819"/>
      </w:tblGrid>
      <w:tr>
        <w:trPr>
          <w:trHeight w:val="269" w:hRule="exact"/>
        </w:trPr>
        <w:tc>
          <w:tcPr>
            <w:tcBorders>
              <w:top w:val="single" w:sz="4"/>
              <w:left w:val="single" w:sz="4"/>
            </w:tcBorders>
            <w:shd w:val="clear" w:color="auto" w:fill="D9D9D9"/>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 období Termínu dodávek od 1.</w:t>
            </w:r>
          </w:p>
        </w:tc>
        <w:tc>
          <w:tcPr>
            <w:tcBorders>
              <w:top w:val="single" w:sz="4"/>
            </w:tcBorders>
            <w:shd w:val="clear" w:color="auto" w:fill="D9D9D9"/>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2022 do 31. i:</w:t>
            </w:r>
          </w:p>
        </w:tc>
        <w:tc>
          <w:tcPr>
            <w:tcBorders>
              <w:top w:val="single" w:sz="4"/>
              <w:right w:val="single" w:sz="4"/>
            </w:tcBorders>
            <w:shd w:val="clear" w:color="auto" w:fill="D9D9D9"/>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&gt;. 2022</w:t>
            </w:r>
          </w:p>
        </w:tc>
      </w:tr>
      <w:tr>
        <w:trPr>
          <w:trHeight w:val="264" w:hRule="exact"/>
        </w:trPr>
        <w:tc>
          <w:tcPr>
            <w:gridSpan w:val="2"/>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Roční odběr elektřiny</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240 MWh</w:t>
            </w:r>
          </w:p>
        </w:tc>
      </w:tr>
      <w:tr>
        <w:trPr>
          <w:trHeight w:val="274" w:hRule="exact"/>
        </w:trPr>
        <w:tc>
          <w:tcPr>
            <w:gridSpan w:val="2"/>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elektřiny</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3 998 Kč/MWh</w:t>
            </w:r>
          </w:p>
        </w:tc>
      </w:tr>
    </w:tbl>
    <w:p>
      <w:pPr>
        <w:widowControl w:val="0"/>
        <w:spacing w:after="259" w:line="1" w:lineRule="exact"/>
      </w:pPr>
    </w:p>
    <w:p>
      <w:pPr>
        <w:pStyle w:val="Style2"/>
        <w:keepNext w:val="0"/>
        <w:keepLines w:val="0"/>
        <w:widowControl w:val="0"/>
        <w:shd w:val="clear" w:color="auto" w:fill="auto"/>
        <w:bidi w:val="0"/>
        <w:spacing w:before="0" w:after="500" w:line="276" w:lineRule="auto"/>
        <w:ind w:left="0" w:right="0" w:firstLine="0"/>
        <w:jc w:val="left"/>
      </w:pPr>
      <w:r>
        <w:rPr>
          <w:color w:val="000000"/>
          <w:spacing w:val="0"/>
          <w:w w:val="100"/>
          <w:position w:val="0"/>
          <w:shd w:val="clear" w:color="auto" w:fill="auto"/>
          <w:lang w:val="cs-CZ" w:eastAsia="cs-CZ" w:bidi="cs-CZ"/>
        </w:rPr>
        <w:t>Výše uvedená cena za dodávku elektřiny je uvedena bez Nepřímých daní a bez cen a úhrad za regulovanou složku ceny, které Obchodník k ceně za dodávku elektřiny připočte v souladu s obecně závaznými právními předpisy, platným a účinným rozhodnutím Energetického regulačního úřadu a touto Smlouvou s tím, že dohromady tvoří cenu za sdruženou službu dodávky elektřiny, kterou Zákazník uhradí Obchodníkovi dle Smlouvou stanovených podmínek.</w:t>
      </w:r>
    </w:p>
    <w:p>
      <w:pPr>
        <w:pStyle w:val="Style15"/>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Jednotková cena:</w:t>
      </w:r>
      <w:bookmarkEnd w:id="16"/>
      <w:bookmarkEnd w:id="1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 3 998,-Kč/MWh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DPH 839,58- Kč/MWh</w:t>
      </w:r>
    </w:p>
    <w:p>
      <w:pPr>
        <w:pStyle w:val="Style2"/>
        <w:keepNext w:val="0"/>
        <w:keepLines w:val="0"/>
        <w:widowControl w:val="0"/>
        <w:shd w:val="clear" w:color="auto" w:fill="auto"/>
        <w:bidi w:val="0"/>
        <w:spacing w:before="0" w:after="240" w:line="240" w:lineRule="auto"/>
        <w:ind w:left="0" w:right="0" w:firstLine="0"/>
        <w:jc w:val="left"/>
        <w:sectPr>
          <w:footnotePr>
            <w:pos w:val="pageBottom"/>
            <w:numFmt w:val="decimal"/>
            <w:numRestart w:val="continuous"/>
          </w:footnotePr>
          <w:pgSz w:w="11900" w:h="16840"/>
          <w:pgMar w:top="1138" w:left="1085" w:right="1013" w:bottom="1138" w:header="710" w:footer="3" w:gutter="0"/>
          <w:cols w:space="720"/>
          <w:noEndnote/>
          <w:rtlGutter w:val="0"/>
          <w:docGrid w:linePitch="360"/>
        </w:sectPr>
      </w:pPr>
      <w:r>
        <w:rPr>
          <w:color w:val="000000"/>
          <w:spacing w:val="0"/>
          <w:w w:val="100"/>
          <w:position w:val="0"/>
          <w:shd w:val="clear" w:color="auto" w:fill="auto"/>
          <w:lang w:val="cs-CZ" w:eastAsia="cs-CZ" w:bidi="cs-CZ"/>
        </w:rPr>
        <w:t>Cena vč. DPH 4 837,58,- Kč/MWh</w:t>
      </w:r>
    </w:p>
    <w:p>
      <w:pPr>
        <w:pStyle w:val="Style25"/>
        <w:keepNext w:val="0"/>
        <w:keepLines w:val="0"/>
        <w:widowControl w:val="0"/>
        <w:shd w:val="clear" w:color="auto" w:fill="auto"/>
        <w:bidi w:val="0"/>
        <w:spacing w:before="0" w:line="240" w:lineRule="auto"/>
        <w:ind w:left="0" w:right="0" w:firstLine="140"/>
        <w:jc w:val="both"/>
      </w:pPr>
      <w:r>
        <w:rPr>
          <w:b/>
          <w:bCs/>
          <w:color w:val="000000"/>
          <w:spacing w:val="0"/>
          <w:w w:val="100"/>
          <w:position w:val="0"/>
          <w:shd w:val="clear" w:color="auto" w:fill="auto"/>
          <w:lang w:val="cs-CZ" w:eastAsia="cs-CZ" w:bidi="cs-CZ"/>
        </w:rPr>
        <w:t>Příloha A: Seznam a specifikace odběrných míst</w:t>
      </w:r>
    </w:p>
    <w:p>
      <w:pPr>
        <w:pStyle w:val="Style25"/>
        <w:keepNext w:val="0"/>
        <w:keepLines w:val="0"/>
        <w:widowControl w:val="0"/>
        <w:shd w:val="clear" w:color="auto" w:fill="auto"/>
        <w:bidi w:val="0"/>
        <w:spacing w:before="0" w:line="259" w:lineRule="auto"/>
        <w:ind w:left="140" w:right="0"/>
        <w:jc w:val="both"/>
      </w:pPr>
      <w:r>
        <mc:AlternateContent>
          <mc:Choice Requires="wps">
            <w:drawing>
              <wp:anchor distT="0" distB="0" distL="101600" distR="101600" simplePos="0" relativeHeight="125829380" behindDoc="0" locked="0" layoutInCell="1" allowOverlap="1">
                <wp:simplePos x="0" y="0"/>
                <wp:positionH relativeFrom="page">
                  <wp:posOffset>2306320</wp:posOffset>
                </wp:positionH>
                <wp:positionV relativeFrom="paragraph">
                  <wp:posOffset>12700</wp:posOffset>
                </wp:positionV>
                <wp:extent cx="255905" cy="326390"/>
                <wp:wrapSquare wrapText="left"/>
                <wp:docPr id="5" name="Shape 5"/>
                <a:graphic xmlns:a="http://schemas.openxmlformats.org/drawingml/2006/main">
                  <a:graphicData uri="http://schemas.microsoft.com/office/word/2010/wordprocessingShape">
                    <wps:wsp>
                      <wps:cNvSpPr txBox="1"/>
                      <wps:spPr>
                        <a:xfrm>
                          <a:ext cx="255905" cy="326390"/>
                        </a:xfrm>
                        <a:prstGeom prst="rect"/>
                        <a:noFill/>
                      </wps:spPr>
                      <wps:txbx>
                        <w:txbxContent>
                          <w:p>
                            <w:pPr>
                              <w:pStyle w:val="Style25"/>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 xml:space="preserve">Jméno: email: </w:t>
                            </w:r>
                            <w:r>
                              <w:rPr>
                                <w:color w:val="000000"/>
                                <w:spacing w:val="0"/>
                                <w:w w:val="100"/>
                                <w:position w:val="0"/>
                                <w:shd w:val="clear" w:color="auto" w:fill="auto"/>
                                <w:lang w:val="cs-CZ" w:eastAsia="cs-CZ" w:bidi="cs-CZ"/>
                              </w:rPr>
                              <w:t>Tel.:</w:t>
                            </w:r>
                          </w:p>
                        </w:txbxContent>
                      </wps:txbx>
                      <wps:bodyPr lIns="0" tIns="0" rIns="0" bIns="0">
                        <a:noAutoFit/>
                      </wps:bodyPr>
                    </wps:wsp>
                  </a:graphicData>
                </a:graphic>
              </wp:anchor>
            </w:drawing>
          </mc:Choice>
          <mc:Fallback>
            <w:pict>
              <v:shape id="_x0000_s1031" type="#_x0000_t202" style="position:absolute;margin-left:181.59999999999999pt;margin-top:1.pt;width:20.149999999999999pt;height:25.699999999999999pt;z-index:-125829373;mso-wrap-distance-left:8.pt;mso-wrap-distance-right:8.pt;mso-position-horizontal-relative:page" filled="f" stroked="f">
                <v:textbox inset="0,0,0,0">
                  <w:txbxContent>
                    <w:p>
                      <w:pPr>
                        <w:pStyle w:val="Style25"/>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 xml:space="preserve">Jméno: email: </w:t>
                      </w:r>
                      <w:r>
                        <w:rPr>
                          <w:color w:val="000000"/>
                          <w:spacing w:val="0"/>
                          <w:w w:val="100"/>
                          <w:position w:val="0"/>
                          <w:shd w:val="clear" w:color="auto" w:fill="auto"/>
                          <w:lang w:val="cs-CZ" w:eastAsia="cs-CZ" w:bidi="cs-CZ"/>
                        </w:rPr>
                        <w:t>Tel.:</w:t>
                      </w:r>
                    </w:p>
                  </w:txbxContent>
                </v:textbox>
                <w10:wrap type="square" side="left" anchorx="page"/>
              </v:shape>
            </w:pict>
          </mc:Fallback>
        </mc:AlternateContent>
      </w:r>
      <w:r>
        <w:rPr>
          <w:color w:val="000000"/>
          <w:spacing w:val="0"/>
          <w:w w:val="100"/>
          <w:position w:val="0"/>
          <w:shd w:val="clear" w:color="auto" w:fill="auto"/>
          <w:lang w:val="cs-CZ" w:eastAsia="cs-CZ" w:bidi="cs-CZ"/>
        </w:rPr>
        <w:t>Kontaktní osoba Zákazníka pro sjednávání rezervované kapacity a regulaci spotřeby při vyhlášeném regulačním stupni</w:t>
      </w:r>
    </w:p>
    <w:tbl>
      <w:tblPr>
        <w:tblOverlap w:val="never"/>
        <w:jc w:val="left"/>
        <w:tblLayout w:type="fixed"/>
      </w:tblPr>
      <w:tblGrid>
        <w:gridCol w:w="2386"/>
        <w:gridCol w:w="763"/>
        <w:gridCol w:w="1613"/>
        <w:gridCol w:w="1613"/>
        <w:gridCol w:w="1613"/>
      </w:tblGrid>
      <w:tr>
        <w:trPr>
          <w:trHeight w:val="178" w:hRule="exact"/>
        </w:trPr>
        <w:tc>
          <w:tcPr>
            <w:gridSpan w:val="2"/>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EAN</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317" w:hRule="exact"/>
        </w:trPr>
        <w:tc>
          <w:tcPr>
            <w:gridSpan w:val="2"/>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Adresa odběrného místa</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586 01 Jihlava, Komenského</w:t>
            </w:r>
          </w:p>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1359</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589 01 Třešť, Dr. Richtera 38</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674 01 Třebíč, Hrotovická 1102</w:t>
            </w:r>
          </w:p>
        </w:tc>
      </w:tr>
      <w:tr>
        <w:trPr>
          <w:trHeight w:val="163" w:hRule="exact"/>
        </w:trPr>
        <w:tc>
          <w:tcPr>
            <w:gridSpan w:val="2"/>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Rezervovaný příkon [MW]</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0,085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0,03</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0,05</w:t>
            </w:r>
          </w:p>
        </w:tc>
      </w:tr>
      <w:tr>
        <w:trPr>
          <w:trHeight w:val="158" w:hRule="exact"/>
        </w:trPr>
        <w:tc>
          <w:tcPr>
            <w:gridSpan w:val="2"/>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Roční rezervovaná kapacita [MW]</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0,055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0,005</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0,036</w:t>
            </w:r>
          </w:p>
        </w:tc>
      </w:tr>
      <w:tr>
        <w:trPr>
          <w:trHeight w:val="163" w:hRule="exact"/>
        </w:trPr>
        <w:tc>
          <w:tcPr>
            <w:vMerge w:val="restart"/>
            <w:tcBorders>
              <w:top w:val="single" w:sz="4"/>
              <w:left w:val="single" w:sz="4"/>
            </w:tcBorders>
            <w:shd w:val="clear" w:color="auto" w:fill="FFFFFF"/>
            <w:vAlign w:val="center"/>
          </w:tcPr>
          <w:p>
            <w:pPr>
              <w:pStyle w:val="Style22"/>
              <w:keepNext w:val="0"/>
              <w:keepLines w:val="0"/>
              <w:framePr w:w="7987" w:h="1949" w:vSpace="168" w:wrap="notBeside" w:vAnchor="text" w:hAnchor="text" w:y="169"/>
              <w:widowControl w:val="0"/>
              <w:shd w:val="clear" w:color="auto" w:fill="auto"/>
              <w:bidi w:val="0"/>
              <w:spacing w:before="0" w:after="0" w:line="264"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Snížení odběru dle vyhlášeného regulačního stupně</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3 (%)</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58" w:hRule="exact"/>
        </w:trPr>
        <w:tc>
          <w:tcPr>
            <w:vMerge/>
            <w:tcBorders>
              <w:left w:val="single" w:sz="4"/>
            </w:tcBorders>
            <w:shd w:val="clear" w:color="auto" w:fill="FFFFFF"/>
            <w:vAlign w:val="center"/>
          </w:tcPr>
          <w:p>
            <w:pPr>
              <w:framePr w:w="7987" w:h="1949" w:vSpace="168" w:wrap="notBeside" w:vAnchor="text" w:hAnchor="text" w:y="169"/>
            </w:pP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4 (%)</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63" w:hRule="exact"/>
        </w:trPr>
        <w:tc>
          <w:tcPr>
            <w:vMerge/>
            <w:tcBorders>
              <w:left w:val="single" w:sz="4"/>
            </w:tcBorders>
            <w:shd w:val="clear" w:color="auto" w:fill="FFFFFF"/>
            <w:vAlign w:val="center"/>
          </w:tcPr>
          <w:p>
            <w:pPr>
              <w:framePr w:w="7987" w:h="1949" w:vSpace="168" w:wrap="notBeside" w:vAnchor="text" w:hAnchor="text" w:y="169"/>
            </w:pP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5 (%)</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58" w:hRule="exact"/>
        </w:trPr>
        <w:tc>
          <w:tcPr>
            <w:vMerge/>
            <w:tcBorders>
              <w:left w:val="single" w:sz="4"/>
            </w:tcBorders>
            <w:shd w:val="clear" w:color="auto" w:fill="FFFFFF"/>
            <w:vAlign w:val="center"/>
          </w:tcPr>
          <w:p>
            <w:pPr>
              <w:framePr w:w="7987" w:h="1949" w:vSpace="168" w:wrap="notBeside" w:vAnchor="text" w:hAnchor="text" w:y="169"/>
            </w:pP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6 (%)</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68" w:hRule="exact"/>
        </w:trPr>
        <w:tc>
          <w:tcPr>
            <w:vMerge/>
            <w:tcBorders>
              <w:left w:val="single" w:sz="4"/>
            </w:tcBorders>
            <w:shd w:val="clear" w:color="auto" w:fill="FFFFFF"/>
            <w:vAlign w:val="center"/>
          </w:tcPr>
          <w:p>
            <w:pPr>
              <w:framePr w:w="7987" w:h="1949" w:vSpace="168" w:wrap="notBeside" w:vAnchor="text" w:hAnchor="text" w:y="169"/>
            </w:pP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7 (%)</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c>
          <w:tcPr>
            <w:tcBorders>
              <w:top w:val="single" w:sz="4"/>
              <w:lef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c>
          <w:tcPr>
            <w:tcBorders>
              <w:top w:val="single" w:sz="4"/>
              <w:left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r>
      <w:tr>
        <w:trPr>
          <w:trHeight w:val="322" w:hRule="exact"/>
        </w:trPr>
        <w:tc>
          <w:tcPr>
            <w:gridSpan w:val="2"/>
            <w:tcBorders>
              <w:top w:val="single" w:sz="4"/>
              <w:left w:val="single" w:sz="4"/>
              <w:bottom w:val="single" w:sz="4"/>
            </w:tcBorders>
            <w:shd w:val="clear" w:color="auto" w:fill="FFFFFF"/>
            <w:vAlign w:val="top"/>
          </w:tcPr>
          <w:p>
            <w:pPr>
              <w:pStyle w:val="Style22"/>
              <w:keepNext w:val="0"/>
              <w:keepLines w:val="0"/>
              <w:framePr w:w="7987" w:h="1949" w:vSpace="168" w:wrap="notBeside" w:vAnchor="text" w:hAnchor="text" w:y="169"/>
              <w:widowControl w:val="0"/>
              <w:shd w:val="clear" w:color="auto" w:fill="auto"/>
              <w:bidi w:val="0"/>
              <w:spacing w:before="0" w:after="0" w:line="264"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Časový posun v případě bezpečnostního minima (pokud nelze snížit do 1 hodiny od vyhlášení)</w:t>
            </w:r>
          </w:p>
        </w:tc>
        <w:tc>
          <w:tcPr>
            <w:tcBorders>
              <w:top w:val="single" w:sz="4"/>
              <w:left w:val="single" w:sz="4"/>
              <w:bottom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 hod.</w:t>
            </w:r>
          </w:p>
        </w:tc>
        <w:tc>
          <w:tcPr>
            <w:tcBorders>
              <w:top w:val="single" w:sz="4"/>
              <w:left w:val="single" w:sz="4"/>
              <w:bottom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 hod.</w:t>
            </w:r>
          </w:p>
        </w:tc>
        <w:tc>
          <w:tcPr>
            <w:tcBorders>
              <w:top w:val="single" w:sz="4"/>
              <w:left w:val="single" w:sz="4"/>
              <w:bottom w:val="single" w:sz="4"/>
              <w:right w:val="single" w:sz="4"/>
            </w:tcBorders>
            <w:shd w:val="clear" w:color="auto" w:fill="FFFFFF"/>
            <w:vAlign w:val="bottom"/>
          </w:tcPr>
          <w:p>
            <w:pPr>
              <w:pStyle w:val="Style22"/>
              <w:keepNext w:val="0"/>
              <w:keepLines w:val="0"/>
              <w:framePr w:w="7987" w:h="1949"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 hod.</w:t>
            </w:r>
          </w:p>
        </w:tc>
      </w:tr>
    </w:tbl>
    <w:p>
      <w:pPr>
        <w:pStyle w:val="Style30"/>
        <w:keepNext w:val="0"/>
        <w:keepLines w:val="0"/>
        <w:framePr w:w="979" w:h="163" w:hSpace="8823" w:wrap="notBeside" w:vAnchor="text" w:hAnchor="text" w:x="315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1</w:t>
      </w:r>
    </w:p>
    <w:p>
      <w:pPr>
        <w:pStyle w:val="Style30"/>
        <w:keepNext w:val="0"/>
        <w:keepLines w:val="0"/>
        <w:framePr w:w="979" w:h="163" w:hSpace="8823" w:wrap="notBeside" w:vAnchor="text" w:hAnchor="text" w:x="476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2</w:t>
      </w:r>
    </w:p>
    <w:p>
      <w:pPr>
        <w:pStyle w:val="Style30"/>
        <w:keepNext w:val="0"/>
        <w:keepLines w:val="0"/>
        <w:framePr w:w="979" w:h="163" w:hSpace="8823" w:wrap="notBeside" w:vAnchor="text" w:hAnchor="text" w:x="637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3</w:t>
      </w:r>
    </w:p>
    <w:p>
      <w:pPr>
        <w:widowControl w:val="0"/>
        <w:spacing w:line="1" w:lineRule="exact"/>
      </w:pPr>
    </w:p>
    <w:tbl>
      <w:tblPr>
        <w:tblOverlap w:val="never"/>
        <w:jc w:val="left"/>
        <w:tblLayout w:type="fixed"/>
      </w:tblPr>
      <w:tblGrid>
        <w:gridCol w:w="2386"/>
        <w:gridCol w:w="763"/>
        <w:gridCol w:w="1613"/>
        <w:gridCol w:w="1613"/>
        <w:gridCol w:w="1613"/>
      </w:tblGrid>
      <w:tr>
        <w:trPr>
          <w:trHeight w:val="182"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Měsíční rezervovaná kapacita (MW)</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Rok</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Leden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Únor</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Březen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Duben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Květen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Červenec</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Srpen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Září</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Říjen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Listopad</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right w:val="single" w:sz="4"/>
            </w:tcBorders>
            <w:shd w:val="clear" w:color="auto" w:fill="FFFFFF"/>
            <w:vAlign w:val="top"/>
          </w:tcPr>
          <w:p>
            <w:pPr>
              <w:framePr w:w="7987" w:h="2131" w:vSpace="168" w:wrap="notBeside" w:vAnchor="text" w:hAnchor="text" w:y="169"/>
              <w:widowControl w:val="0"/>
              <w:rPr>
                <w:sz w:val="10"/>
                <w:szCs w:val="10"/>
              </w:rPr>
            </w:pPr>
          </w:p>
        </w:tc>
      </w:tr>
      <w:tr>
        <w:trPr>
          <w:trHeight w:val="182" w:hRule="exact"/>
        </w:trPr>
        <w:tc>
          <w:tcPr>
            <w:tcBorders>
              <w:top w:val="single" w:sz="4"/>
              <w:left w:val="single" w:sz="4"/>
              <w:bottom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Prosinec</w:t>
            </w:r>
          </w:p>
        </w:tc>
        <w:tc>
          <w:tcPr>
            <w:tcBorders>
              <w:top w:val="single" w:sz="4"/>
              <w:left w:val="single" w:sz="4"/>
              <w:bottom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2022</w:t>
            </w:r>
          </w:p>
        </w:tc>
        <w:tc>
          <w:tcPr>
            <w:tcBorders>
              <w:top w:val="single" w:sz="4"/>
              <w:left w:val="single" w:sz="4"/>
              <w:bottom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bottom w:val="single" w:sz="4"/>
            </w:tcBorders>
            <w:shd w:val="clear" w:color="auto" w:fill="FFFFFF"/>
            <w:vAlign w:val="top"/>
          </w:tcPr>
          <w:p>
            <w:pPr>
              <w:framePr w:w="7987" w:h="2131" w:vSpace="168" w:wrap="notBeside" w:vAnchor="text" w:hAnchor="text" w:y="169"/>
              <w:widowControl w:val="0"/>
              <w:rPr>
                <w:sz w:val="10"/>
                <w:szCs w:val="10"/>
              </w:rPr>
            </w:pPr>
          </w:p>
        </w:tc>
        <w:tc>
          <w:tcPr>
            <w:tcBorders>
              <w:top w:val="single" w:sz="4"/>
              <w:left w:val="single" w:sz="4"/>
              <w:bottom w:val="single" w:sz="4"/>
              <w:right w:val="single" w:sz="4"/>
            </w:tcBorders>
            <w:shd w:val="clear" w:color="auto" w:fill="FFFFFF"/>
            <w:vAlign w:val="top"/>
          </w:tcPr>
          <w:p>
            <w:pPr>
              <w:framePr w:w="7987" w:h="2131" w:vSpace="168" w:wrap="notBeside" w:vAnchor="text" w:hAnchor="text" w:y="169"/>
              <w:widowControl w:val="0"/>
              <w:rPr>
                <w:sz w:val="10"/>
                <w:szCs w:val="10"/>
              </w:rPr>
            </w:pPr>
          </w:p>
        </w:tc>
      </w:tr>
    </w:tbl>
    <w:p>
      <w:pPr>
        <w:pStyle w:val="Style30"/>
        <w:keepNext w:val="0"/>
        <w:keepLines w:val="0"/>
        <w:framePr w:w="979" w:h="163" w:hSpace="8823" w:wrap="notBeside" w:vAnchor="text" w:hAnchor="text" w:x="315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1</w:t>
      </w:r>
    </w:p>
    <w:p>
      <w:pPr>
        <w:pStyle w:val="Style30"/>
        <w:keepNext w:val="0"/>
        <w:keepLines w:val="0"/>
        <w:framePr w:w="979" w:h="163" w:hSpace="8823" w:wrap="notBeside" w:vAnchor="text" w:hAnchor="text" w:x="476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2</w:t>
      </w:r>
    </w:p>
    <w:p>
      <w:pPr>
        <w:pStyle w:val="Style30"/>
        <w:keepNext w:val="0"/>
        <w:keepLines w:val="0"/>
        <w:framePr w:w="979" w:h="163" w:hSpace="8823" w:wrap="notBeside" w:vAnchor="text" w:hAnchor="text" w:x="637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3</w:t>
      </w:r>
    </w:p>
    <w:p>
      <w:pPr>
        <w:widowControl w:val="0"/>
        <w:spacing w:line="1" w:lineRule="exact"/>
      </w:pPr>
    </w:p>
    <w:tbl>
      <w:tblPr>
        <w:tblOverlap w:val="never"/>
        <w:jc w:val="left"/>
        <w:tblLayout w:type="fixed"/>
      </w:tblPr>
      <w:tblGrid>
        <w:gridCol w:w="3149"/>
        <w:gridCol w:w="1613"/>
        <w:gridCol w:w="1613"/>
        <w:gridCol w:w="1613"/>
      </w:tblGrid>
      <w:tr>
        <w:trPr>
          <w:trHeight w:val="17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Množství sjednané elektrické energie (MWh)</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158" w:hRule="exact"/>
        </w:trPr>
        <w:tc>
          <w:tcPr>
            <w:tcBorders>
              <w:top w:val="single" w:sz="4"/>
              <w:lef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Leden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18</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7</w:t>
            </w: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Únor</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16</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7</w:t>
            </w:r>
          </w:p>
        </w:tc>
      </w:tr>
      <w:tr>
        <w:trPr>
          <w:trHeight w:val="158" w:hRule="exact"/>
        </w:trPr>
        <w:tc>
          <w:tcPr>
            <w:tcBorders>
              <w:top w:val="single" w:sz="4"/>
              <w:left w:val="single" w:sz="4"/>
            </w:tcBorders>
            <w:shd w:val="clear" w:color="auto" w:fill="FFFFFF"/>
            <w:vAlign w:val="top"/>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Březen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6</w:t>
            </w:r>
          </w:p>
        </w:tc>
      </w:tr>
      <w:tr>
        <w:trPr>
          <w:trHeight w:val="163" w:hRule="exact"/>
        </w:trPr>
        <w:tc>
          <w:tcPr>
            <w:tcBorders>
              <w:top w:val="single" w:sz="4"/>
              <w:lef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Duben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12</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w:t>
            </w: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Květen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12</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w:t>
            </w: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4</w:t>
            </w: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Červenec</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w:t>
            </w:r>
          </w:p>
        </w:tc>
      </w:tr>
      <w:tr>
        <w:trPr>
          <w:trHeight w:val="163" w:hRule="exact"/>
        </w:trPr>
        <w:tc>
          <w:tcPr>
            <w:tcBorders>
              <w:top w:val="single" w:sz="4"/>
              <w:lef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Srpen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4</w:t>
            </w: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Září</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11</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4</w:t>
            </w:r>
          </w:p>
        </w:tc>
      </w:tr>
      <w:tr>
        <w:trPr>
          <w:trHeight w:val="163"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Říjen</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14</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w:t>
            </w:r>
          </w:p>
        </w:tc>
      </w:tr>
      <w:tr>
        <w:trPr>
          <w:trHeight w:val="158" w:hRule="exact"/>
        </w:trPr>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Listopad</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14</w:t>
            </w:r>
          </w:p>
        </w:tc>
        <w:tc>
          <w:tcPr>
            <w:tcBorders>
              <w:top w:val="single" w:sz="4"/>
              <w:lef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w:t>
            </w:r>
          </w:p>
        </w:tc>
        <w:tc>
          <w:tcPr>
            <w:tcBorders>
              <w:top w:val="single" w:sz="4"/>
              <w:left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6</w:t>
            </w:r>
          </w:p>
        </w:tc>
      </w:tr>
      <w:tr>
        <w:trPr>
          <w:trHeight w:val="187" w:hRule="exact"/>
        </w:trPr>
        <w:tc>
          <w:tcPr>
            <w:tcBorders>
              <w:top w:val="single" w:sz="4"/>
              <w:left w:val="single" w:sz="4"/>
              <w:bottom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Prosinec</w:t>
            </w:r>
          </w:p>
        </w:tc>
        <w:tc>
          <w:tcPr>
            <w:tcBorders>
              <w:top w:val="single" w:sz="4"/>
              <w:left w:val="single" w:sz="4"/>
              <w:bottom w:val="single" w:sz="4"/>
            </w:tcBorders>
            <w:shd w:val="clear" w:color="auto" w:fill="FFFFFF"/>
            <w:vAlign w:val="center"/>
          </w:tcPr>
          <w:p>
            <w:pPr>
              <w:pStyle w:val="Style22"/>
              <w:keepNext w:val="0"/>
              <w:keepLines w:val="0"/>
              <w:framePr w:w="7987" w:h="2131" w:vSpace="168" w:wrap="notBeside" w:vAnchor="text" w:hAnchor="text" w:y="169"/>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17</w:t>
            </w:r>
          </w:p>
        </w:tc>
        <w:tc>
          <w:tcPr>
            <w:tcBorders>
              <w:top w:val="single" w:sz="4"/>
              <w:left w:val="single" w:sz="4"/>
              <w:bottom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w:t>
            </w:r>
          </w:p>
        </w:tc>
        <w:tc>
          <w:tcPr>
            <w:tcBorders>
              <w:top w:val="single" w:sz="4"/>
              <w:left w:val="single" w:sz="4"/>
              <w:bottom w:val="single" w:sz="4"/>
              <w:right w:val="single" w:sz="4"/>
            </w:tcBorders>
            <w:shd w:val="clear" w:color="auto" w:fill="FFFFFF"/>
            <w:vAlign w:val="bottom"/>
          </w:tcPr>
          <w:p>
            <w:pPr>
              <w:pStyle w:val="Style22"/>
              <w:keepNext w:val="0"/>
              <w:keepLines w:val="0"/>
              <w:framePr w:w="7987" w:h="2131" w:vSpace="168" w:wrap="notBeside" w:vAnchor="text" w:hAnchor="text" w:y="169"/>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6</w:t>
            </w:r>
          </w:p>
        </w:tc>
      </w:tr>
    </w:tbl>
    <w:p>
      <w:pPr>
        <w:pStyle w:val="Style30"/>
        <w:keepNext w:val="0"/>
        <w:keepLines w:val="0"/>
        <w:framePr w:w="979" w:h="163" w:hSpace="8823" w:wrap="notBeside" w:vAnchor="text" w:hAnchor="text" w:x="315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1</w:t>
      </w:r>
    </w:p>
    <w:p>
      <w:pPr>
        <w:pStyle w:val="Style30"/>
        <w:keepNext w:val="0"/>
        <w:keepLines w:val="0"/>
        <w:framePr w:w="979" w:h="163" w:hSpace="8823" w:wrap="notBeside" w:vAnchor="text" w:hAnchor="text" w:x="476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2</w:t>
      </w:r>
    </w:p>
    <w:p>
      <w:pPr>
        <w:pStyle w:val="Style30"/>
        <w:keepNext w:val="0"/>
        <w:keepLines w:val="0"/>
        <w:framePr w:w="979" w:h="163" w:hSpace="8823" w:wrap="notBeside" w:vAnchor="text" w:hAnchor="text" w:x="637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3</w:t>
      </w:r>
    </w:p>
    <w:p>
      <w:pPr>
        <w:widowControl w:val="0"/>
        <w:spacing w:line="1" w:lineRule="exact"/>
      </w:pPr>
    </w:p>
    <w:sectPr>
      <w:footerReference w:type="default" r:id="rId6"/>
      <w:footnotePr>
        <w:pos w:val="pageBottom"/>
        <w:numFmt w:val="decimal"/>
        <w:numRestart w:val="continuous"/>
      </w:footnotePr>
      <w:pgSz w:w="11900" w:h="16840"/>
      <w:pgMar w:top="1299" w:left="1088" w:right="1011" w:bottom="1299" w:header="871" w:footer="87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6711950</wp:posOffset>
              </wp:positionH>
              <wp:positionV relativeFrom="page">
                <wp:posOffset>10206990</wp:posOffset>
              </wp:positionV>
              <wp:extent cx="128270" cy="113030"/>
              <wp:wrapNone/>
              <wp:docPr id="1" name="Shape 1"/>
              <a:graphic xmlns:a="http://schemas.openxmlformats.org/drawingml/2006/main">
                <a:graphicData uri="http://schemas.microsoft.com/office/word/2010/wordprocessingShape">
                  <wps:wsp>
                    <wps:cNvSpPr txBox="1"/>
                    <wps:spPr>
                      <a:xfrm>
                        <a:ext cx="128270" cy="1130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8.5pt;margin-top:803.70000000000005pt;width:10.1pt;height:8.9000000000000004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singl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Nadpis #1_"/>
    <w:basedOn w:val="DefaultParagraphFont"/>
    <w:link w:val="Style5"/>
    <w:rPr>
      <w:rFonts w:ascii="Arial" w:eastAsia="Arial" w:hAnsi="Arial" w:cs="Arial"/>
      <w:b/>
      <w:bCs/>
      <w:i w:val="0"/>
      <w:iCs w:val="0"/>
      <w:smallCaps w:val="0"/>
      <w:strike w:val="0"/>
      <w:sz w:val="30"/>
      <w:szCs w:val="30"/>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 (2)_"/>
    <w:basedOn w:val="DefaultParagraphFont"/>
    <w:link w:val="Style10"/>
    <w:rPr>
      <w:rFonts w:ascii="Arial" w:eastAsia="Arial" w:hAnsi="Arial" w:cs="Arial"/>
      <w:b/>
      <w:bCs/>
      <w:i w:val="0"/>
      <w:iCs w:val="0"/>
      <w:smallCaps w:val="0"/>
      <w:strike w:val="0"/>
      <w:sz w:val="26"/>
      <w:szCs w:val="26"/>
      <w:u w:val="none"/>
    </w:rPr>
  </w:style>
  <w:style w:type="character" w:customStyle="1" w:styleId="CharStyle13">
    <w:name w:val="Základní text (4)_"/>
    <w:basedOn w:val="DefaultParagraphFont"/>
    <w:link w:val="Style12"/>
    <w:rPr>
      <w:rFonts w:ascii="Arial" w:eastAsia="Arial" w:hAnsi="Arial" w:cs="Arial"/>
      <w:b w:val="0"/>
      <w:bCs w:val="0"/>
      <w:i w:val="0"/>
      <w:iCs w:val="0"/>
      <w:smallCaps w:val="0"/>
      <w:strike w:val="0"/>
      <w:sz w:val="15"/>
      <w:szCs w:val="15"/>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19"/>
      <w:szCs w:val="19"/>
      <w:u w:val="none"/>
    </w:rPr>
  </w:style>
  <w:style w:type="character" w:customStyle="1" w:styleId="CharStyle26">
    <w:name w:val="Základní text (3)_"/>
    <w:basedOn w:val="DefaultParagraphFont"/>
    <w:link w:val="Style25"/>
    <w:rPr>
      <w:rFonts w:ascii="Calibri" w:eastAsia="Calibri" w:hAnsi="Calibri" w:cs="Calibri"/>
      <w:b w:val="0"/>
      <w:bCs w:val="0"/>
      <w:i w:val="0"/>
      <w:iCs w:val="0"/>
      <w:smallCaps w:val="0"/>
      <w:strike w:val="0"/>
      <w:sz w:val="12"/>
      <w:szCs w:val="12"/>
      <w:u w:val="none"/>
    </w:rPr>
  </w:style>
  <w:style w:type="character" w:customStyle="1" w:styleId="CharStyle31">
    <w:name w:val="Titulek tabulky_"/>
    <w:basedOn w:val="DefaultParagraphFont"/>
    <w:link w:val="Style30"/>
    <w:rPr>
      <w:rFonts w:ascii="Calibri" w:eastAsia="Calibri" w:hAnsi="Calibri" w:cs="Calibri"/>
      <w:b w:val="0"/>
      <w:bCs w:val="0"/>
      <w:i w:val="0"/>
      <w:iCs w:val="0"/>
      <w:smallCaps w:val="0"/>
      <w:strike w:val="0"/>
      <w:sz w:val="12"/>
      <w:szCs w:val="12"/>
      <w:u w:val="none"/>
    </w:rPr>
  </w:style>
  <w:style w:type="paragraph" w:customStyle="1" w:styleId="Style2">
    <w:name w:val="Základní text"/>
    <w:basedOn w:val="Normal"/>
    <w:link w:val="CharStyle3"/>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 w:type="paragraph" w:customStyle="1" w:styleId="Style5">
    <w:name w:val="Nadpis #1"/>
    <w:basedOn w:val="Normal"/>
    <w:link w:val="CharStyle6"/>
    <w:pPr>
      <w:widowControl w:val="0"/>
      <w:shd w:val="clear" w:color="auto" w:fill="FFFFFF"/>
      <w:spacing w:before="1980" w:after="2420"/>
      <w:jc w:val="center"/>
      <w:outlineLvl w:val="0"/>
    </w:pPr>
    <w:rPr>
      <w:rFonts w:ascii="Arial" w:eastAsia="Arial" w:hAnsi="Arial" w:cs="Arial"/>
      <w:b/>
      <w:bCs/>
      <w:i w:val="0"/>
      <w:iCs w:val="0"/>
      <w:smallCaps w:val="0"/>
      <w:strike w:val="0"/>
      <w:sz w:val="30"/>
      <w:szCs w:val="30"/>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2)"/>
    <w:basedOn w:val="Normal"/>
    <w:link w:val="CharStyle11"/>
    <w:pPr>
      <w:widowControl w:val="0"/>
      <w:shd w:val="clear" w:color="auto" w:fill="FFFFFF"/>
      <w:spacing w:after="560" w:line="269" w:lineRule="auto"/>
      <w:jc w:val="center"/>
    </w:pPr>
    <w:rPr>
      <w:rFonts w:ascii="Arial" w:eastAsia="Arial" w:hAnsi="Arial" w:cs="Arial"/>
      <w:b/>
      <w:bCs/>
      <w:i w:val="0"/>
      <w:iCs w:val="0"/>
      <w:smallCaps w:val="0"/>
      <w:strike w:val="0"/>
      <w:sz w:val="26"/>
      <w:szCs w:val="26"/>
      <w:u w:val="none"/>
    </w:rPr>
  </w:style>
  <w:style w:type="paragraph" w:customStyle="1" w:styleId="Style12">
    <w:name w:val="Základní text (4)"/>
    <w:basedOn w:val="Normal"/>
    <w:link w:val="CharStyle1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5">
    <w:name w:val="Nadpis #2"/>
    <w:basedOn w:val="Normal"/>
    <w:link w:val="CharStyle16"/>
    <w:pPr>
      <w:widowControl w:val="0"/>
      <w:shd w:val="clear" w:color="auto" w:fill="FFFFFF"/>
      <w:spacing w:after="100" w:line="322" w:lineRule="auto"/>
      <w:jc w:val="center"/>
      <w:outlineLvl w:val="1"/>
    </w:pPr>
    <w:rPr>
      <w:rFonts w:ascii="Arial" w:eastAsia="Arial" w:hAnsi="Arial" w:cs="Arial"/>
      <w:b/>
      <w:bCs/>
      <w:i w:val="0"/>
      <w:iCs w:val="0"/>
      <w:smallCaps w:val="0"/>
      <w:strike w:val="0"/>
      <w:sz w:val="19"/>
      <w:szCs w:val="19"/>
      <w:u w:val="none"/>
    </w:rPr>
  </w:style>
  <w:style w:type="paragraph" w:customStyle="1" w:styleId="Style22">
    <w:name w:val="Jiné"/>
    <w:basedOn w:val="Normal"/>
    <w:link w:val="CharStyle23"/>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 w:type="paragraph" w:customStyle="1" w:styleId="Style25">
    <w:name w:val="Základní text (3)"/>
    <w:basedOn w:val="Normal"/>
    <w:link w:val="CharStyle26"/>
    <w:pPr>
      <w:widowControl w:val="0"/>
      <w:shd w:val="clear" w:color="auto" w:fill="FFFFFF"/>
      <w:spacing w:after="160" w:line="257" w:lineRule="auto"/>
      <w:ind w:left="70" w:firstLine="20"/>
    </w:pPr>
    <w:rPr>
      <w:rFonts w:ascii="Calibri" w:eastAsia="Calibri" w:hAnsi="Calibri" w:cs="Calibri"/>
      <w:b w:val="0"/>
      <w:bCs w:val="0"/>
      <w:i w:val="0"/>
      <w:iCs w:val="0"/>
      <w:smallCaps w:val="0"/>
      <w:strike w:val="0"/>
      <w:sz w:val="12"/>
      <w:szCs w:val="12"/>
      <w:u w:val="none"/>
    </w:rPr>
  </w:style>
  <w:style w:type="paragraph" w:customStyle="1" w:styleId="Style30">
    <w:name w:val="Titulek tabulky"/>
    <w:basedOn w:val="Normal"/>
    <w:link w:val="CharStyle31"/>
    <w:pPr>
      <w:widowControl w:val="0"/>
      <w:shd w:val="clear" w:color="auto" w:fill="FFFFFF"/>
    </w:pPr>
    <w:rPr>
      <w:rFonts w:ascii="Calibri" w:eastAsia="Calibri" w:hAnsi="Calibri" w:cs="Calibri"/>
      <w:b w:val="0"/>
      <w:bCs w:val="0"/>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__________________________________________________</dc:title>
  <dc:subject/>
  <dc:creator>Hubka Petr Ing.</dc:creator>
  <cp:keywords/>
</cp:coreProperties>
</file>