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58" w:rsidRPr="00165A2F" w:rsidRDefault="00291863" w:rsidP="00291863">
      <w:pPr>
        <w:pStyle w:val="Normln1"/>
        <w:spacing w:before="120" w:after="120"/>
        <w:ind w:right="-12"/>
        <w:jc w:val="right"/>
        <w:rPr>
          <w:rFonts w:ascii="Times" w:eastAsia="Times" w:hAnsi="Times" w:cs="Times"/>
          <w:sz w:val="22"/>
          <w:szCs w:val="22"/>
        </w:rPr>
      </w:pPr>
      <w:r w:rsidRPr="00165A2F">
        <w:rPr>
          <w:rFonts w:ascii="Calibri" w:hAnsi="Calibri" w:cs="Calibri"/>
          <w:sz w:val="22"/>
          <w:szCs w:val="22"/>
          <w:highlight w:val="yellow"/>
        </w:rPr>
        <w:t>NFA0069/2020</w:t>
      </w:r>
    </w:p>
    <w:p w:rsidR="00291863" w:rsidRDefault="00291863" w:rsidP="00026058">
      <w:pPr>
        <w:pStyle w:val="Normln1"/>
        <w:spacing w:before="120" w:after="120"/>
        <w:ind w:right="-12"/>
        <w:jc w:val="center"/>
        <w:rPr>
          <w:rFonts w:ascii="Times" w:eastAsia="Times" w:hAnsi="Times" w:cs="Times"/>
          <w:sz w:val="22"/>
          <w:szCs w:val="22"/>
        </w:rPr>
      </w:pPr>
    </w:p>
    <w:p w:rsidR="00291863" w:rsidRDefault="00291863" w:rsidP="00026058">
      <w:pPr>
        <w:pStyle w:val="Normln1"/>
        <w:spacing w:before="120" w:after="120"/>
        <w:ind w:right="-12"/>
        <w:jc w:val="center"/>
        <w:rPr>
          <w:rFonts w:ascii="Times" w:eastAsia="Times" w:hAnsi="Times" w:cs="Times"/>
          <w:sz w:val="22"/>
          <w:szCs w:val="22"/>
        </w:rPr>
      </w:pPr>
    </w:p>
    <w:p w:rsidR="00026058" w:rsidRDefault="00026058" w:rsidP="00026058">
      <w:pPr>
        <w:pStyle w:val="Normln1"/>
        <w:spacing w:before="120" w:after="120"/>
        <w:jc w:val="center"/>
        <w:rPr>
          <w:sz w:val="22"/>
          <w:szCs w:val="22"/>
        </w:rPr>
      </w:pPr>
      <w:r>
        <w:rPr>
          <w:b/>
          <w:sz w:val="22"/>
          <w:szCs w:val="22"/>
        </w:rPr>
        <w:t>RÁMCOVÁ SMLOUVA O UDĚLENÍ SOUHLASU S UŽITÍM</w:t>
      </w:r>
    </w:p>
    <w:p w:rsidR="00026058" w:rsidRDefault="00026058" w:rsidP="00026058">
      <w:pPr>
        <w:pStyle w:val="Normln1"/>
        <w:spacing w:before="120" w:after="120"/>
        <w:jc w:val="both"/>
        <w:rPr>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I.</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Smluvní strany</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rPr>
          <w:sz w:val="22"/>
          <w:szCs w:val="22"/>
        </w:rPr>
      </w:pPr>
      <w:r>
        <w:rPr>
          <w:b/>
          <w:sz w:val="22"/>
          <w:szCs w:val="22"/>
        </w:rPr>
        <w:t>Národní filmový archiv</w:t>
      </w:r>
      <w:r>
        <w:rPr>
          <w:sz w:val="22"/>
          <w:szCs w:val="22"/>
        </w:rPr>
        <w:t>, příspěvková organizace</w:t>
      </w:r>
    </w:p>
    <w:p w:rsidR="00026058" w:rsidRDefault="00026058" w:rsidP="00026058">
      <w:pPr>
        <w:pStyle w:val="Normln1"/>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Č.ú.: 83337011/0710</w:t>
      </w:r>
      <w:r>
        <w:rPr>
          <w:sz w:val="22"/>
          <w:szCs w:val="22"/>
        </w:rPr>
        <w:br/>
        <w:t xml:space="preserve">zastoupený </w:t>
      </w:r>
      <w:r w:rsidR="00371C9E">
        <w:rPr>
          <w:sz w:val="22"/>
          <w:szCs w:val="22"/>
        </w:rPr>
        <w:t>xxx</w:t>
      </w:r>
      <w:r>
        <w:rPr>
          <w:sz w:val="22"/>
          <w:szCs w:val="22"/>
        </w:rPr>
        <w:br/>
        <w:t xml:space="preserve">(dále jen </w:t>
      </w:r>
      <w:r>
        <w:rPr>
          <w:b/>
          <w:sz w:val="22"/>
          <w:szCs w:val="22"/>
        </w:rPr>
        <w:t>„NFA</w:t>
      </w:r>
      <w:r>
        <w:rPr>
          <w:sz w:val="22"/>
          <w:szCs w:val="22"/>
        </w:rPr>
        <w:t>“)</w:t>
      </w:r>
    </w:p>
    <w:p w:rsidR="00026058" w:rsidRDefault="00026058" w:rsidP="00026058">
      <w:pPr>
        <w:pStyle w:val="Normln1"/>
        <w:pBdr>
          <w:top w:val="nil"/>
          <w:left w:val="nil"/>
          <w:bottom w:val="nil"/>
          <w:right w:val="nil"/>
          <w:between w:val="nil"/>
        </w:pBdr>
        <w:rPr>
          <w:color w:val="000000"/>
          <w:sz w:val="22"/>
          <w:szCs w:val="22"/>
        </w:rPr>
      </w:pPr>
    </w:p>
    <w:p w:rsidR="00026058" w:rsidRDefault="00026058" w:rsidP="00026058">
      <w:pPr>
        <w:pStyle w:val="Normln1"/>
        <w:pBdr>
          <w:top w:val="nil"/>
          <w:left w:val="nil"/>
          <w:bottom w:val="nil"/>
          <w:right w:val="nil"/>
          <w:between w:val="nil"/>
        </w:pBdr>
        <w:rPr>
          <w:color w:val="000000"/>
          <w:sz w:val="22"/>
          <w:szCs w:val="22"/>
        </w:rPr>
      </w:pPr>
      <w:r>
        <w:rPr>
          <w:b/>
          <w:color w:val="000000"/>
          <w:sz w:val="22"/>
          <w:szCs w:val="22"/>
        </w:rPr>
        <w:t>a</w:t>
      </w:r>
    </w:p>
    <w:p w:rsidR="00026058" w:rsidRDefault="00026058" w:rsidP="00026058">
      <w:pPr>
        <w:pStyle w:val="Normln1"/>
        <w:pBdr>
          <w:top w:val="nil"/>
          <w:left w:val="nil"/>
          <w:bottom w:val="nil"/>
          <w:right w:val="nil"/>
          <w:between w:val="nil"/>
        </w:pBdr>
        <w:rPr>
          <w:color w:val="000000"/>
          <w:sz w:val="22"/>
          <w:szCs w:val="22"/>
        </w:rPr>
      </w:pPr>
    </w:p>
    <w:p w:rsidR="00026058" w:rsidRDefault="00026058" w:rsidP="00026058">
      <w:pPr>
        <w:pStyle w:val="Normln1"/>
        <w:pBdr>
          <w:top w:val="nil"/>
          <w:left w:val="nil"/>
          <w:bottom w:val="nil"/>
          <w:right w:val="nil"/>
          <w:between w:val="nil"/>
        </w:pBdr>
        <w:rPr>
          <w:b/>
          <w:color w:val="000000"/>
          <w:sz w:val="22"/>
          <w:szCs w:val="22"/>
        </w:rPr>
      </w:pPr>
      <w:r w:rsidRPr="00995D9C">
        <w:rPr>
          <w:b/>
          <w:color w:val="000000"/>
          <w:sz w:val="22"/>
          <w:szCs w:val="22"/>
        </w:rPr>
        <w:t xml:space="preserve">Muzeum paměti XX. století, z.ú. </w:t>
      </w:r>
    </w:p>
    <w:p w:rsidR="00026058" w:rsidRDefault="00026058" w:rsidP="00026058">
      <w:pPr>
        <w:pStyle w:val="Normln1"/>
        <w:pBdr>
          <w:top w:val="nil"/>
          <w:left w:val="nil"/>
          <w:bottom w:val="nil"/>
          <w:right w:val="nil"/>
          <w:between w:val="nil"/>
        </w:pBdr>
        <w:rPr>
          <w:color w:val="000000"/>
          <w:sz w:val="22"/>
          <w:szCs w:val="22"/>
        </w:rPr>
      </w:pPr>
      <w:r>
        <w:rPr>
          <w:color w:val="000000"/>
          <w:sz w:val="22"/>
          <w:szCs w:val="22"/>
        </w:rPr>
        <w:t xml:space="preserve">se sídlem </w:t>
      </w:r>
      <w:r w:rsidRPr="00995D9C">
        <w:rPr>
          <w:color w:val="000000"/>
          <w:sz w:val="22"/>
          <w:szCs w:val="22"/>
        </w:rPr>
        <w:t>Mariánské náměstí 2/2, Staré Město, 110 00 Praha</w:t>
      </w:r>
    </w:p>
    <w:p w:rsidR="00026058" w:rsidRDefault="00026058" w:rsidP="00026058">
      <w:pPr>
        <w:pStyle w:val="Normln1"/>
        <w:jc w:val="both"/>
        <w:rPr>
          <w:sz w:val="22"/>
          <w:szCs w:val="22"/>
        </w:rPr>
      </w:pPr>
      <w:r>
        <w:rPr>
          <w:sz w:val="22"/>
          <w:szCs w:val="22"/>
        </w:rPr>
        <w:t xml:space="preserve">IČ: </w:t>
      </w:r>
      <w:r w:rsidRPr="00995D9C">
        <w:rPr>
          <w:sz w:val="22"/>
          <w:szCs w:val="22"/>
        </w:rPr>
        <w:t>08694508</w:t>
      </w:r>
    </w:p>
    <w:p w:rsidR="00026058" w:rsidRDefault="00026058" w:rsidP="00026058">
      <w:pPr>
        <w:pStyle w:val="Normln1"/>
        <w:tabs>
          <w:tab w:val="left" w:pos="-720"/>
        </w:tabs>
        <w:jc w:val="both"/>
        <w:rPr>
          <w:sz w:val="22"/>
          <w:szCs w:val="22"/>
        </w:rPr>
      </w:pPr>
      <w:r>
        <w:rPr>
          <w:sz w:val="22"/>
          <w:szCs w:val="22"/>
        </w:rPr>
        <w:t xml:space="preserve">zastoupená </w:t>
      </w:r>
      <w:r w:rsidR="00371C9E">
        <w:rPr>
          <w:sz w:val="22"/>
          <w:szCs w:val="22"/>
        </w:rPr>
        <w:t>xxx</w:t>
      </w:r>
    </w:p>
    <w:p w:rsidR="00026058" w:rsidRDefault="00026058" w:rsidP="00026058">
      <w:pPr>
        <w:pStyle w:val="Normln1"/>
        <w:rPr>
          <w:sz w:val="22"/>
          <w:szCs w:val="22"/>
        </w:rPr>
      </w:pPr>
      <w:r>
        <w:rPr>
          <w:sz w:val="22"/>
          <w:szCs w:val="22"/>
        </w:rPr>
        <w:t>zapsaná v  rejstříku ústavů vedeném Městským soudem v Praze pod sp. zn. U 837</w:t>
      </w:r>
    </w:p>
    <w:p w:rsidR="00026058" w:rsidRDefault="00026058" w:rsidP="00026058">
      <w:pPr>
        <w:pStyle w:val="Normln1"/>
        <w:rPr>
          <w:color w:val="000000"/>
          <w:sz w:val="22"/>
          <w:szCs w:val="22"/>
        </w:rPr>
      </w:pPr>
      <w:r>
        <w:rPr>
          <w:color w:val="000000"/>
          <w:sz w:val="22"/>
          <w:szCs w:val="22"/>
        </w:rPr>
        <w:t xml:space="preserve"> (dále jen </w:t>
      </w:r>
      <w:r>
        <w:rPr>
          <w:b/>
          <w:color w:val="000000"/>
          <w:sz w:val="22"/>
          <w:szCs w:val="22"/>
        </w:rPr>
        <w:t>„Nabyvatel“</w:t>
      </w:r>
      <w:r>
        <w:rPr>
          <w:color w:val="000000"/>
          <w:sz w:val="22"/>
          <w:szCs w:val="22"/>
        </w:rPr>
        <w:t>)</w:t>
      </w:r>
    </w:p>
    <w:p w:rsidR="00026058" w:rsidRDefault="00026058" w:rsidP="00026058">
      <w:pPr>
        <w:pStyle w:val="Normln1"/>
        <w:rPr>
          <w:sz w:val="22"/>
          <w:szCs w:val="22"/>
        </w:rPr>
      </w:pPr>
    </w:p>
    <w:p w:rsidR="00026058" w:rsidRDefault="00026058" w:rsidP="00026058">
      <w:pPr>
        <w:pStyle w:val="Normln1"/>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a/nebo zák. č. 496/2012 Sb., o audiovizuálních dílech a podpoře kinematografie a o změně některých zákonů (zákon o audiovizi), tuto</w:t>
      </w:r>
    </w:p>
    <w:p w:rsidR="00026058" w:rsidRDefault="00026058" w:rsidP="00026058">
      <w:pPr>
        <w:pStyle w:val="Normln1"/>
        <w:rPr>
          <w:sz w:val="22"/>
          <w:szCs w:val="22"/>
        </w:rPr>
      </w:pPr>
    </w:p>
    <w:p w:rsidR="00026058" w:rsidRDefault="00026058" w:rsidP="00026058">
      <w:pPr>
        <w:pStyle w:val="Normln1"/>
        <w:jc w:val="center"/>
        <w:rPr>
          <w:sz w:val="22"/>
          <w:szCs w:val="22"/>
        </w:rPr>
      </w:pPr>
    </w:p>
    <w:p w:rsidR="00026058" w:rsidRDefault="00026058" w:rsidP="00026058">
      <w:pPr>
        <w:pStyle w:val="Normln1"/>
        <w:jc w:val="center"/>
        <w:rPr>
          <w:sz w:val="22"/>
          <w:szCs w:val="22"/>
        </w:rPr>
      </w:pPr>
      <w:r>
        <w:rPr>
          <w:b/>
          <w:sz w:val="22"/>
          <w:szCs w:val="22"/>
        </w:rPr>
        <w:t>Rámcovou smlouvu o udělení souhlasu s užitím</w:t>
      </w:r>
    </w:p>
    <w:p w:rsidR="00026058" w:rsidRDefault="00026058" w:rsidP="00026058">
      <w:pPr>
        <w:pStyle w:val="Normln1"/>
        <w:jc w:val="center"/>
        <w:rPr>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II.</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Smluvní strany; Předmět smlouvy; ZOZ</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Pr>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hospodaření k zvukově obrazovým záznamům českých audiovizuálních děl vyrobených státem v době od 28. srpna 1945 do 31. prosince 1991, u nichž již uplynula doba ochrany práv výrobce zvukově obrazového záznamu, a jejichž užití je možné pouze na podkladě jejich originálních nosičů a/nebo s písemným souhlasem NFA. NFA rovněž setrvale činí značné investice související s odbornou správou a údržbou zvukově obrazových záznamů, resp. jejich hmotných nosičů. NFA má zájem udělit touto smlouvou za dále uvedených podmínek Nabyvateli souhlas s užitím níže specifikovaného zvukově obrazového záznamu.</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Pr>
          <w:color w:val="000000"/>
          <w:sz w:val="22"/>
          <w:szCs w:val="22"/>
        </w:rPr>
        <w:lastRenderedPageBreak/>
        <w:t>Nabyvatel je provozovatelem muzejní instituce s názvem „Muzeum paměti XX. století“ (dále jen „</w:t>
      </w:r>
      <w:r w:rsidRPr="00FE7AEA">
        <w:rPr>
          <w:b/>
          <w:bCs/>
          <w:color w:val="000000"/>
          <w:sz w:val="22"/>
          <w:szCs w:val="22"/>
        </w:rPr>
        <w:t>Muzeum</w:t>
      </w:r>
      <w:r>
        <w:rPr>
          <w:color w:val="000000"/>
          <w:sz w:val="22"/>
          <w:szCs w:val="22"/>
        </w:rPr>
        <w:t>“).Nabyvatel má zájem získat touto smlouvou za dále uvedených podmínek od NFA souhlas s užitím zvukově obrazových záznamů, které budou specifikovány na základě objednávek učiněných na základě této smlouvy, a to pro účely prezentace těchto zvukově obrazových záznamů v rámci expozicí realizovaných v Muzeu.</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Pr>
          <w:color w:val="000000"/>
          <w:sz w:val="22"/>
          <w:szCs w:val="22"/>
        </w:rPr>
        <w:t xml:space="preserve">Smluvní strany se dohodly, že tato smlouva má povahu smlouvy rámcové. Konkrétní plnění obou stran bude upřesňováno dílčími smlouvami, které budou uzavírány formou e-mailové komunikace mezi pověřenými zástupci smluvních stran, jmenovitě za NFA paní </w:t>
      </w:r>
      <w:r w:rsidR="00371C9E">
        <w:rPr>
          <w:color w:val="000000"/>
          <w:sz w:val="22"/>
          <w:szCs w:val="22"/>
        </w:rPr>
        <w:t>xxx</w:t>
      </w:r>
      <w:r>
        <w:rPr>
          <w:color w:val="000000"/>
          <w:sz w:val="22"/>
          <w:szCs w:val="22"/>
        </w:rPr>
        <w:t xml:space="preserve"> a za Nabyvatele </w:t>
      </w:r>
      <w:r w:rsidR="00371C9E">
        <w:rPr>
          <w:color w:val="000000"/>
          <w:sz w:val="22"/>
          <w:szCs w:val="22"/>
        </w:rPr>
        <w:t>xxx</w:t>
      </w:r>
      <w:r w:rsidRPr="005F0AF5">
        <w:rPr>
          <w:color w:val="000000"/>
          <w:sz w:val="22"/>
          <w:szCs w:val="22"/>
        </w:rPr>
        <w:t>.</w:t>
      </w:r>
      <w:r>
        <w:rPr>
          <w:color w:val="000000"/>
          <w:sz w:val="22"/>
          <w:szCs w:val="22"/>
        </w:rPr>
        <w:t>Uzavření dílčí smlouvy bude vždy iniciováno objednávkou zaslanou zástupcem Nabyvatele zástupci NFA, v níž budou zejména specifikovány zvukově obrazové záznamy, o jejichž užití má Nabyvatel zájem, a dále časový rozsah (s přesností na vteřiny) užití každé ukázky z těchto záznamů; dílčí smlouva se považuje za uzavřenou a oboustranně závaznou okamžikem, kdy objednávku Nabyvatele potvrdí výše sjednanou formou zástupce NFA(dále jen „</w:t>
      </w:r>
      <w:r w:rsidRPr="001B3A5E">
        <w:rPr>
          <w:b/>
          <w:bCs/>
          <w:color w:val="000000"/>
          <w:sz w:val="22"/>
          <w:szCs w:val="22"/>
        </w:rPr>
        <w:t>dílčí smlouva</w:t>
      </w:r>
      <w:r>
        <w:rPr>
          <w:color w:val="000000"/>
          <w:sz w:val="22"/>
          <w:szCs w:val="22"/>
        </w:rPr>
        <w:t>“).</w:t>
      </w:r>
    </w:p>
    <w:p w:rsidR="00026058" w:rsidRDefault="00026058" w:rsidP="00026058">
      <w:pPr>
        <w:pStyle w:val="Odstavecseseznamem"/>
        <w:ind w:left="0" w:hanging="2"/>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Pr>
          <w:color w:val="000000"/>
          <w:sz w:val="22"/>
          <w:szCs w:val="22"/>
        </w:rPr>
        <w:t>Předmětem této smlouvy tedy je stanovení rámcových podmínek, za kterých NFA  poskytne Nabyvateli oprávnění užít určité zvukově obrazové záznamy, a současně rámcových podmínek, za kterých Nabyvatel zaplatí NFA odpovídající odměnu.</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sidRPr="00995D9C">
        <w:rPr>
          <w:color w:val="000000"/>
          <w:sz w:val="22"/>
          <w:szCs w:val="22"/>
        </w:rPr>
        <w:t xml:space="preserve">Zvukově obrazovým záznamem se pro účely této smlouvy rozumí zvukově obrazový </w:t>
      </w:r>
      <w:r>
        <w:rPr>
          <w:color w:val="000000"/>
          <w:sz w:val="22"/>
          <w:szCs w:val="22"/>
        </w:rPr>
        <w:t>záznam</w:t>
      </w:r>
      <w:r w:rsidRPr="00995D9C">
        <w:rPr>
          <w:color w:val="000000"/>
          <w:sz w:val="22"/>
          <w:szCs w:val="22"/>
        </w:rPr>
        <w:t>, kter</w:t>
      </w:r>
      <w:r>
        <w:rPr>
          <w:color w:val="000000"/>
          <w:sz w:val="22"/>
          <w:szCs w:val="22"/>
        </w:rPr>
        <w:t xml:space="preserve">ý bude specifikován v dílčí smlouvě uzavřené smluvními stranami na základě této rámcové smlouvy </w:t>
      </w:r>
      <w:r w:rsidRPr="00995D9C">
        <w:rPr>
          <w:color w:val="000000"/>
          <w:sz w:val="22"/>
          <w:szCs w:val="22"/>
        </w:rPr>
        <w:t>(</w:t>
      </w:r>
      <w:r>
        <w:rPr>
          <w:color w:val="000000"/>
          <w:sz w:val="22"/>
          <w:szCs w:val="22"/>
        </w:rPr>
        <w:t xml:space="preserve">výše a </w:t>
      </w:r>
      <w:r w:rsidRPr="00995D9C">
        <w:rPr>
          <w:color w:val="000000"/>
          <w:sz w:val="22"/>
          <w:szCs w:val="22"/>
        </w:rPr>
        <w:t>dále jen společně jako „</w:t>
      </w:r>
      <w:r w:rsidRPr="00995D9C">
        <w:rPr>
          <w:b/>
          <w:color w:val="000000"/>
          <w:sz w:val="22"/>
          <w:szCs w:val="22"/>
        </w:rPr>
        <w:t>ZOZ</w:t>
      </w:r>
      <w:r w:rsidRPr="00995D9C">
        <w:rPr>
          <w:color w:val="000000"/>
          <w:sz w:val="22"/>
          <w:szCs w:val="22"/>
        </w:rPr>
        <w:t>“ nebo „</w:t>
      </w:r>
      <w:r w:rsidRPr="00995D9C">
        <w:rPr>
          <w:b/>
          <w:color w:val="000000"/>
          <w:sz w:val="22"/>
          <w:szCs w:val="22"/>
        </w:rPr>
        <w:t>zvukově obrazový záznam</w:t>
      </w:r>
      <w:r w:rsidRPr="00995D9C">
        <w:rPr>
          <w:color w:val="000000"/>
          <w:sz w:val="22"/>
          <w:szCs w:val="22"/>
        </w:rPr>
        <w:t>“)</w:t>
      </w:r>
      <w:r>
        <w:rPr>
          <w:color w:val="000000"/>
          <w:sz w:val="22"/>
          <w:szCs w:val="22"/>
        </w:rPr>
        <w:t>.</w:t>
      </w:r>
    </w:p>
    <w:p w:rsidR="00026058" w:rsidRDefault="00026058" w:rsidP="00026058">
      <w:pPr>
        <w:pStyle w:val="Odstavecseseznamem"/>
        <w:ind w:left="0" w:hanging="2"/>
        <w:rPr>
          <w:color w:val="000000"/>
          <w:sz w:val="22"/>
          <w:szCs w:val="22"/>
        </w:rPr>
      </w:pPr>
    </w:p>
    <w:p w:rsidR="00026058" w:rsidRDefault="00026058" w:rsidP="00026058">
      <w:pPr>
        <w:pStyle w:val="Normln1"/>
        <w:numPr>
          <w:ilvl w:val="0"/>
          <w:numId w:val="7"/>
        </w:numPr>
        <w:pBdr>
          <w:top w:val="nil"/>
          <w:left w:val="nil"/>
          <w:bottom w:val="nil"/>
          <w:right w:val="nil"/>
          <w:between w:val="nil"/>
        </w:pBdr>
        <w:jc w:val="both"/>
        <w:rPr>
          <w:color w:val="000000"/>
          <w:sz w:val="22"/>
          <w:szCs w:val="22"/>
        </w:rPr>
      </w:pPr>
      <w:r>
        <w:rPr>
          <w:color w:val="000000"/>
          <w:sz w:val="22"/>
          <w:szCs w:val="22"/>
        </w:rPr>
        <w:t>Souhlas s užitím ZOZ, který je poskytován touto smlouvou, ať již jde o souhlas s užitím ZOZ českých audiovizuálních děl vyrobených státem v době od 28. srpna 1945 do 31. prosince 1991, u nichž již uplynula doba ochrany práv výrobce zvukově obrazového záznamu (tedy souhlas dle ust. § 8 odst. 4 zák. č. 496/2012 Sb., zákon o audiovizi) nebo o souhlas s užitím jiných ZOZ, k nimž NFA vykonává práva ze soutěžně právního titulu (tedy souhlas dle ust. § 2976 a násl. zák. č. 89/2012 Sb., občanský zákoník), je dále pro účely této smlouvy jednotně nazýván „</w:t>
      </w:r>
      <w:r>
        <w:rPr>
          <w:b/>
          <w:color w:val="000000"/>
          <w:sz w:val="22"/>
          <w:szCs w:val="22"/>
        </w:rPr>
        <w:t>licence</w:t>
      </w:r>
      <w:r>
        <w:rPr>
          <w:color w:val="000000"/>
          <w:sz w:val="22"/>
          <w:szCs w:val="22"/>
        </w:rPr>
        <w:t>“.</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 xml:space="preserve">III. </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Licence</w:t>
      </w:r>
    </w:p>
    <w:p w:rsidR="00026058" w:rsidRDefault="00026058" w:rsidP="00026058">
      <w:pPr>
        <w:pStyle w:val="Normln1"/>
        <w:pBdr>
          <w:top w:val="nil"/>
          <w:left w:val="nil"/>
          <w:bottom w:val="nil"/>
          <w:right w:val="nil"/>
          <w:between w:val="nil"/>
        </w:pBdr>
        <w:rPr>
          <w:color w:val="000000"/>
          <w:sz w:val="22"/>
          <w:szCs w:val="22"/>
        </w:rPr>
      </w:pPr>
    </w:p>
    <w:p w:rsidR="00026058" w:rsidRDefault="00026058" w:rsidP="00026058">
      <w:pPr>
        <w:pStyle w:val="Normln1"/>
        <w:numPr>
          <w:ilvl w:val="0"/>
          <w:numId w:val="1"/>
        </w:numPr>
        <w:pBdr>
          <w:top w:val="nil"/>
          <w:left w:val="nil"/>
          <w:bottom w:val="nil"/>
          <w:right w:val="nil"/>
          <w:between w:val="nil"/>
        </w:pBdr>
        <w:jc w:val="both"/>
        <w:rPr>
          <w:color w:val="000000"/>
          <w:sz w:val="22"/>
          <w:szCs w:val="22"/>
        </w:rPr>
      </w:pPr>
      <w:r>
        <w:rPr>
          <w:color w:val="000000"/>
          <w:sz w:val="22"/>
          <w:szCs w:val="22"/>
        </w:rPr>
        <w:t xml:space="preserve">NFA touto smlouvou poskytuje Nabyvateli licenci, tj. oprávnění k užití ZOZ (dle specifikace v dílčích smlouvách)v níže uvedeném rozsahu: </w:t>
      </w:r>
    </w:p>
    <w:p w:rsidR="00026058" w:rsidRDefault="00026058" w:rsidP="00026058">
      <w:pPr>
        <w:pStyle w:val="Normln1"/>
        <w:numPr>
          <w:ilvl w:val="0"/>
          <w:numId w:val="2"/>
        </w:numPr>
        <w:jc w:val="both"/>
        <w:rPr>
          <w:sz w:val="22"/>
          <w:szCs w:val="22"/>
        </w:rPr>
      </w:pPr>
      <w:r>
        <w:rPr>
          <w:sz w:val="22"/>
          <w:szCs w:val="22"/>
        </w:rPr>
        <w:t>k těmto způsobům užití:</w:t>
      </w:r>
    </w:p>
    <w:p w:rsidR="00026058" w:rsidRPr="00E606E2" w:rsidRDefault="00026058" w:rsidP="00026058">
      <w:pPr>
        <w:pStyle w:val="Normln1"/>
        <w:numPr>
          <w:ilvl w:val="1"/>
          <w:numId w:val="2"/>
        </w:numPr>
        <w:jc w:val="both"/>
        <w:rPr>
          <w:sz w:val="22"/>
          <w:szCs w:val="22"/>
        </w:rPr>
      </w:pPr>
      <w:r>
        <w:rPr>
          <w:sz w:val="22"/>
          <w:szCs w:val="22"/>
        </w:rPr>
        <w:t>Nabyvatel je oprávněn použít pouze ty části ZOZ, které budou specifikovány v dílčí smlouvě;</w:t>
      </w:r>
    </w:p>
    <w:p w:rsidR="00026058" w:rsidRPr="001B3A5E" w:rsidRDefault="00026058" w:rsidP="00026058">
      <w:pPr>
        <w:pStyle w:val="Normln1"/>
        <w:numPr>
          <w:ilvl w:val="1"/>
          <w:numId w:val="2"/>
        </w:numPr>
        <w:jc w:val="both"/>
        <w:rPr>
          <w:sz w:val="22"/>
          <w:szCs w:val="22"/>
        </w:rPr>
      </w:pPr>
      <w:r w:rsidRPr="00E606E2">
        <w:rPr>
          <w:sz w:val="22"/>
          <w:szCs w:val="22"/>
        </w:rPr>
        <w:t xml:space="preserve">Nabyvatel je oprávněn používat </w:t>
      </w:r>
      <w:r>
        <w:rPr>
          <w:sz w:val="22"/>
          <w:szCs w:val="22"/>
        </w:rPr>
        <w:t xml:space="preserve">ZOZ jejich </w:t>
      </w:r>
      <w:r w:rsidRPr="002E425E">
        <w:rPr>
          <w:sz w:val="22"/>
          <w:szCs w:val="22"/>
        </w:rPr>
        <w:t>sdělování</w:t>
      </w:r>
      <w:r>
        <w:rPr>
          <w:sz w:val="22"/>
          <w:szCs w:val="22"/>
        </w:rPr>
        <w:t>m</w:t>
      </w:r>
      <w:r w:rsidRPr="00523C13">
        <w:rPr>
          <w:sz w:val="22"/>
          <w:szCs w:val="22"/>
        </w:rPr>
        <w:t xml:space="preserve"> v nehmotné podobě veřejnosti, a to těmito způsoby: </w:t>
      </w:r>
    </w:p>
    <w:p w:rsidR="00026058" w:rsidRPr="00E606E2" w:rsidRDefault="00026058" w:rsidP="00026058">
      <w:pPr>
        <w:pStyle w:val="Normln1"/>
        <w:numPr>
          <w:ilvl w:val="0"/>
          <w:numId w:val="11"/>
        </w:numPr>
        <w:ind w:left="1843"/>
        <w:jc w:val="both"/>
        <w:rPr>
          <w:sz w:val="22"/>
          <w:szCs w:val="22"/>
        </w:rPr>
      </w:pPr>
      <w:r w:rsidRPr="00E606E2">
        <w:rPr>
          <w:sz w:val="22"/>
          <w:szCs w:val="22"/>
        </w:rPr>
        <w:t>provozování ZOZ ze záznamu během</w:t>
      </w:r>
      <w:r>
        <w:rPr>
          <w:sz w:val="22"/>
          <w:szCs w:val="22"/>
        </w:rPr>
        <w:t xml:space="preserve"> dočasné či stálé</w:t>
      </w:r>
      <w:r w:rsidRPr="00E606E2">
        <w:rPr>
          <w:sz w:val="22"/>
          <w:szCs w:val="22"/>
        </w:rPr>
        <w:t xml:space="preserve"> expozice</w:t>
      </w:r>
      <w:r>
        <w:rPr>
          <w:sz w:val="22"/>
          <w:szCs w:val="22"/>
        </w:rPr>
        <w:t xml:space="preserve"> v budově (či budovách) Muzea (dále jen souhrnně „</w:t>
      </w:r>
      <w:r w:rsidRPr="002E425E">
        <w:rPr>
          <w:b/>
          <w:bCs/>
          <w:sz w:val="22"/>
          <w:szCs w:val="22"/>
        </w:rPr>
        <w:t>Expozice</w:t>
      </w:r>
      <w:r>
        <w:rPr>
          <w:sz w:val="22"/>
          <w:szCs w:val="22"/>
        </w:rPr>
        <w:t>“)</w:t>
      </w:r>
      <w:r w:rsidRPr="00E606E2">
        <w:rPr>
          <w:sz w:val="22"/>
          <w:szCs w:val="22"/>
        </w:rPr>
        <w:t>;</w:t>
      </w:r>
    </w:p>
    <w:p w:rsidR="00026058" w:rsidRPr="00E606E2" w:rsidRDefault="00026058" w:rsidP="00026058">
      <w:pPr>
        <w:pStyle w:val="Normln1"/>
        <w:numPr>
          <w:ilvl w:val="0"/>
          <w:numId w:val="11"/>
        </w:numPr>
        <w:ind w:left="1843"/>
        <w:jc w:val="both"/>
        <w:rPr>
          <w:sz w:val="22"/>
          <w:szCs w:val="22"/>
        </w:rPr>
      </w:pPr>
      <w:r w:rsidRPr="00E606E2">
        <w:rPr>
          <w:sz w:val="22"/>
          <w:szCs w:val="22"/>
        </w:rPr>
        <w:t xml:space="preserve">sdělování ZOZ veřejnosti v sítích elektronických komunikací, prostřednictvím online aplikace, která bude součástí </w:t>
      </w:r>
      <w:r>
        <w:rPr>
          <w:sz w:val="22"/>
          <w:szCs w:val="22"/>
        </w:rPr>
        <w:t>příslušné Expozice, tj. bude k dispozici pouze návštěvníkům této Expozice;</w:t>
      </w:r>
    </w:p>
    <w:p w:rsidR="00026058" w:rsidRPr="00E606E2" w:rsidRDefault="00026058" w:rsidP="00026058">
      <w:pPr>
        <w:pStyle w:val="Normln1"/>
        <w:numPr>
          <w:ilvl w:val="1"/>
          <w:numId w:val="2"/>
        </w:numPr>
        <w:jc w:val="both"/>
        <w:rPr>
          <w:sz w:val="22"/>
          <w:szCs w:val="22"/>
        </w:rPr>
      </w:pPr>
      <w:r w:rsidRPr="00E606E2">
        <w:rPr>
          <w:sz w:val="22"/>
          <w:szCs w:val="22"/>
        </w:rPr>
        <w:t xml:space="preserve">Nabyvatel není oprávněn používat ZOZ </w:t>
      </w:r>
      <w:r>
        <w:rPr>
          <w:sz w:val="22"/>
          <w:szCs w:val="22"/>
        </w:rPr>
        <w:t>jinak, než je uvedeno výše, tj. zejména jinak, než v přímé souvislosti s Expozicí</w:t>
      </w:r>
      <w:r w:rsidRPr="00E606E2">
        <w:rPr>
          <w:sz w:val="22"/>
          <w:szCs w:val="22"/>
        </w:rPr>
        <w:t>;</w:t>
      </w:r>
    </w:p>
    <w:p w:rsidR="00026058" w:rsidRPr="00E606E2" w:rsidRDefault="00026058" w:rsidP="00026058">
      <w:pPr>
        <w:pStyle w:val="Normln1"/>
        <w:numPr>
          <w:ilvl w:val="0"/>
          <w:numId w:val="2"/>
        </w:numPr>
        <w:jc w:val="both"/>
        <w:rPr>
          <w:sz w:val="22"/>
          <w:szCs w:val="22"/>
        </w:rPr>
      </w:pPr>
      <w:r>
        <w:rPr>
          <w:sz w:val="22"/>
          <w:szCs w:val="22"/>
        </w:rPr>
        <w:t xml:space="preserve">v tomto </w:t>
      </w:r>
      <w:r w:rsidRPr="00E606E2">
        <w:rPr>
          <w:sz w:val="22"/>
          <w:szCs w:val="22"/>
        </w:rPr>
        <w:t xml:space="preserve">časovém rozsahu: </w:t>
      </w:r>
      <w:r w:rsidR="00371C9E">
        <w:rPr>
          <w:sz w:val="22"/>
          <w:szCs w:val="22"/>
        </w:rPr>
        <w:t>xxx</w:t>
      </w:r>
      <w:r w:rsidRPr="00E606E2">
        <w:rPr>
          <w:sz w:val="22"/>
          <w:szCs w:val="22"/>
        </w:rPr>
        <w:t xml:space="preserve"> let od </w:t>
      </w:r>
      <w:r>
        <w:rPr>
          <w:sz w:val="22"/>
          <w:szCs w:val="22"/>
        </w:rPr>
        <w:t>uzavření příslušné dílčí smlouvy týkající se odpovídajícího ZOZ</w:t>
      </w:r>
      <w:r w:rsidRPr="00E606E2">
        <w:rPr>
          <w:sz w:val="22"/>
          <w:szCs w:val="22"/>
        </w:rPr>
        <w:t xml:space="preserve">; </w:t>
      </w:r>
    </w:p>
    <w:p w:rsidR="00026058" w:rsidRPr="00E606E2" w:rsidRDefault="00026058" w:rsidP="00026058">
      <w:pPr>
        <w:pStyle w:val="Normln1"/>
        <w:numPr>
          <w:ilvl w:val="0"/>
          <w:numId w:val="2"/>
        </w:numPr>
        <w:jc w:val="both"/>
        <w:rPr>
          <w:sz w:val="22"/>
          <w:szCs w:val="22"/>
        </w:rPr>
      </w:pPr>
      <w:r w:rsidRPr="00E606E2">
        <w:rPr>
          <w:sz w:val="22"/>
          <w:szCs w:val="22"/>
        </w:rPr>
        <w:t xml:space="preserve">na tomto území: </w:t>
      </w:r>
      <w:r w:rsidR="00371C9E">
        <w:rPr>
          <w:sz w:val="22"/>
          <w:szCs w:val="22"/>
        </w:rPr>
        <w:t>xxx</w:t>
      </w:r>
      <w:r w:rsidRPr="00E606E2">
        <w:rPr>
          <w:sz w:val="22"/>
          <w:szCs w:val="22"/>
        </w:rPr>
        <w:t>;</w:t>
      </w:r>
    </w:p>
    <w:p w:rsidR="00026058" w:rsidRPr="00E606E2" w:rsidRDefault="00371C9E" w:rsidP="00026058">
      <w:pPr>
        <w:pStyle w:val="Normln1"/>
        <w:numPr>
          <w:ilvl w:val="0"/>
          <w:numId w:val="2"/>
        </w:numPr>
        <w:jc w:val="both"/>
        <w:rPr>
          <w:sz w:val="22"/>
          <w:szCs w:val="22"/>
        </w:rPr>
      </w:pPr>
      <w:r>
        <w:rPr>
          <w:sz w:val="22"/>
          <w:szCs w:val="22"/>
        </w:rPr>
        <w:t>v tomto množství: xxx</w:t>
      </w:r>
      <w:r w:rsidR="00026058" w:rsidRPr="00E606E2">
        <w:rPr>
          <w:sz w:val="22"/>
          <w:szCs w:val="22"/>
        </w:rPr>
        <w:t>;</w:t>
      </w:r>
    </w:p>
    <w:p w:rsidR="00026058" w:rsidRPr="00E606E2" w:rsidRDefault="00026058" w:rsidP="00026058">
      <w:pPr>
        <w:pStyle w:val="Normln1"/>
        <w:numPr>
          <w:ilvl w:val="0"/>
          <w:numId w:val="2"/>
        </w:numPr>
        <w:jc w:val="both"/>
        <w:rPr>
          <w:sz w:val="22"/>
          <w:szCs w:val="22"/>
        </w:rPr>
      </w:pPr>
      <w:r w:rsidRPr="00E606E2">
        <w:rPr>
          <w:sz w:val="22"/>
          <w:szCs w:val="22"/>
        </w:rPr>
        <w:t>nevýhradně, NFA tedy není touto smlouvou omezen v udělování licencí k užití ZOZ dalším osobám ani sám není omezen v možnosti ZOZ v plném rozsahu užít.</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1"/>
        </w:numPr>
        <w:pBdr>
          <w:top w:val="nil"/>
          <w:left w:val="nil"/>
          <w:bottom w:val="nil"/>
          <w:right w:val="nil"/>
          <w:between w:val="nil"/>
        </w:pBdr>
        <w:jc w:val="both"/>
        <w:rPr>
          <w:color w:val="000000"/>
          <w:sz w:val="22"/>
          <w:szCs w:val="22"/>
        </w:rPr>
      </w:pPr>
      <w:r w:rsidRPr="00E606E2">
        <w:rPr>
          <w:color w:val="000000"/>
          <w:sz w:val="22"/>
          <w:szCs w:val="22"/>
        </w:rPr>
        <w:t xml:space="preserve">Nabyvatel není oprávněn provádět jakékoliv změny, úpravy, doplnění, spojení nebo jiné zásahy do ZOZ, ledaže k tomu NFA udělí výslovný písemný souhlas. </w:t>
      </w:r>
    </w:p>
    <w:p w:rsidR="00026058" w:rsidRPr="00E606E2"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1"/>
        </w:numPr>
        <w:pBdr>
          <w:top w:val="nil"/>
          <w:left w:val="nil"/>
          <w:bottom w:val="nil"/>
          <w:right w:val="nil"/>
          <w:between w:val="nil"/>
        </w:pBdr>
        <w:jc w:val="both"/>
        <w:rPr>
          <w:color w:val="000000"/>
          <w:sz w:val="22"/>
          <w:szCs w:val="22"/>
        </w:rPr>
      </w:pPr>
      <w:r>
        <w:rPr>
          <w:color w:val="000000"/>
          <w:sz w:val="22"/>
          <w:szCs w:val="22"/>
        </w:rPr>
        <w:lastRenderedPageBreak/>
        <w:t xml:space="preserve">Nabyvatel bere tímto výslovně na vědomí, že touto smlouvou nabývá práva pouze k užití zvukově obrazového záznamu audiovizuálního díla ve výše uvedeném rozsahu, nikoli též právo k užití vlastního audiovizuálního díla či jakýchkoliv děl audiovizuálně užitých nebo jiných autorských děl, jsou-li taková díla na ZOZ zachycena. Tato další práva je Nabyvatel povinen samostatně vypořádat plně na svou odpovědnost. </w:t>
      </w:r>
    </w:p>
    <w:p w:rsidR="00026058" w:rsidRDefault="00026058" w:rsidP="00026058">
      <w:pPr>
        <w:pStyle w:val="Normln1"/>
        <w:pBdr>
          <w:top w:val="nil"/>
          <w:left w:val="nil"/>
          <w:bottom w:val="nil"/>
          <w:right w:val="nil"/>
          <w:between w:val="nil"/>
        </w:pBdr>
        <w:ind w:left="708"/>
        <w:rPr>
          <w:color w:val="000000"/>
          <w:sz w:val="22"/>
          <w:szCs w:val="22"/>
        </w:rPr>
      </w:pPr>
    </w:p>
    <w:p w:rsidR="00026058" w:rsidRDefault="00026058" w:rsidP="00026058">
      <w:pPr>
        <w:pStyle w:val="Normln1"/>
        <w:numPr>
          <w:ilvl w:val="0"/>
          <w:numId w:val="1"/>
        </w:numPr>
        <w:pBdr>
          <w:top w:val="nil"/>
          <w:left w:val="nil"/>
          <w:bottom w:val="nil"/>
          <w:right w:val="nil"/>
          <w:between w:val="nil"/>
        </w:pBdr>
        <w:jc w:val="both"/>
        <w:rPr>
          <w:color w:val="000000"/>
          <w:sz w:val="22"/>
          <w:szCs w:val="22"/>
        </w:rPr>
      </w:pPr>
      <w:r>
        <w:rPr>
          <w:color w:val="000000"/>
          <w:sz w:val="22"/>
          <w:szCs w:val="22"/>
        </w:rPr>
        <w:t>Nabyvatel je povinen bezodkladně oznámit NFA jakékoliv porušení práva NFA k ZOZ, o kterém se dozví.</w:t>
      </w:r>
    </w:p>
    <w:p w:rsidR="00026058" w:rsidRDefault="00026058" w:rsidP="00026058">
      <w:pPr>
        <w:pStyle w:val="Normln1"/>
        <w:pBdr>
          <w:top w:val="nil"/>
          <w:left w:val="nil"/>
          <w:bottom w:val="nil"/>
          <w:right w:val="nil"/>
          <w:between w:val="nil"/>
        </w:pBdr>
        <w:ind w:left="708"/>
        <w:rPr>
          <w:color w:val="000000"/>
          <w:sz w:val="22"/>
          <w:szCs w:val="22"/>
        </w:rPr>
      </w:pPr>
    </w:p>
    <w:p w:rsidR="00026058" w:rsidRDefault="00026058" w:rsidP="00026058">
      <w:pPr>
        <w:pStyle w:val="Normln1"/>
        <w:numPr>
          <w:ilvl w:val="0"/>
          <w:numId w:val="1"/>
        </w:numPr>
        <w:pBdr>
          <w:top w:val="nil"/>
          <w:left w:val="nil"/>
          <w:bottom w:val="nil"/>
          <w:right w:val="nil"/>
          <w:between w:val="nil"/>
        </w:pBdr>
        <w:jc w:val="both"/>
        <w:rPr>
          <w:color w:val="000000"/>
          <w:sz w:val="22"/>
          <w:szCs w:val="22"/>
        </w:rPr>
      </w:pPr>
      <w:r>
        <w:rPr>
          <w:color w:val="000000"/>
          <w:sz w:val="22"/>
          <w:szCs w:val="22"/>
        </w:rPr>
        <w:t>Nabyvatel je povinen při každém užití ZOZ dle této smlouvy přiměřeným způsobem uvést, že ZOZ pochází ze sbírek NFA. Předešlá věta Nabyvatele neopravňuje k užívání ochranných známek ani jiného duševního vlastnictví NFA s výjimkou názvu „Národní filmový archiv“, ledaže se smluvní strany dohodnou jinak. Nabyvatel je zásadně při užití ZOZ povinen dbát dobrého jména a pověsti NFA a přispívat k jejich ochraně.</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IV.</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Odměna</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numPr>
          <w:ilvl w:val="0"/>
          <w:numId w:val="9"/>
        </w:numPr>
        <w:pBdr>
          <w:top w:val="nil"/>
          <w:left w:val="nil"/>
          <w:bottom w:val="nil"/>
          <w:right w:val="nil"/>
          <w:between w:val="nil"/>
        </w:pBdr>
        <w:jc w:val="both"/>
        <w:rPr>
          <w:color w:val="000000"/>
          <w:sz w:val="22"/>
          <w:szCs w:val="22"/>
        </w:rPr>
      </w:pPr>
      <w:r>
        <w:rPr>
          <w:color w:val="000000"/>
          <w:sz w:val="22"/>
          <w:szCs w:val="22"/>
        </w:rPr>
        <w:t>Nabyvatel se zavazuje zaplatit NFA za užití ZOZ dle podmínek této smlouvy odměnu ve výši:</w:t>
      </w:r>
    </w:p>
    <w:p w:rsidR="00026058" w:rsidRDefault="00371C9E" w:rsidP="00026058">
      <w:pPr>
        <w:pStyle w:val="Normln1"/>
        <w:numPr>
          <w:ilvl w:val="0"/>
          <w:numId w:val="12"/>
        </w:numPr>
        <w:pBdr>
          <w:top w:val="nil"/>
          <w:left w:val="nil"/>
          <w:bottom w:val="nil"/>
          <w:right w:val="nil"/>
          <w:between w:val="nil"/>
        </w:pBdr>
        <w:spacing w:before="120"/>
        <w:ind w:left="714" w:hanging="357"/>
        <w:jc w:val="both"/>
        <w:rPr>
          <w:color w:val="000000"/>
          <w:sz w:val="22"/>
          <w:szCs w:val="22"/>
        </w:rPr>
      </w:pPr>
      <w:r>
        <w:rPr>
          <w:b/>
          <w:color w:val="000000"/>
          <w:sz w:val="22"/>
          <w:szCs w:val="22"/>
        </w:rPr>
        <w:t>xxx</w:t>
      </w:r>
      <w:r w:rsidR="00026058">
        <w:rPr>
          <w:color w:val="000000"/>
          <w:sz w:val="22"/>
          <w:szCs w:val="22"/>
        </w:rPr>
        <w:t xml:space="preserve"> za užití každé jednotlivé započaté ukázky ze ZOZ v rozsahu </w:t>
      </w:r>
      <w:r w:rsidR="00026058" w:rsidRPr="00E606E2">
        <w:rPr>
          <w:b/>
          <w:color w:val="000000"/>
          <w:sz w:val="22"/>
          <w:szCs w:val="22"/>
        </w:rPr>
        <w:t xml:space="preserve">do </w:t>
      </w:r>
      <w:r>
        <w:rPr>
          <w:b/>
          <w:color w:val="000000"/>
          <w:sz w:val="22"/>
          <w:szCs w:val="22"/>
        </w:rPr>
        <w:t>xxx</w:t>
      </w:r>
      <w:r w:rsidR="00026058" w:rsidRPr="00E606E2">
        <w:rPr>
          <w:b/>
          <w:color w:val="000000"/>
          <w:sz w:val="22"/>
          <w:szCs w:val="22"/>
        </w:rPr>
        <w:t xml:space="preserve"> minut</w:t>
      </w:r>
      <w:r w:rsidR="00026058">
        <w:rPr>
          <w:b/>
          <w:color w:val="000000"/>
          <w:sz w:val="22"/>
          <w:szCs w:val="22"/>
        </w:rPr>
        <w:t>;</w:t>
      </w:r>
    </w:p>
    <w:p w:rsidR="00026058" w:rsidRPr="00FE7AEA" w:rsidRDefault="00371C9E" w:rsidP="00026058">
      <w:pPr>
        <w:pStyle w:val="Normln1"/>
        <w:numPr>
          <w:ilvl w:val="0"/>
          <w:numId w:val="12"/>
        </w:numPr>
        <w:pBdr>
          <w:top w:val="nil"/>
          <w:left w:val="nil"/>
          <w:bottom w:val="nil"/>
          <w:right w:val="nil"/>
          <w:between w:val="nil"/>
        </w:pBdr>
        <w:spacing w:before="120"/>
        <w:ind w:left="714" w:hanging="357"/>
        <w:jc w:val="both"/>
        <w:rPr>
          <w:color w:val="000000"/>
          <w:sz w:val="22"/>
          <w:szCs w:val="22"/>
        </w:rPr>
      </w:pPr>
      <w:r>
        <w:rPr>
          <w:b/>
          <w:color w:val="000000"/>
          <w:sz w:val="22"/>
          <w:szCs w:val="22"/>
        </w:rPr>
        <w:t>xxx</w:t>
      </w:r>
      <w:r w:rsidR="00026058">
        <w:rPr>
          <w:color w:val="000000"/>
          <w:sz w:val="22"/>
          <w:szCs w:val="22"/>
        </w:rPr>
        <w:t xml:space="preserve"> za užití každé jednotlivé započaté ukázky ze ZOZ v rozsahu </w:t>
      </w:r>
      <w:r w:rsidR="00026058" w:rsidRPr="00026058">
        <w:rPr>
          <w:b/>
          <w:color w:val="000000"/>
          <w:sz w:val="22"/>
          <w:szCs w:val="22"/>
        </w:rPr>
        <w:t xml:space="preserve">více než </w:t>
      </w:r>
      <w:r>
        <w:rPr>
          <w:b/>
          <w:color w:val="000000"/>
          <w:sz w:val="22"/>
          <w:szCs w:val="22"/>
        </w:rPr>
        <w:t>xxx</w:t>
      </w:r>
      <w:r w:rsidR="00026058" w:rsidRPr="00026058">
        <w:rPr>
          <w:b/>
          <w:color w:val="000000"/>
          <w:sz w:val="22"/>
          <w:szCs w:val="22"/>
        </w:rPr>
        <w:t xml:space="preserve"> minut</w:t>
      </w:r>
      <w:r w:rsidR="00026058">
        <w:rPr>
          <w:b/>
          <w:color w:val="000000"/>
          <w:sz w:val="22"/>
          <w:szCs w:val="22"/>
        </w:rPr>
        <w:t xml:space="preserve"> a méně než</w:t>
      </w:r>
      <w:r>
        <w:rPr>
          <w:b/>
          <w:color w:val="000000"/>
          <w:sz w:val="22"/>
          <w:szCs w:val="22"/>
        </w:rPr>
        <w:t xml:space="preserve"> xxx</w:t>
      </w:r>
      <w:r w:rsidR="00026058" w:rsidRPr="00E606E2">
        <w:rPr>
          <w:b/>
          <w:color w:val="000000"/>
          <w:sz w:val="22"/>
          <w:szCs w:val="22"/>
        </w:rPr>
        <w:t xml:space="preserve"> minut</w:t>
      </w:r>
      <w:r w:rsidR="00026058">
        <w:rPr>
          <w:b/>
          <w:color w:val="000000"/>
          <w:sz w:val="22"/>
          <w:szCs w:val="22"/>
        </w:rPr>
        <w:t>;</w:t>
      </w:r>
    </w:p>
    <w:p w:rsidR="00026058" w:rsidRPr="00FE7AEA" w:rsidRDefault="00026058" w:rsidP="00026058">
      <w:pPr>
        <w:pStyle w:val="Normln1"/>
        <w:numPr>
          <w:ilvl w:val="0"/>
          <w:numId w:val="12"/>
        </w:numPr>
        <w:pBdr>
          <w:top w:val="nil"/>
          <w:left w:val="nil"/>
          <w:bottom w:val="nil"/>
          <w:right w:val="nil"/>
          <w:between w:val="nil"/>
        </w:pBdr>
        <w:spacing w:before="120"/>
        <w:ind w:left="714" w:hanging="357"/>
        <w:jc w:val="both"/>
        <w:rPr>
          <w:bCs/>
          <w:color w:val="000000"/>
          <w:sz w:val="22"/>
          <w:szCs w:val="22"/>
        </w:rPr>
      </w:pPr>
      <w:r w:rsidRPr="00FE7AEA">
        <w:rPr>
          <w:bCs/>
          <w:color w:val="000000"/>
          <w:sz w:val="22"/>
          <w:szCs w:val="22"/>
        </w:rPr>
        <w:t>v</w:t>
      </w:r>
      <w:r>
        <w:rPr>
          <w:bCs/>
          <w:color w:val="000000"/>
          <w:sz w:val="22"/>
          <w:szCs w:val="22"/>
        </w:rPr>
        <w:t> případě zájmu Nabyvatele o užití ukázky ZOZ v časovém rozsahu více než 10 minut bude odměna NFA určena dohodou v příslušné dílčí smlouvě.</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9"/>
        </w:numPr>
        <w:pBdr>
          <w:top w:val="nil"/>
          <w:left w:val="nil"/>
          <w:bottom w:val="nil"/>
          <w:right w:val="nil"/>
          <w:between w:val="nil"/>
        </w:pBdr>
        <w:jc w:val="both"/>
        <w:rPr>
          <w:color w:val="000000"/>
          <w:sz w:val="22"/>
          <w:szCs w:val="22"/>
        </w:rPr>
      </w:pPr>
      <w:r>
        <w:rPr>
          <w:color w:val="000000"/>
          <w:sz w:val="22"/>
          <w:szCs w:val="22"/>
        </w:rPr>
        <w:t>Odměna stanovená v odst. 1 tohoto článku bude Nabyvatelem NFA uhrazena na č.ú. uvedeném v záhlaví smlouvy na základě běžné faktury se všemi zákonnými náležitostmi daňového dokladu, s čtrnáctidenní lhůtou splatnosti ode dne vystavení faktury ze strany NFA na základě této smlouvy. NFA je povinen odpovídající fakturu vystavit a doručit Nabyvateli vždy bezodkladně po uzavření příslušné dílčí smlouvy.</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9"/>
        </w:numPr>
        <w:pBdr>
          <w:top w:val="nil"/>
          <w:left w:val="nil"/>
          <w:bottom w:val="nil"/>
          <w:right w:val="nil"/>
          <w:between w:val="nil"/>
        </w:pBdr>
        <w:jc w:val="both"/>
        <w:rPr>
          <w:color w:val="000000"/>
          <w:sz w:val="22"/>
          <w:szCs w:val="22"/>
        </w:rPr>
      </w:pPr>
      <w:r w:rsidRPr="008D21B9">
        <w:rPr>
          <w:color w:val="000000"/>
          <w:sz w:val="22"/>
          <w:szCs w:val="22"/>
        </w:rPr>
        <w:t xml:space="preserve">V případě prodlení Nabyvatele s úhradou odměny dle ustanovení této smlouvy se Nabyvatel zavazuje uhradit NFA úrok z prodlení ve výši </w:t>
      </w:r>
      <w:r w:rsidR="00371C9E">
        <w:rPr>
          <w:color w:val="000000"/>
          <w:sz w:val="22"/>
          <w:szCs w:val="22"/>
        </w:rPr>
        <w:t>xxx</w:t>
      </w:r>
      <w:r w:rsidRPr="008D21B9">
        <w:rPr>
          <w:color w:val="000000"/>
          <w:sz w:val="22"/>
          <w:szCs w:val="22"/>
        </w:rPr>
        <w:t xml:space="preserve"> za každý celý den prodlení. </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V.</w:t>
      </w:r>
    </w:p>
    <w:p w:rsidR="00026058" w:rsidRDefault="00026058" w:rsidP="00026058">
      <w:pPr>
        <w:pStyle w:val="Normln1"/>
        <w:jc w:val="center"/>
        <w:rPr>
          <w:sz w:val="22"/>
          <w:szCs w:val="22"/>
        </w:rPr>
      </w:pPr>
      <w:r>
        <w:rPr>
          <w:b/>
          <w:sz w:val="22"/>
          <w:szCs w:val="22"/>
        </w:rPr>
        <w:t>Mlčenlivost</w:t>
      </w:r>
    </w:p>
    <w:p w:rsidR="00026058" w:rsidRDefault="00026058" w:rsidP="00026058">
      <w:pPr>
        <w:pStyle w:val="Normln1"/>
        <w:jc w:val="center"/>
        <w:rPr>
          <w:sz w:val="22"/>
          <w:szCs w:val="22"/>
        </w:rPr>
      </w:pPr>
    </w:p>
    <w:p w:rsidR="00026058" w:rsidRDefault="00026058" w:rsidP="00026058">
      <w:pPr>
        <w:pStyle w:val="Normln1"/>
        <w:numPr>
          <w:ilvl w:val="0"/>
          <w:numId w:val="5"/>
        </w:numPr>
        <w:ind w:left="426" w:hanging="426"/>
        <w:jc w:val="both"/>
        <w:rPr>
          <w:sz w:val="22"/>
          <w:szCs w:val="22"/>
        </w:rPr>
      </w:pPr>
      <w:r>
        <w:rPr>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026058" w:rsidRDefault="00026058" w:rsidP="00026058">
      <w:pPr>
        <w:pStyle w:val="Normln1"/>
        <w:numPr>
          <w:ilvl w:val="0"/>
          <w:numId w:val="4"/>
        </w:numPr>
        <w:jc w:val="both"/>
        <w:rPr>
          <w:sz w:val="22"/>
          <w:szCs w:val="22"/>
        </w:rPr>
      </w:pPr>
      <w:r>
        <w:rPr>
          <w:sz w:val="22"/>
          <w:szCs w:val="22"/>
        </w:rPr>
        <w:t xml:space="preserve">informace týkající se současné pozice NFA na trhu + vnitřního uspořádání NFA, </w:t>
      </w:r>
    </w:p>
    <w:p w:rsidR="00026058" w:rsidRDefault="00026058" w:rsidP="00026058">
      <w:pPr>
        <w:pStyle w:val="Normln1"/>
        <w:numPr>
          <w:ilvl w:val="0"/>
          <w:numId w:val="4"/>
        </w:numPr>
        <w:jc w:val="both"/>
        <w:rPr>
          <w:sz w:val="22"/>
          <w:szCs w:val="22"/>
        </w:rPr>
      </w:pPr>
      <w:r>
        <w:rPr>
          <w:sz w:val="22"/>
          <w:szCs w:val="22"/>
        </w:rPr>
        <w:t>informace o edičním plánu, marketingových plánech a připravovaných kampaních NFA,</w:t>
      </w:r>
    </w:p>
    <w:p w:rsidR="00026058" w:rsidRDefault="00026058" w:rsidP="00026058">
      <w:pPr>
        <w:pStyle w:val="Normln1"/>
        <w:numPr>
          <w:ilvl w:val="0"/>
          <w:numId w:val="4"/>
        </w:numPr>
        <w:jc w:val="both"/>
        <w:rPr>
          <w:sz w:val="22"/>
          <w:szCs w:val="22"/>
        </w:rPr>
      </w:pPr>
      <w:r>
        <w:rPr>
          <w:sz w:val="22"/>
          <w:szCs w:val="22"/>
        </w:rPr>
        <w:t xml:space="preserve">informace o nových produktech a službách NFA. </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3"/>
        </w:numPr>
        <w:pBdr>
          <w:top w:val="nil"/>
          <w:left w:val="nil"/>
          <w:bottom w:val="nil"/>
          <w:right w:val="nil"/>
          <w:between w:val="nil"/>
        </w:pBdr>
        <w:jc w:val="both"/>
        <w:rPr>
          <w:color w:val="000000"/>
          <w:sz w:val="22"/>
          <w:szCs w:val="22"/>
        </w:rPr>
      </w:pPr>
      <w:r>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26058" w:rsidRDefault="00026058" w:rsidP="00026058">
      <w:pPr>
        <w:pStyle w:val="Normln1"/>
        <w:pBdr>
          <w:top w:val="nil"/>
          <w:left w:val="nil"/>
          <w:bottom w:val="nil"/>
          <w:right w:val="nil"/>
          <w:between w:val="nil"/>
        </w:pBdr>
        <w:ind w:left="540"/>
        <w:jc w:val="both"/>
        <w:rPr>
          <w:color w:val="000000"/>
          <w:sz w:val="22"/>
          <w:szCs w:val="22"/>
        </w:rPr>
      </w:pPr>
    </w:p>
    <w:p w:rsidR="00026058" w:rsidRDefault="00026058" w:rsidP="00026058">
      <w:pPr>
        <w:pStyle w:val="Normln1"/>
        <w:numPr>
          <w:ilvl w:val="0"/>
          <w:numId w:val="3"/>
        </w:numPr>
        <w:pBdr>
          <w:top w:val="nil"/>
          <w:left w:val="nil"/>
          <w:bottom w:val="nil"/>
          <w:right w:val="nil"/>
          <w:between w:val="nil"/>
        </w:pBdr>
        <w:jc w:val="both"/>
        <w:rPr>
          <w:color w:val="000000"/>
          <w:sz w:val="22"/>
          <w:szCs w:val="22"/>
        </w:rPr>
      </w:pPr>
      <w:r>
        <w:rPr>
          <w:color w:val="000000"/>
          <w:sz w:val="22"/>
          <w:szCs w:val="22"/>
        </w:rPr>
        <w:t>Nabyvatel se zavazuje tyto důvěrné informace nikdy nevyužít žádným způsobem, přímo ani nepřímo, ve svůj prospěch či jinak, než v zájmu NFA a v souladu s jeho instrukcemi a pokyny.</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3"/>
        </w:numPr>
        <w:pBdr>
          <w:top w:val="nil"/>
          <w:left w:val="nil"/>
          <w:bottom w:val="nil"/>
          <w:right w:val="nil"/>
          <w:between w:val="nil"/>
        </w:pBdr>
        <w:jc w:val="both"/>
        <w:rPr>
          <w:color w:val="000000"/>
          <w:sz w:val="22"/>
          <w:szCs w:val="22"/>
        </w:rPr>
      </w:pPr>
      <w:r>
        <w:rPr>
          <w:color w:val="000000"/>
          <w:sz w:val="22"/>
          <w:szCs w:val="22"/>
        </w:rPr>
        <w:lastRenderedPageBreak/>
        <w:t>Nabyvatel se zavazuje, že jakékoli podklady (včetně grafických vyobrazení, log, ochranných známek, atd.) získané od NFA či jím pověřené třetí osoby využije výlučně pro účely této smlouvy.</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pBdr>
          <w:top w:val="nil"/>
          <w:left w:val="nil"/>
          <w:bottom w:val="nil"/>
          <w:right w:val="nil"/>
          <w:between w:val="nil"/>
        </w:pBdr>
        <w:jc w:val="center"/>
        <w:rPr>
          <w:b/>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VI.</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Zvláštní ujednání o zveřejnění v registru smluv</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numPr>
          <w:ilvl w:val="0"/>
          <w:numId w:val="8"/>
        </w:numPr>
        <w:pBdr>
          <w:top w:val="nil"/>
          <w:left w:val="nil"/>
          <w:bottom w:val="nil"/>
          <w:right w:val="nil"/>
          <w:between w:val="nil"/>
        </w:pBdr>
        <w:jc w:val="both"/>
        <w:rPr>
          <w:color w:val="000000"/>
          <w:sz w:val="22"/>
          <w:szCs w:val="22"/>
        </w:rPr>
      </w:pPr>
      <w:r>
        <w:rPr>
          <w:color w:val="000000"/>
          <w:sz w:val="22"/>
          <w:szCs w:val="22"/>
        </w:rPr>
        <w:t>NFA je osobou, na níž se vztahují povinnosti vyplývající ze zákona č. 340/2015 Sb., o registru smluv (dále jen „</w:t>
      </w:r>
      <w:r>
        <w:rPr>
          <w:b/>
          <w:color w:val="000000"/>
          <w:sz w:val="22"/>
          <w:szCs w:val="22"/>
        </w:rPr>
        <w:t>ZoRS</w:t>
      </w:r>
      <w:r>
        <w:rPr>
          <w:color w:val="000000"/>
          <w:sz w:val="22"/>
          <w:szCs w:val="22"/>
        </w:rPr>
        <w:t>“). Tato smlouva podléhá (s ohledem na předpokládanou hodnotu jejího předmětu plnění) povinnosti uveřejnění v registru smluv podle ZoRS a nabývá účinnosti dnem uveřejnění v tomto registru. Druhá smluvní strana si je vědoma následků této skutečnosti.</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8"/>
        </w:numPr>
        <w:pBdr>
          <w:top w:val="nil"/>
          <w:left w:val="nil"/>
          <w:bottom w:val="nil"/>
          <w:right w:val="nil"/>
          <w:between w:val="nil"/>
        </w:pBdr>
        <w:jc w:val="both"/>
        <w:rPr>
          <w:color w:val="000000"/>
          <w:sz w:val="22"/>
          <w:szCs w:val="22"/>
        </w:rPr>
      </w:pPr>
      <w:r>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8"/>
        </w:numPr>
        <w:pBdr>
          <w:top w:val="nil"/>
          <w:left w:val="nil"/>
          <w:bottom w:val="nil"/>
          <w:right w:val="nil"/>
          <w:between w:val="nil"/>
        </w:pBdr>
        <w:jc w:val="both"/>
        <w:rPr>
          <w:color w:val="000000"/>
          <w:sz w:val="22"/>
          <w:szCs w:val="22"/>
        </w:rPr>
      </w:pPr>
      <w:r>
        <w:rPr>
          <w:color w:val="000000"/>
          <w:sz w:val="22"/>
          <w:szCs w:val="22"/>
        </w:rPr>
        <w:t>Smluvní strany konstatují, že skutečnosti uvedené v následujících ustanoveních jsou obchodním tajemstvím ve smyslu ust. § 504 zákona č. 89/2012 Sb., občanského zákoníku, a tato ustanovení budou proto na základě ust. § 3 odst. 1 ZoRS, ve spojení s ust. § 9 odst. 1 zákona č. 106/1999 Sb., o svobodném přístupu k informacím, zveřejňující smluvní stranou učiněna nečitelnými v rámci registru smluv:</w:t>
      </w:r>
    </w:p>
    <w:p w:rsidR="00026058" w:rsidRDefault="00026058" w:rsidP="00026058">
      <w:pPr>
        <w:pStyle w:val="Normln1"/>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1069"/>
        <w:jc w:val="both"/>
        <w:rPr>
          <w:color w:val="000000"/>
          <w:sz w:val="22"/>
          <w:szCs w:val="22"/>
        </w:rPr>
      </w:pPr>
    </w:p>
    <w:p w:rsidR="00026058" w:rsidRDefault="00026058" w:rsidP="00026058">
      <w:pPr>
        <w:pStyle w:val="Normln1"/>
        <w:numPr>
          <w:ilvl w:val="0"/>
          <w:numId w:val="6"/>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Pr>
          <w:color w:val="000000"/>
          <w:sz w:val="22"/>
          <w:szCs w:val="22"/>
        </w:rPr>
        <w:t>přesná identifikace rozsahu licence (včetně způsobů užití a ujednání o ne/výhradnosti udělovaných souhlasů) v ust. čl. III. odst. 1;</w:t>
      </w:r>
    </w:p>
    <w:p w:rsidR="00026058" w:rsidRDefault="00026058" w:rsidP="00026058">
      <w:pPr>
        <w:pStyle w:val="Normln1"/>
        <w:numPr>
          <w:ilvl w:val="0"/>
          <w:numId w:val="6"/>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Pr>
          <w:color w:val="000000"/>
          <w:sz w:val="22"/>
          <w:szCs w:val="22"/>
        </w:rPr>
        <w:t>určení přesné výše odměny v ust. čl. IV. odst. 1;</w:t>
      </w:r>
    </w:p>
    <w:p w:rsidR="00026058" w:rsidRDefault="00026058" w:rsidP="00026058">
      <w:pPr>
        <w:pStyle w:val="Normln1"/>
        <w:numPr>
          <w:ilvl w:val="0"/>
          <w:numId w:val="6"/>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Pr>
          <w:color w:val="000000"/>
          <w:sz w:val="22"/>
          <w:szCs w:val="22"/>
        </w:rPr>
        <w:t>určení výše smluvního úroku z prodlení v ust. čl. IV. odst. 3.</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VII.</w:t>
      </w:r>
    </w:p>
    <w:p w:rsidR="00026058" w:rsidRDefault="00026058" w:rsidP="00026058">
      <w:pPr>
        <w:pStyle w:val="Normln1"/>
        <w:pBdr>
          <w:top w:val="nil"/>
          <w:left w:val="nil"/>
          <w:bottom w:val="nil"/>
          <w:right w:val="nil"/>
          <w:between w:val="nil"/>
        </w:pBdr>
        <w:jc w:val="center"/>
        <w:rPr>
          <w:color w:val="000000"/>
          <w:sz w:val="22"/>
          <w:szCs w:val="22"/>
        </w:rPr>
      </w:pPr>
      <w:r>
        <w:rPr>
          <w:b/>
          <w:color w:val="000000"/>
          <w:sz w:val="22"/>
          <w:szCs w:val="22"/>
        </w:rPr>
        <w:t>Závěrečná ustanovení</w:t>
      </w:r>
    </w:p>
    <w:p w:rsidR="00026058" w:rsidRDefault="00026058" w:rsidP="00026058">
      <w:pPr>
        <w:pStyle w:val="Normln1"/>
        <w:pBdr>
          <w:top w:val="nil"/>
          <w:left w:val="nil"/>
          <w:bottom w:val="nil"/>
          <w:right w:val="nil"/>
          <w:between w:val="nil"/>
        </w:pBdr>
        <w:jc w:val="center"/>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Tato smlouva se uzavírá na dobu neurčitou, přičemž každá smluvní strana je oprávněna tuto smlouvu jednostranně ukončit výpovědí zaslanou druhé smluvní straně. Výpovědní doba v takovém případě činí 2 měsíce a počíná plynout prvního dne měsíce následujícího po měsíci doručení výpovědi druhé smluvní straně. Případná výpověď této rámcové smlouvy podaná dle tohoto ustanovení nemá vliv na již uzavřené dílčí smlouvy, které trvají vždy do konce odpovídající licenční doby sjednané v souladu s čl. III. odst. 1 této smlouvy.</w:t>
      </w:r>
    </w:p>
    <w:p w:rsidR="00026058" w:rsidRDefault="00026058" w:rsidP="00026058">
      <w:pPr>
        <w:pStyle w:val="Normln1"/>
        <w:pBdr>
          <w:top w:val="nil"/>
          <w:left w:val="nil"/>
          <w:bottom w:val="nil"/>
          <w:right w:val="nil"/>
          <w:between w:val="nil"/>
        </w:pBdr>
        <w:ind w:left="360"/>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Tato smlouva byla sepsána ve dvou vyhotoveních s platností originálu, z nichž každý z účastníků přijímá po jednom.</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lastRenderedPageBreak/>
        <w:t>Tuto smlouvu je možné změnit pouze písemnou formou (za kterou se pro tento účel nepovažuje forma elektronické komunikace), přičemž podpisy zástupců obou stran musí být na téže listině.</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rsidR="00026058" w:rsidRDefault="00026058" w:rsidP="00026058">
      <w:pPr>
        <w:pStyle w:val="Normln1"/>
        <w:pBdr>
          <w:top w:val="nil"/>
          <w:left w:val="nil"/>
          <w:bottom w:val="nil"/>
          <w:right w:val="nil"/>
          <w:between w:val="nil"/>
        </w:pBdr>
        <w:ind w:left="708"/>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26058" w:rsidRDefault="00026058" w:rsidP="00026058">
      <w:pPr>
        <w:pStyle w:val="Normln1"/>
        <w:pBdr>
          <w:top w:val="nil"/>
          <w:left w:val="nil"/>
          <w:bottom w:val="nil"/>
          <w:right w:val="nil"/>
          <w:between w:val="nil"/>
        </w:pBdr>
        <w:ind w:left="360"/>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26058" w:rsidRDefault="00026058" w:rsidP="00026058">
      <w:pPr>
        <w:pStyle w:val="Normln1"/>
        <w:pBdr>
          <w:top w:val="nil"/>
          <w:left w:val="nil"/>
          <w:bottom w:val="nil"/>
          <w:right w:val="nil"/>
          <w:between w:val="nil"/>
        </w:pBdr>
        <w:ind w:left="360"/>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Odpověď strany této smlouvy, podle § 1740 odst. 3 občanského zákoníku, s dodatkem nebo odchylkou, není přijetím nabídky na uzavření této smlouvy, ani když podstatně nemění podmínky nabídky.</w:t>
      </w:r>
    </w:p>
    <w:p w:rsidR="00026058" w:rsidRDefault="00026058" w:rsidP="00026058">
      <w:pPr>
        <w:pStyle w:val="Normln1"/>
        <w:pBdr>
          <w:top w:val="nil"/>
          <w:left w:val="nil"/>
          <w:bottom w:val="nil"/>
          <w:right w:val="nil"/>
          <w:between w:val="nil"/>
        </w:pBdr>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rsidR="00026058" w:rsidRDefault="00026058" w:rsidP="00026058">
      <w:pPr>
        <w:pStyle w:val="Normln1"/>
        <w:pBdr>
          <w:top w:val="nil"/>
          <w:left w:val="nil"/>
          <w:bottom w:val="nil"/>
          <w:right w:val="nil"/>
          <w:between w:val="nil"/>
        </w:pBdr>
        <w:jc w:val="both"/>
        <w:rPr>
          <w:color w:val="000000"/>
          <w:sz w:val="22"/>
          <w:szCs w:val="22"/>
        </w:rPr>
      </w:pPr>
    </w:p>
    <w:p w:rsidR="00026058" w:rsidRDefault="00026058" w:rsidP="00026058">
      <w:pPr>
        <w:pStyle w:val="Normln1"/>
        <w:numPr>
          <w:ilvl w:val="0"/>
          <w:numId w:val="10"/>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p w:rsidR="00026058" w:rsidRDefault="00026058" w:rsidP="00026058">
      <w:pPr>
        <w:pStyle w:val="Normln1"/>
        <w:jc w:val="center"/>
        <w:rPr>
          <w:sz w:val="22"/>
          <w:szCs w:val="22"/>
        </w:rPr>
      </w:pPr>
    </w:p>
    <w:p w:rsidR="00026058" w:rsidRDefault="00026058" w:rsidP="00026058">
      <w:pPr>
        <w:pStyle w:val="Normln1"/>
        <w:spacing w:before="120" w:after="120"/>
        <w:jc w:val="both"/>
        <w:rPr>
          <w:sz w:val="22"/>
          <w:szCs w:val="22"/>
        </w:rPr>
      </w:pPr>
    </w:p>
    <w:tbl>
      <w:tblPr>
        <w:tblW w:w="8951" w:type="dxa"/>
        <w:tblLayout w:type="fixed"/>
        <w:tblLook w:val="0000"/>
      </w:tblPr>
      <w:tblGrid>
        <w:gridCol w:w="4626"/>
        <w:gridCol w:w="4325"/>
      </w:tblGrid>
      <w:tr w:rsidR="00026058" w:rsidTr="00943091">
        <w:tc>
          <w:tcPr>
            <w:tcW w:w="4626" w:type="dxa"/>
          </w:tcPr>
          <w:p w:rsidR="00026058" w:rsidRDefault="00026058" w:rsidP="00943091">
            <w:pPr>
              <w:pStyle w:val="Normln1"/>
              <w:ind w:right="1440" w:hanging="2"/>
              <w:rPr>
                <w:sz w:val="22"/>
                <w:szCs w:val="22"/>
              </w:rPr>
            </w:pPr>
            <w:r>
              <w:rPr>
                <w:sz w:val="22"/>
                <w:szCs w:val="22"/>
              </w:rPr>
              <w:t>V Praze dne …..</w:t>
            </w: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r>
              <w:rPr>
                <w:b/>
                <w:sz w:val="22"/>
                <w:szCs w:val="22"/>
              </w:rPr>
              <w:t>NFA:</w:t>
            </w: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r>
              <w:rPr>
                <w:sz w:val="22"/>
                <w:szCs w:val="22"/>
              </w:rPr>
              <w:t>___________________________</w:t>
            </w:r>
          </w:p>
          <w:p w:rsidR="00026058" w:rsidRDefault="00026058" w:rsidP="00943091">
            <w:pPr>
              <w:pStyle w:val="Normln1"/>
              <w:ind w:right="1440" w:hanging="2"/>
              <w:rPr>
                <w:sz w:val="22"/>
                <w:szCs w:val="22"/>
              </w:rPr>
            </w:pPr>
            <w:r>
              <w:rPr>
                <w:b/>
                <w:sz w:val="22"/>
                <w:szCs w:val="22"/>
              </w:rPr>
              <w:t>Národní filmový archiv</w:t>
            </w:r>
          </w:p>
          <w:p w:rsidR="00026058" w:rsidRDefault="00371C9E" w:rsidP="00943091">
            <w:pPr>
              <w:pStyle w:val="Normln1"/>
              <w:ind w:right="1440" w:hanging="2"/>
              <w:rPr>
                <w:sz w:val="22"/>
                <w:szCs w:val="22"/>
              </w:rPr>
            </w:pPr>
            <w:r>
              <w:rPr>
                <w:sz w:val="22"/>
                <w:szCs w:val="22"/>
              </w:rPr>
              <w:t>xxx</w:t>
            </w:r>
            <w:r w:rsidR="00026058">
              <w:rPr>
                <w:sz w:val="22"/>
                <w:szCs w:val="22"/>
              </w:rPr>
              <w:t xml:space="preserve">, </w:t>
            </w:r>
          </w:p>
          <w:p w:rsidR="00026058" w:rsidRDefault="00026058" w:rsidP="00943091">
            <w:pPr>
              <w:pStyle w:val="Normln1"/>
              <w:ind w:right="1440" w:hanging="2"/>
              <w:rPr>
                <w:sz w:val="22"/>
                <w:szCs w:val="22"/>
              </w:rPr>
            </w:pPr>
            <w:r>
              <w:rPr>
                <w:sz w:val="22"/>
                <w:szCs w:val="22"/>
              </w:rPr>
              <w:t>generální ředitel</w:t>
            </w:r>
          </w:p>
        </w:tc>
        <w:tc>
          <w:tcPr>
            <w:tcW w:w="4325" w:type="dxa"/>
          </w:tcPr>
          <w:p w:rsidR="00026058" w:rsidRDefault="00026058" w:rsidP="00943091">
            <w:pPr>
              <w:pStyle w:val="Normln1"/>
              <w:ind w:right="1440" w:hanging="2"/>
              <w:rPr>
                <w:sz w:val="22"/>
                <w:szCs w:val="22"/>
              </w:rPr>
            </w:pPr>
            <w:r>
              <w:rPr>
                <w:sz w:val="22"/>
                <w:szCs w:val="22"/>
              </w:rPr>
              <w:t>V Praze dne …..</w:t>
            </w: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r>
              <w:rPr>
                <w:b/>
                <w:sz w:val="22"/>
                <w:szCs w:val="22"/>
              </w:rPr>
              <w:t>Nabyvatel:</w:t>
            </w: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r>
              <w:rPr>
                <w:sz w:val="22"/>
                <w:szCs w:val="22"/>
              </w:rPr>
              <w:t>________________________</w:t>
            </w:r>
          </w:p>
          <w:p w:rsidR="00291863" w:rsidRDefault="00291863" w:rsidP="00291863">
            <w:pPr>
              <w:pStyle w:val="Normln1"/>
              <w:pBdr>
                <w:top w:val="nil"/>
                <w:left w:val="nil"/>
                <w:bottom w:val="nil"/>
                <w:right w:val="nil"/>
                <w:between w:val="nil"/>
              </w:pBdr>
              <w:rPr>
                <w:b/>
                <w:color w:val="000000"/>
                <w:sz w:val="22"/>
                <w:szCs w:val="22"/>
              </w:rPr>
            </w:pPr>
            <w:r w:rsidRPr="00995D9C">
              <w:rPr>
                <w:b/>
                <w:color w:val="000000"/>
                <w:sz w:val="22"/>
                <w:szCs w:val="22"/>
              </w:rPr>
              <w:t xml:space="preserve">Muzeum paměti XX. století, z.ú. </w:t>
            </w:r>
          </w:p>
          <w:p w:rsidR="00291863" w:rsidRDefault="00371C9E" w:rsidP="00291863">
            <w:pPr>
              <w:pStyle w:val="Normln1"/>
              <w:ind w:right="797" w:hanging="2"/>
              <w:rPr>
                <w:sz w:val="22"/>
                <w:szCs w:val="22"/>
              </w:rPr>
            </w:pPr>
            <w:r>
              <w:rPr>
                <w:sz w:val="22"/>
                <w:szCs w:val="22"/>
              </w:rPr>
              <w:t>xxx</w:t>
            </w:r>
            <w:r w:rsidR="00291863">
              <w:rPr>
                <w:sz w:val="22"/>
                <w:szCs w:val="22"/>
              </w:rPr>
              <w:t xml:space="preserve">., </w:t>
            </w:r>
          </w:p>
          <w:p w:rsidR="00291863" w:rsidRDefault="00291863" w:rsidP="00291863">
            <w:pPr>
              <w:pStyle w:val="Normln1"/>
              <w:ind w:right="797" w:hanging="2"/>
              <w:rPr>
                <w:sz w:val="22"/>
                <w:szCs w:val="22"/>
              </w:rPr>
            </w:pPr>
            <w:r>
              <w:rPr>
                <w:sz w:val="22"/>
                <w:szCs w:val="22"/>
              </w:rPr>
              <w:t>ředitel</w:t>
            </w:r>
          </w:p>
          <w:p w:rsidR="00026058" w:rsidRDefault="00026058" w:rsidP="00943091">
            <w:pPr>
              <w:pStyle w:val="Normln1"/>
              <w:ind w:right="1440" w:hanging="2"/>
              <w:rPr>
                <w:sz w:val="22"/>
                <w:szCs w:val="22"/>
              </w:rPr>
            </w:pPr>
          </w:p>
          <w:p w:rsidR="00026058" w:rsidRDefault="00026058" w:rsidP="00943091">
            <w:pPr>
              <w:pStyle w:val="Normln1"/>
              <w:ind w:right="1440" w:hanging="2"/>
              <w:rPr>
                <w:sz w:val="22"/>
                <w:szCs w:val="22"/>
              </w:rPr>
            </w:pPr>
          </w:p>
        </w:tc>
      </w:tr>
    </w:tbl>
    <w:p w:rsidR="00026058" w:rsidRDefault="00026058" w:rsidP="00026058">
      <w:pPr>
        <w:pStyle w:val="Normln1"/>
        <w:rPr>
          <w:sz w:val="22"/>
          <w:szCs w:val="22"/>
        </w:rPr>
      </w:pPr>
    </w:p>
    <w:p w:rsidR="00026058" w:rsidRDefault="00026058" w:rsidP="00026058">
      <w:pPr>
        <w:pStyle w:val="Normln1"/>
        <w:rPr>
          <w:sz w:val="22"/>
          <w:szCs w:val="22"/>
        </w:rPr>
      </w:pPr>
    </w:p>
    <w:p w:rsidR="00026058" w:rsidRDefault="00026058" w:rsidP="00026058">
      <w:pPr>
        <w:pStyle w:val="Normln1"/>
        <w:rPr>
          <w:sz w:val="22"/>
          <w:szCs w:val="22"/>
        </w:rPr>
      </w:pPr>
    </w:p>
    <w:p w:rsidR="00B938A4" w:rsidRDefault="00B938A4" w:rsidP="00026058">
      <w:pPr>
        <w:ind w:left="0" w:hanging="2"/>
      </w:pPr>
    </w:p>
    <w:sectPr w:rsidR="00B938A4" w:rsidSect="001369EB">
      <w:headerReference w:type="even" r:id="rId7"/>
      <w:headerReference w:type="default" r:id="rId8"/>
      <w:footerReference w:type="even" r:id="rId9"/>
      <w:footerReference w:type="default" r:id="rId10"/>
      <w:headerReference w:type="first" r:id="rId11"/>
      <w:footerReference w:type="first" r:id="rId12"/>
      <w:pgSz w:w="11906" w:h="16838"/>
      <w:pgMar w:top="720" w:right="1133" w:bottom="720"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20F" w:rsidRDefault="0023520F">
      <w:pPr>
        <w:spacing w:line="240" w:lineRule="auto"/>
        <w:ind w:left="0" w:hanging="2"/>
      </w:pPr>
      <w:r>
        <w:separator/>
      </w:r>
    </w:p>
  </w:endnote>
  <w:endnote w:type="continuationSeparator" w:id="1">
    <w:p w:rsidR="0023520F" w:rsidRDefault="0023520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C" w:rsidRDefault="0023520F" w:rsidP="00995D9C">
    <w:pPr>
      <w:pStyle w:val="Zpat"/>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EB" w:rsidRDefault="00291863">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3B1E6A">
      <w:rPr>
        <w:b/>
        <w:color w:val="000000"/>
      </w:rPr>
      <w:fldChar w:fldCharType="begin"/>
    </w:r>
    <w:r>
      <w:rPr>
        <w:b/>
        <w:color w:val="000000"/>
      </w:rPr>
      <w:instrText>PAGE</w:instrText>
    </w:r>
    <w:r w:rsidR="003B1E6A">
      <w:rPr>
        <w:b/>
        <w:color w:val="000000"/>
      </w:rPr>
      <w:fldChar w:fldCharType="separate"/>
    </w:r>
    <w:r w:rsidR="00371C9E">
      <w:rPr>
        <w:b/>
        <w:noProof/>
        <w:color w:val="000000"/>
      </w:rPr>
      <w:t>1</w:t>
    </w:r>
    <w:r w:rsidR="003B1E6A">
      <w:rPr>
        <w:b/>
        <w:color w:val="000000"/>
      </w:rPr>
      <w:fldChar w:fldCharType="end"/>
    </w:r>
    <w:r>
      <w:rPr>
        <w:color w:val="000000"/>
      </w:rPr>
      <w:t xml:space="preserve"> z </w:t>
    </w:r>
    <w:r w:rsidR="003B1E6A">
      <w:rPr>
        <w:b/>
        <w:color w:val="000000"/>
      </w:rPr>
      <w:fldChar w:fldCharType="begin"/>
    </w:r>
    <w:r>
      <w:rPr>
        <w:b/>
        <w:color w:val="000000"/>
      </w:rPr>
      <w:instrText>NUMPAGES</w:instrText>
    </w:r>
    <w:r w:rsidR="003B1E6A">
      <w:rPr>
        <w:b/>
        <w:color w:val="000000"/>
      </w:rPr>
      <w:fldChar w:fldCharType="separate"/>
    </w:r>
    <w:r w:rsidR="00371C9E">
      <w:rPr>
        <w:b/>
        <w:noProof/>
        <w:color w:val="000000"/>
      </w:rPr>
      <w:t>5</w:t>
    </w:r>
    <w:r w:rsidR="003B1E6A">
      <w:rPr>
        <w:b/>
        <w:color w:val="000000"/>
      </w:rPr>
      <w:fldChar w:fldCharType="end"/>
    </w:r>
  </w:p>
  <w:p w:rsidR="001369EB" w:rsidRDefault="0023520F">
    <w:pPr>
      <w:pStyle w:val="Normln1"/>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C" w:rsidRDefault="0023520F" w:rsidP="00995D9C">
    <w:pPr>
      <w:pStyle w:val="Zpat"/>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20F" w:rsidRDefault="0023520F">
      <w:pPr>
        <w:spacing w:line="240" w:lineRule="auto"/>
        <w:ind w:left="0" w:hanging="2"/>
      </w:pPr>
      <w:r>
        <w:separator/>
      </w:r>
    </w:p>
  </w:footnote>
  <w:footnote w:type="continuationSeparator" w:id="1">
    <w:p w:rsidR="0023520F" w:rsidRDefault="0023520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C" w:rsidRDefault="0023520F" w:rsidP="00995D9C">
    <w:pPr>
      <w:pStyle w:val="Zhlav"/>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EB" w:rsidRDefault="0023520F" w:rsidP="00995D9C">
    <w:pPr>
      <w:pStyle w:val="Zhlav"/>
      <w:ind w:left="0" w:hanging="2"/>
      <w:rPr>
        <w:szCs w:val="16"/>
      </w:rPr>
    </w:pPr>
  </w:p>
  <w:p w:rsidR="00995D9C" w:rsidRPr="00995D9C" w:rsidRDefault="0023520F" w:rsidP="00995D9C">
    <w:pPr>
      <w:pStyle w:val="Zhlav"/>
      <w:ind w:left="0" w:hanging="2"/>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C" w:rsidRDefault="0023520F" w:rsidP="00995D9C">
    <w:pPr>
      <w:pStyle w:val="Zhlav"/>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19D"/>
    <w:multiLevelType w:val="multilevel"/>
    <w:tmpl w:val="E2C09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211"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2617D6B"/>
    <w:multiLevelType w:val="multilevel"/>
    <w:tmpl w:val="7820C2C8"/>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6871A69"/>
    <w:multiLevelType w:val="multilevel"/>
    <w:tmpl w:val="C0D2C16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0E917439"/>
    <w:multiLevelType w:val="multilevel"/>
    <w:tmpl w:val="F3025D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10DF6BEF"/>
    <w:multiLevelType w:val="hybridMultilevel"/>
    <w:tmpl w:val="9CC83F16"/>
    <w:lvl w:ilvl="0" w:tplc="7A36C64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7B4A3C"/>
    <w:multiLevelType w:val="multilevel"/>
    <w:tmpl w:val="49722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E654B7"/>
    <w:multiLevelType w:val="multilevel"/>
    <w:tmpl w:val="7058578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7">
    <w:nsid w:val="400A020B"/>
    <w:multiLevelType w:val="multilevel"/>
    <w:tmpl w:val="0AE66DA6"/>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8">
    <w:nsid w:val="63B260C8"/>
    <w:multiLevelType w:val="multilevel"/>
    <w:tmpl w:val="42A66908"/>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65EC4D48"/>
    <w:multiLevelType w:val="multilevel"/>
    <w:tmpl w:val="211200CE"/>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751C7834"/>
    <w:multiLevelType w:val="hybridMultilevel"/>
    <w:tmpl w:val="5F8E550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1">
    <w:nsid w:val="784A74AC"/>
    <w:multiLevelType w:val="multilevel"/>
    <w:tmpl w:val="903CF72C"/>
    <w:lvl w:ilvl="0">
      <w:start w:val="6"/>
      <w:numFmt w:val="bullet"/>
      <w:lvlText w:val="-"/>
      <w:lvlJc w:val="left"/>
      <w:pPr>
        <w:ind w:left="1069" w:hanging="360"/>
      </w:pPr>
      <w:rPr>
        <w:rFonts w:ascii="Verdana" w:eastAsia="Verdana" w:hAnsi="Verdana" w:cs="Verdana"/>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7"/>
  </w:num>
  <w:num w:numId="4">
    <w:abstractNumId w:val="1"/>
  </w:num>
  <w:num w:numId="5">
    <w:abstractNumId w:val="5"/>
  </w:num>
  <w:num w:numId="6">
    <w:abstractNumId w:val="11"/>
  </w:num>
  <w:num w:numId="7">
    <w:abstractNumId w:val="3"/>
  </w:num>
  <w:num w:numId="8">
    <w:abstractNumId w:val="2"/>
  </w:num>
  <w:num w:numId="9">
    <w:abstractNumId w:val="9"/>
  </w:num>
  <w:num w:numId="10">
    <w:abstractNumId w:val="8"/>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6058"/>
    <w:rsid w:val="00026058"/>
    <w:rsid w:val="00165A2F"/>
    <w:rsid w:val="0023520F"/>
    <w:rsid w:val="00291863"/>
    <w:rsid w:val="00371C9E"/>
    <w:rsid w:val="003B1E6A"/>
    <w:rsid w:val="005F0AF5"/>
    <w:rsid w:val="00B938A4"/>
    <w:rsid w:val="00CC78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1"/>
    <w:autoRedefine/>
    <w:hidden/>
    <w:qFormat/>
    <w:rsid w:val="0002605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026058"/>
    <w:pPr>
      <w:spacing w:after="0" w:line="240" w:lineRule="auto"/>
    </w:pPr>
    <w:rPr>
      <w:rFonts w:ascii="Times New Roman" w:eastAsia="Times New Roman" w:hAnsi="Times New Roman" w:cs="Times New Roman"/>
      <w:sz w:val="24"/>
      <w:szCs w:val="24"/>
      <w:lang w:eastAsia="cs-CZ"/>
    </w:rPr>
  </w:style>
  <w:style w:type="character" w:styleId="Hypertextovodkaz">
    <w:name w:val="Hyperlink"/>
    <w:autoRedefine/>
    <w:hidden/>
    <w:qFormat/>
    <w:rsid w:val="00026058"/>
    <w:rPr>
      <w:color w:val="0000FF"/>
      <w:w w:val="100"/>
      <w:position w:val="-1"/>
      <w:u w:val="single"/>
      <w:effect w:val="none"/>
      <w:vertAlign w:val="baseline"/>
      <w:cs w:val="0"/>
      <w:em w:val="none"/>
    </w:rPr>
  </w:style>
  <w:style w:type="paragraph" w:styleId="Zhlav">
    <w:name w:val="header"/>
    <w:basedOn w:val="Normln"/>
    <w:link w:val="ZhlavChar"/>
    <w:uiPriority w:val="99"/>
    <w:semiHidden/>
    <w:unhideWhenUsed/>
    <w:rsid w:val="00026058"/>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026058"/>
    <w:rPr>
      <w:rFonts w:ascii="Times New Roman" w:eastAsia="Times New Roman" w:hAnsi="Times New Roman" w:cs="Times New Roman"/>
      <w:position w:val="-1"/>
      <w:sz w:val="24"/>
      <w:szCs w:val="24"/>
      <w:lang w:eastAsia="cs-CZ"/>
    </w:rPr>
  </w:style>
  <w:style w:type="paragraph" w:styleId="Zpat">
    <w:name w:val="footer"/>
    <w:basedOn w:val="Normln"/>
    <w:link w:val="ZpatChar"/>
    <w:uiPriority w:val="99"/>
    <w:semiHidden/>
    <w:unhideWhenUsed/>
    <w:rsid w:val="00026058"/>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026058"/>
    <w:rPr>
      <w:rFonts w:ascii="Times New Roman" w:eastAsia="Times New Roman" w:hAnsi="Times New Roman" w:cs="Times New Roman"/>
      <w:position w:val="-1"/>
      <w:sz w:val="24"/>
      <w:szCs w:val="24"/>
      <w:lang w:eastAsia="cs-CZ"/>
    </w:rPr>
  </w:style>
  <w:style w:type="paragraph" w:styleId="Odstavecseseznamem">
    <w:name w:val="List Paragraph"/>
    <w:basedOn w:val="Normln"/>
    <w:uiPriority w:val="34"/>
    <w:qFormat/>
    <w:rsid w:val="00026058"/>
    <w:pPr>
      <w:ind w:left="720"/>
      <w:contextualSpacing/>
    </w:pPr>
  </w:style>
  <w:style w:type="character" w:customStyle="1" w:styleId="UnresolvedMention">
    <w:name w:val="Unresolved Mention"/>
    <w:basedOn w:val="Standardnpsmoodstavce"/>
    <w:uiPriority w:val="99"/>
    <w:semiHidden/>
    <w:unhideWhenUsed/>
    <w:rsid w:val="00165A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11943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Lukáš Hanzal</cp:lastModifiedBy>
  <cp:revision>2</cp:revision>
  <dcterms:created xsi:type="dcterms:W3CDTF">2022-01-06T14:39:00Z</dcterms:created>
  <dcterms:modified xsi:type="dcterms:W3CDTF">2022-01-06T14:39:00Z</dcterms:modified>
</cp:coreProperties>
</file>