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VYPOŘÁDÁNÍ ZÁVAZKŮ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35" w:lineRule="auto"/>
        <w:ind w:left="0" w:right="0" w:firstLine="1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uzavřená dle § 1746, odst. 2 zákona č. 89/2012 Sb., občanský zákoník, v platném znění, mezí těmito stranami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Objednatelem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Galerie výtvarného umění v Chebu, p. o. Karlovarského kraje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Náměstí Krále Jiřího z Poděbrad 10/16, 350 02 Cheb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00369021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Neplátce DPH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Cheb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  <w:tab/>
        <w:t>174-3438331/0100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</w:t>
        <w:tab/>
        <w:t>Mgr. Marcelem Fišerem, PhD. - ředitelem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v obchodním rejstříku vedeném Krajským soudem v Plzni, oddíl Pr. vložka 531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5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straně jedné jako objednatel (dále jen „objednatel“)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Zhotovitelem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LEKY s.r.o.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Milčice 106, 289 11 Pečky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26169274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CZ26169274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ČSOB Nymburk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  <w:tab/>
        <w:t>216405066/0300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</w:t>
        <w:tab/>
        <w:t>Barborou Polákovou, jednatelkou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v obchodním rejstříku vedeném Městským soudem v Praze, oddíl C, vložka 76485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druhé jako zhotovitel (dále jen „zhotovitel“)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57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jako „smluvní strany“)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100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skutkového stavu</w:t>
      </w:r>
      <w:bookmarkEnd w:id="6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398" w:val="left"/>
        </w:tabs>
        <w:bidi w:val="0"/>
        <w:spacing w:before="0" w:line="312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uzavřely dne 12. 3. 2020 Smlouvu o dílo na veřejnou zakázku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„Zhotovení dvojice vestavěných skleněných výstavních vitrín pro expozici v chebském Retromuseu - pobočka GAVU Cheb“.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Tato smlouva byla uzavřena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souladu se zadávacím řízení na veřejnou zakázku malého rozsahu dle zákona 134/2016 Sb. v platném znění, které bylo zahájeno 18. 2. 2020. odesláním výzvy na </w:t>
      </w:r>
      <w:r>
        <w:fldChar w:fldCharType="begin"/>
      </w:r>
      <w:r>
        <w:rPr/>
        <w:instrText> HYPERLINK "https://ezak.kr-karlovarskv.cz/vz00003450"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https://ezak.kr-karlovarskv.cz/vz00003450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na základě protokolu z 1. jednání hodnotící komise ze dne 11.3.2020 a zprávě o hodnocení nabídek a výběru dodavatele ze dne 11. 3. 2020.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18" w:val="left"/>
        </w:tabs>
        <w:bidi w:val="0"/>
        <w:spacing w:before="0" w:line="314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Strana objednatele je povinným subjektem pro zveřejňování v registru smluv dle smlouvy uvedené v odstavci 1.1 tohoto článku a má povinnost uzavřenou smlouvu zveřejnit postupem podle zákona č. 340/2015 Sb. zákon o registru smluv v platném znění.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Obě smluvní strany shodně konstatují, že došlo k uveřejnění výše uvedené Smlouvy o dílo na veřejnou zakázku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„Zhotovení dvojice vestavěných skleněných výstavních vitrín pro expozici v chebském Retromuseu - pobočka GAVU Cheb“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až 27. 7. 2020, a že jsou si vědomi právních následků s tím spojených.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22" w:val="left"/>
        </w:tabs>
        <w:bidi w:val="0"/>
        <w:spacing w:before="0" w:after="420" w:line="307" w:lineRule="auto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důsledku pozdního uveřejnění smlouvy v registru smluv, sjednávají smluvní strany tuto novou smlouvu ve znění, jak dále uvedeno.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70" w:val="left"/>
        </w:tabs>
        <w:bidi w:val="0"/>
        <w:spacing w:before="0" w:after="100" w:line="317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závazky smluvních stran</w:t>
      </w:r>
      <w:bookmarkEnd w:id="8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56" w:val="left"/>
        </w:tabs>
        <w:bidi w:val="0"/>
        <w:spacing w:before="0" w:after="180" w:line="276" w:lineRule="auto"/>
        <w:ind w:left="6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řídí původně sjednanou smlouvou.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180" w:line="319" w:lineRule="auto"/>
        <w:ind w:left="6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veškeré vzájemné poskytnutí plnění na základě původně sjednané smlouvy považují za plnění dle této smlouvy a že v souvislosti se vzájemně poskytnutím plněním nebudou vzájemně vznášet vůči druhé smluvní straně nároky z titulu bezdůvodného obohacení.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0" w:val="left"/>
        </w:tabs>
        <w:bidi w:val="0"/>
        <w:spacing w:before="0" w:after="240" w:line="307" w:lineRule="auto"/>
        <w:ind w:left="6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veškerá budoucí plnění z této smlouvy, která mají být od okamžiku jejího uveřejnění v registru smluv plněna v souladu s obsahem vzájemných závazků, vyjádřeným v příloze této smlouvy, budou splněna podle sjednaných podmínek.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85" w:val="left"/>
        </w:tabs>
        <w:bidi w:val="0"/>
        <w:spacing w:before="0" w:after="420" w:line="317" w:lineRule="auto"/>
        <w:ind w:left="6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strana, která je povinným subjektem pro zveřejňování v registru smluv dle smlouvy uvedené v čl. I odst. 1 této smlouvy, se tímto zavazuje druhé smluvní straně k neprodlenému zveřejnění této smlouvy a její kompletní přílohy v registru smluv v souladu s ustanovením § 5 zákona o registru smluv.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18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3.1 Tato smlouva o vypořádání závazků nabývá účinnosti dnem uveřejnění v registru smluv.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560" w:right="0" w:hanging="56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909" w:right="1964" w:bottom="2213" w:left="1554" w:header="1481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3.2 Tato smlouva o vypořádání závazků je vyhotovena ve dvou stejnopisech, každý s hodnotou originálu, přičemž každá ze smluvních stran obdrží jeden stejnopis.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5" w:after="5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38" w:right="0" w:bottom="202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252730" distL="0" distR="1134110" simplePos="0" relativeHeight="125829378" behindDoc="0" locked="0" layoutInCell="1" allowOverlap="1">
            <wp:simplePos x="0" y="0"/>
            <wp:positionH relativeFrom="page">
              <wp:posOffset>1282700</wp:posOffset>
            </wp:positionH>
            <wp:positionV relativeFrom="paragraph">
              <wp:posOffset>152400</wp:posOffset>
            </wp:positionV>
            <wp:extent cx="1029970" cy="463550"/>
            <wp:wrapTight wrapText="bothSides">
              <wp:wrapPolygon>
                <wp:start x="20897" y="0"/>
                <wp:lineTo x="21600" y="0"/>
                <wp:lineTo x="21600" y="21600"/>
                <wp:lineTo x="0" y="21600"/>
                <wp:lineTo x="0" y="3126"/>
                <wp:lineTo x="20194" y="3126"/>
                <wp:lineTo x="20194" y="284"/>
                <wp:lineTo x="20897" y="284"/>
                <wp:lineTo x="20897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029970" cy="4635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2510790</wp:posOffset>
                </wp:positionH>
                <wp:positionV relativeFrom="paragraph">
                  <wp:posOffset>182880</wp:posOffset>
                </wp:positionV>
                <wp:extent cx="935990" cy="49403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9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s.r.o.</w:t>
                            </w:r>
                          </w:p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klíčíce 106 289 11 Pečky DíC: CZ26169274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97.70000000000002pt;margin-top:14.4pt;width:73.700000000000003pt;height:38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9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klíčíce 106 289 11 Pečky DíC: CZ26169274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709930</wp:posOffset>
                </wp:positionV>
                <wp:extent cx="588010" cy="15875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33.90000000000001pt;margin-top:55.899999999999999pt;width:46.300000000000004pt;height:12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V Milčicích dne ■5-/.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2^22-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Chebu dne 3. 1.2022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 xml:space="preserve">Marce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Marcel Fišer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leader="hyphen" w:pos="581" w:val="left"/>
          <w:tab w:leader="hyphen" w:pos="14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■—aw i v</w:t>
        <w:tab/>
        <w:t xml:space="preserve"> D</w:t>
      </w:r>
      <w:r>
        <w:rPr>
          <w:rFonts w:ascii="Arial" w:eastAsia="Arial" w:hAnsi="Arial" w:cs="Arial"/>
          <w:strike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at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</w:t>
      </w:r>
      <w:r>
        <w:rPr>
          <w:rFonts w:ascii="Arial" w:eastAsia="Arial" w:hAnsi="Arial" w:cs="Arial"/>
          <w:strike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 2022.03 3-—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122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 xml:space="preserve">I rlSef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213225+01'00’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objednatél Mgrfvlarcel Fišer PhD.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38" w:right="2588" w:bottom="2024" w:left="1570" w:header="0" w:footer="3" w:gutter="0"/>
      <w:cols w:num="2" w:space="205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9420225</wp:posOffset>
              </wp:positionV>
              <wp:extent cx="21590" cy="762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90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6.30000000000001pt;margin-top:741.75pt;width:1.7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 (4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3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Titulek obrázku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5">
    <w:name w:val="Základní text (2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13"/>
      <w:szCs w:val="13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2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100" w:line="31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auto"/>
      <w:spacing w:line="360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 (4)"/>
    <w:basedOn w:val="Normal"/>
    <w:link w:val="CharStyle14"/>
    <w:pPr>
      <w:widowControl w:val="0"/>
      <w:shd w:val="clear" w:color="auto" w:fill="auto"/>
      <w:spacing w:line="44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auto"/>
      <w:spacing w:after="140" w:line="312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Titulek obrázku"/>
    <w:basedOn w:val="Normal"/>
    <w:link w:val="CharStyle20"/>
    <w:pPr>
      <w:widowControl w:val="0"/>
      <w:shd w:val="clear" w:color="auto" w:fill="auto"/>
      <w:spacing w:line="22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4">
    <w:name w:val="Základní text (2)"/>
    <w:basedOn w:val="Normal"/>
    <w:link w:val="CharStyle25"/>
    <w:pPr>
      <w:widowControl w:val="0"/>
      <w:shd w:val="clear" w:color="auto" w:fill="auto"/>
      <w:ind w:right="260" w:firstLine="2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/Relationships>
</file>