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jc w:val="both"/>
      </w:pPr>
      <w:bookmarkStart w:id="0" w:name="bookmark0"/>
      <w:bookmarkStart w:id="1" w:name="bookmark1"/>
      <w:r>
        <w:rPr>
          <w:color w:val="000000"/>
          <w:spacing w:val="0"/>
          <w:w w:val="100"/>
          <w:position w:val="0"/>
          <w:sz w:val="24"/>
          <w:szCs w:val="24"/>
          <w:shd w:val="clear" w:color="auto" w:fill="auto"/>
          <w:lang w:val="cs-CZ" w:eastAsia="cs-CZ" w:bidi="cs-CZ"/>
        </w:rPr>
        <w:t>Smlouva o provedení dozorového auditu ČSN EN ISO 14001:2016</w:t>
      </w:r>
      <w:bookmarkEnd w:id="0"/>
      <w:bookmarkEnd w:id="1"/>
    </w:p>
    <w:p>
      <w:pPr>
        <w:pStyle w:val="Style4"/>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tbl>
      <w:tblPr>
        <w:tblOverlap w:val="never"/>
        <w:jc w:val="center"/>
        <w:tblLayout w:type="fixed"/>
      </w:tblPr>
      <w:tblGrid>
        <w:gridCol w:w="1819"/>
        <w:gridCol w:w="7104"/>
      </w:tblGrid>
      <w:tr>
        <w:trPr>
          <w:trHeight w:val="59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8"/>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w:t>
            </w:r>
          </w:p>
          <w:p>
            <w:pPr>
              <w:pStyle w:val="Style8"/>
              <w:keepNext w:val="0"/>
              <w:keepLines w:val="0"/>
              <w:widowControl w:val="0"/>
              <w:shd w:val="clear" w:color="auto" w:fill="auto"/>
              <w:bidi w:val="0"/>
              <w:spacing w:before="0" w:after="0" w:line="240" w:lineRule="auto"/>
              <w:ind w:left="1980" w:right="0" w:firstLine="0"/>
              <w:jc w:val="left"/>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46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zastoupený:</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Radovanem Necidem, ředitelem organizace Komerční banka, a.s.</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bl>
      <w:tblPr>
        <w:tblOverlap w:val="never"/>
        <w:jc w:val="center"/>
        <w:tblLayout w:type="fixed"/>
      </w:tblPr>
      <w:tblGrid>
        <w:gridCol w:w="1819"/>
        <w:gridCol w:w="7104"/>
      </w:tblGrid>
      <w:tr>
        <w:trPr>
          <w:trHeight w:val="25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tbl>
      <w:tblPr>
        <w:tblOverlap w:val="never"/>
        <w:jc w:val="center"/>
        <w:tblLayout w:type="fixed"/>
      </w:tblPr>
      <w:tblGrid>
        <w:gridCol w:w="1819"/>
        <w:gridCol w:w="7104"/>
      </w:tblGrid>
      <w:tr>
        <w:trPr>
          <w:trHeight w:val="571" w:hRule="exact"/>
        </w:trPr>
        <w:tc>
          <w:tcPr>
            <w:tcBorders/>
            <w:shd w:val="clear" w:color="auto" w:fill="FFFFFF"/>
            <w:vAlign w:val="bottom"/>
          </w:tcPr>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412/74, Praha 9, Prosek</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Ing. Tomášem Hruškou, předsedou sdružení zapsána ve spolkovém rejstříku u Městského soudu v Praze, sp. zn. L 58728 Osoby pověřené jednat jménem auditní společnosti ve věcech</w:t>
      </w:r>
    </w:p>
    <w:tbl>
      <w:tblPr>
        <w:tblOverlap w:val="never"/>
        <w:jc w:val="center"/>
        <w:tblLayout w:type="fixed"/>
      </w:tblPr>
      <w:tblGrid>
        <w:gridCol w:w="1819"/>
        <w:gridCol w:w="7104"/>
      </w:tblGrid>
      <w:tr>
        <w:trPr>
          <w:trHeight w:val="211"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výkonná ředitelka</w:t>
            </w:r>
          </w:p>
        </w:tc>
      </w:tr>
      <w:tr>
        <w:trPr>
          <w:trHeight w:val="20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center"/>
        <w:tblLayout w:type="fixed"/>
      </w:tblPr>
      <w:tblGrid>
        <w:gridCol w:w="1819"/>
        <w:gridCol w:w="7104"/>
      </w:tblGrid>
      <w:tr>
        <w:trPr>
          <w:trHeight w:val="114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II.</w:t>
            </w:r>
          </w:p>
          <w:p>
            <w:pPr>
              <w:pStyle w:val="Style8"/>
              <w:keepNext w:val="0"/>
              <w:keepLines w:val="0"/>
              <w:widowControl w:val="0"/>
              <w:shd w:val="clear" w:color="auto" w:fill="auto"/>
              <w:bidi w:val="0"/>
              <w:spacing w:before="0" w:after="0" w:line="240" w:lineRule="auto"/>
              <w:ind w:left="1880" w:right="0" w:firstLine="0"/>
              <w:jc w:val="left"/>
            </w:pPr>
            <w:r>
              <w:rPr>
                <w:b/>
                <w:bCs/>
                <w:color w:val="000000"/>
                <w:spacing w:val="0"/>
                <w:w w:val="100"/>
                <w:position w:val="0"/>
                <w:shd w:val="clear" w:color="auto" w:fill="auto"/>
                <w:lang w:val="cs-CZ" w:eastAsia="cs-CZ" w:bidi="cs-CZ"/>
              </w:rPr>
              <w:t>Předmět smlouvy</w:t>
            </w:r>
          </w:p>
        </w:tc>
      </w:tr>
    </w:tbl>
    <w:p>
      <w:pPr>
        <w:widowControl w:val="0"/>
        <w:spacing w:after="219" w:line="1" w:lineRule="exact"/>
      </w:pPr>
    </w:p>
    <w:p>
      <w:pPr>
        <w:pStyle w:val="Style4"/>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dozorový audit ČSN EN ISO 14001:2016, jejímž předmětem je Správa a údržba silnic včetně provádění souvisejících staveb a odstraňování a poskytování technických služeb dle normy ČSN EN ISO 14001 (EMS).</w:t>
      </w:r>
    </w:p>
    <w:p>
      <w:pPr>
        <w:pStyle w:val="Style4"/>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certifikace v termínu do února roku 2022.</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12"/>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w:t>
      </w:r>
      <w:bookmarkEnd w:id="2"/>
      <w:bookmarkEnd w:id="3"/>
    </w:p>
    <w:p>
      <w:pPr>
        <w:pStyle w:val="Style4"/>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49 900,- Kč bez DPH.</w:t>
      </w:r>
    </w:p>
    <w:p>
      <w:pPr>
        <w:pStyle w:val="Style4"/>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Auditor prohlašuje, že v ceně za předmět smlouvy je zahrnuto:</w:t>
      </w:r>
    </w:p>
    <w:p>
      <w:pPr>
        <w:pStyle w:val="Style4"/>
        <w:keepNext w:val="0"/>
        <w:keepLines w:val="0"/>
        <w:widowControl w:val="0"/>
        <w:numPr>
          <w:ilvl w:val="0"/>
          <w:numId w:val="5"/>
        </w:numPr>
        <w:shd w:val="clear" w:color="auto" w:fill="auto"/>
        <w:tabs>
          <w:tab w:pos="1080"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Přezkoumání dokumentace + audity</w:t>
      </w:r>
    </w:p>
    <w:p>
      <w:pPr>
        <w:pStyle w:val="Style4"/>
        <w:keepNext w:val="0"/>
        <w:keepLines w:val="0"/>
        <w:widowControl w:val="0"/>
        <w:numPr>
          <w:ilvl w:val="0"/>
          <w:numId w:val="5"/>
        </w:numPr>
        <w:shd w:val="clear" w:color="auto" w:fill="auto"/>
        <w:tabs>
          <w:tab w:pos="1080" w:val="left"/>
        </w:tabs>
        <w:bidi w:val="0"/>
        <w:spacing w:before="0" w:after="0" w:line="240" w:lineRule="auto"/>
        <w:ind w:left="0" w:right="0" w:firstLine="720"/>
        <w:jc w:val="both"/>
      </w:pPr>
      <w:r>
        <w:rPr>
          <w:color w:val="000000"/>
          <w:spacing w:val="0"/>
          <w:w w:val="100"/>
          <w:position w:val="0"/>
          <w:shd w:val="clear" w:color="auto" w:fill="auto"/>
          <w:lang w:val="cs-CZ" w:eastAsia="cs-CZ" w:bidi="cs-CZ"/>
        </w:rPr>
        <w:t>Vypracování zpráv z auditu</w:t>
      </w:r>
    </w:p>
    <w:p>
      <w:pPr>
        <w:pStyle w:val="Style4"/>
        <w:keepNext w:val="0"/>
        <w:keepLines w:val="0"/>
        <w:widowControl w:val="0"/>
        <w:numPr>
          <w:ilvl w:val="0"/>
          <w:numId w:val="5"/>
        </w:numPr>
        <w:shd w:val="clear" w:color="auto" w:fill="auto"/>
        <w:tabs>
          <w:tab w:pos="1080"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Přezkoumání zpráv z auditu a rozhodnutí o certifikaci</w:t>
      </w:r>
    </w:p>
    <w:p>
      <w:pPr>
        <w:pStyle w:val="Style4"/>
        <w:keepNext w:val="0"/>
        <w:keepLines w:val="0"/>
        <w:widowControl w:val="0"/>
        <w:numPr>
          <w:ilvl w:val="0"/>
          <w:numId w:val="5"/>
        </w:numPr>
        <w:shd w:val="clear" w:color="auto" w:fill="auto"/>
        <w:tabs>
          <w:tab w:pos="1080" w:val="left"/>
        </w:tabs>
        <w:bidi w:val="0"/>
        <w:spacing w:before="0" w:after="420" w:line="240" w:lineRule="auto"/>
        <w:ind w:left="0" w:right="0" w:firstLine="720"/>
        <w:jc w:val="both"/>
      </w:pPr>
      <w:r>
        <w:rPr>
          <w:color w:val="000000"/>
          <w:spacing w:val="0"/>
          <w:w w:val="100"/>
          <w:position w:val="0"/>
          <w:shd w:val="clear" w:color="auto" w:fill="auto"/>
          <w:lang w:val="cs-CZ" w:eastAsia="cs-CZ" w:bidi="cs-CZ"/>
        </w:rPr>
        <w:t>Doprava a ubytování zaměstnanců auditora</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12"/>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Povinnosti objednatele</w:t>
      </w:r>
      <w:bookmarkEnd w:id="4"/>
      <w:bookmarkEnd w:id="5"/>
    </w:p>
    <w:p>
      <w:pPr>
        <w:pStyle w:val="Style4"/>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Objednatel se zavazuje ve sjednaném termínu umožnit auditorovi zahájení dozorového auditu a poskytnout mu potřebnou součinnost.</w:t>
      </w:r>
    </w:p>
    <w:p>
      <w:pPr>
        <w:pStyle w:val="Style4"/>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4"/>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pPr>
        <w:pStyle w:val="Style4"/>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4"/>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4"/>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4"/>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4"/>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4"/>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4"/>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12"/>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Závěrečná ustanovení</w:t>
      </w:r>
      <w:bookmarkEnd w:id="6"/>
      <w:bookmarkEnd w:id="7"/>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 Tato smlouva je vyhotovena ve dvou stejnopisech, z nichž jeden výtisky obdrží objednatel a jeden auditor.</w:t>
      </w:r>
    </w:p>
    <w:p>
      <w:pPr>
        <w:pStyle w:val="Style4"/>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Smluvní strany prohlašují, že skutečnosti uvedené v této smlouvě nepovažují za obchodní tajemství a udělují svolení k jejich zpřístupnění ve smyslu zák. č. 106/1999 Sb. a zveřejnění bez stanovení jakýchkoliv dalších podmínek.</w:t>
      </w:r>
    </w:p>
    <w:p>
      <w:pPr>
        <w:pStyle w:val="Style4"/>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4"/>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Tato smlouva nabývá platnosti dnem připojení podpisu poslední smluvní strany a účinnosti dnem uveřejnění v informačním systému veřejné správy - Registru smluv.</w:t>
      </w:r>
    </w:p>
    <w:p>
      <w:pPr>
        <w:pStyle w:val="Style4"/>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Smluvní vztahy neupravené v této smlouvě se řídí občanským zákoníkem.</w:t>
      </w:r>
    </w:p>
    <w:p>
      <w:pPr>
        <w:pStyle w:val="Style4"/>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r>
        <w:br w:type="page"/>
      </w:r>
    </w:p>
    <w:p>
      <w:pPr>
        <w:pStyle w:val="Style4"/>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4"/>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4"/>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4"/>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4"/>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4"/>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4"/>
        <w:keepNext w:val="0"/>
        <w:keepLines w:val="0"/>
        <w:widowControl w:val="0"/>
        <w:numPr>
          <w:ilvl w:val="0"/>
          <w:numId w:val="1"/>
        </w:numPr>
        <w:shd w:val="clear" w:color="auto" w:fill="auto"/>
        <w:tabs>
          <w:tab w:pos="619" w:val="left"/>
        </w:tabs>
        <w:bidi w:val="0"/>
        <w:spacing w:before="0" w:after="0" w:line="240" w:lineRule="auto"/>
        <w:ind w:left="580" w:right="0" w:hanging="360"/>
        <w:jc w:val="both"/>
        <w:sectPr>
          <w:footnotePr>
            <w:pos w:val="pageBottom"/>
            <w:numFmt w:val="decimal"/>
            <w:numRestart w:val="continuous"/>
          </w:footnotePr>
          <w:pgSz w:w="11900" w:h="16840"/>
          <w:pgMar w:top="1393" w:left="1448" w:right="1312" w:bottom="1438" w:header="965" w:footer="1010" w:gutter="0"/>
          <w:pgNumType w:start="1"/>
          <w:cols w:space="720"/>
          <w:noEndnote/>
          <w:rtlGutter w:val="0"/>
          <w:docGrid w:linePitch="360"/>
        </w:sectPr>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2" w:left="0" w:right="0" w:bottom="5268" w:header="0" w:footer="3" w:gutter="0"/>
          <w:cols w:space="720"/>
          <w:noEndnote/>
          <w:rtlGutter w:val="0"/>
          <w:docGrid w:linePitch="360"/>
        </w:sectPr>
      </w:pPr>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Auditor:</w:t>
      </w:r>
    </w:p>
    <w:p>
      <w:pPr>
        <w:pStyle w:val="Style4"/>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Objednatel:</w:t>
      </w:r>
    </w:p>
    <w:p>
      <w:pPr>
        <w:pStyle w:val="Style4"/>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402" w:left="1383" w:right="2914" w:bottom="5268"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2" w:left="0" w:right="0" w:bottom="140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919480</wp:posOffset>
                </wp:positionH>
                <wp:positionV relativeFrom="paragraph">
                  <wp:posOffset>12700</wp:posOffset>
                </wp:positionV>
                <wp:extent cx="1021080" cy="304800"/>
                <wp:wrapSquare wrapText="bothSides"/>
                <wp:docPr id="1" name="Shape 1"/>
                <a:graphic xmlns:a="http://schemas.openxmlformats.org/drawingml/2006/main">
                  <a:graphicData uri="http://schemas.microsoft.com/office/word/2010/wordprocessingShape">
                    <wps:wsp>
                      <wps:cNvSpPr txBox="1"/>
                      <wps:spPr>
                        <a:xfrm>
                          <a:ext cx="1021080" cy="304800"/>
                        </a:xfrm>
                        <a:prstGeom prst="rect"/>
                        <a:noFill/>
                      </wps:spPr>
                      <wps:txbx>
                        <w:txbxContent>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Jana Olšanská výkonná ředitelka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400000000000006pt;margin-top:1.pt;width:80.400000000000006pt;height:24.pt;z-index:-12582937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Jana Olšanská výkonná ředitelka</w:t>
                      </w:r>
                    </w:p>
                  </w:txbxContent>
                </v:textbox>
                <w10:wrap type="square" anchorx="page"/>
              </v:shape>
            </w:pict>
          </mc:Fallback>
        </mc:AlternateContent>
      </w:r>
    </w:p>
    <w:p>
      <w:pPr>
        <w:pStyle w:val="Style4"/>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Ing. Radovan Necid ředitel organizace</w:t>
      </w:r>
    </w:p>
    <w:sectPr>
      <w:footnotePr>
        <w:pos w:val="pageBottom"/>
        <w:numFmt w:val="decimal"/>
        <w:numRestart w:val="continuous"/>
      </w:footnotePr>
      <w:type w:val="continuous"/>
      <w:pgSz w:w="11900" w:h="16840"/>
      <w:pgMar w:top="1402" w:left="2991" w:right="1378" w:bottom="1402"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Titulek tabulky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Jiné_"/>
    <w:basedOn w:val="DefaultParagraphFont"/>
    <w:link w:val="Style8"/>
    <w:rPr>
      <w:rFonts w:ascii="Arial" w:eastAsia="Arial" w:hAnsi="Arial" w:cs="Arial"/>
      <w:b w:val="0"/>
      <w:bCs w:val="0"/>
      <w:i w:val="0"/>
      <w:iCs w:val="0"/>
      <w:smallCaps w:val="0"/>
      <w:strike w:val="0"/>
      <w:sz w:val="18"/>
      <w:szCs w:val="18"/>
      <w:u w:val="none"/>
    </w:rPr>
  </w:style>
  <w:style w:type="character" w:customStyle="1" w:styleId="CharStyle13">
    <w:name w:val="Nadpis #2_"/>
    <w:basedOn w:val="DefaultParagraphFont"/>
    <w:link w:val="Style12"/>
    <w:rPr>
      <w:rFonts w:ascii="Arial" w:eastAsia="Arial" w:hAnsi="Arial" w:cs="Arial"/>
      <w:b/>
      <w:bCs/>
      <w:i w:val="0"/>
      <w:iCs w:val="0"/>
      <w:smallCaps w:val="0"/>
      <w:strike w:val="0"/>
      <w:sz w:val="18"/>
      <w:szCs w:val="18"/>
      <w:u w:val="none"/>
    </w:rPr>
  </w:style>
  <w:style w:type="paragraph" w:customStyle="1" w:styleId="Style2">
    <w:name w:val="Nadpis #1"/>
    <w:basedOn w:val="Normal"/>
    <w:link w:val="CharStyle3"/>
    <w:pPr>
      <w:widowControl w:val="0"/>
      <w:shd w:val="clear" w:color="auto" w:fill="FFFFFF"/>
      <w:spacing w:after="220"/>
      <w:ind w:firstLine="720"/>
      <w:outlineLvl w:val="0"/>
    </w:pPr>
    <w:rPr>
      <w:rFonts w:ascii="Arial" w:eastAsia="Arial" w:hAnsi="Arial" w:cs="Arial"/>
      <w:b/>
      <w:bCs/>
      <w:i w:val="0"/>
      <w:iCs w:val="0"/>
      <w:smallCaps w:val="0"/>
      <w:strike w:val="0"/>
      <w:u w:val="none"/>
    </w:rPr>
  </w:style>
  <w:style w:type="paragraph" w:customStyle="1" w:styleId="Style4">
    <w:name w:val="Základní text"/>
    <w:basedOn w:val="Normal"/>
    <w:link w:val="CharStyle5"/>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6">
    <w:name w:val="Titulek tabulky"/>
    <w:basedOn w:val="Normal"/>
    <w:link w:val="CharStyle7"/>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8">
    <w:name w:val="Jiné"/>
    <w:basedOn w:val="Normal"/>
    <w:link w:val="CharStyle9"/>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2">
    <w:name w:val="Nadpis #2"/>
    <w:basedOn w:val="Normal"/>
    <w:link w:val="CharStyle13"/>
    <w:pPr>
      <w:widowControl w:val="0"/>
      <w:shd w:val="clear" w:color="auto" w:fill="FFFFFF"/>
      <w:spacing w:after="220"/>
      <w:jc w:val="center"/>
      <w:outlineLvl w:val="1"/>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Ondráčková Dita</dc:creator>
  <cp:keywords/>
</cp:coreProperties>
</file>