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provedení dozorového auditu ČSN EN ISO 9001:2016</w:t>
      </w:r>
      <w:bookmarkEnd w:id="0"/>
      <w:bookmarkEnd w:id="1"/>
    </w:p>
    <w:p>
      <w:pPr>
        <w:pStyle w:val="Style6"/>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w:t>
      </w:r>
    </w:p>
    <w:tbl>
      <w:tblPr>
        <w:tblpPr w:leftFromText="5" w:rightFromText="0" w:topFromText="202" w:bottomFromText="0" w:horzAnchor="page" w:tblpX="1552" w:vertAnchor="text" w:tblpY="1502"/>
        <w:jc w:val="left"/>
        <w:tblLayout w:type="fixed"/>
      </w:tblPr>
      <w:tblGrid>
        <w:gridCol w:w="1819"/>
        <w:gridCol w:w="5318"/>
      </w:tblGrid>
      <w:tr>
        <w:trPr>
          <w:tblHeade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CZ00090450</w:t>
            </w:r>
          </w:p>
        </w:tc>
      </w:tr>
    </w:tbl>
    <w:p>
      <w:pPr>
        <w:pStyle w:val="Style11"/>
        <w:keepNext/>
        <w:keepLines/>
        <w:widowControl w:val="0"/>
        <w:shd w:val="clear" w:color="auto" w:fill="auto"/>
        <w:bidi w:val="0"/>
        <w:spacing w:before="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982345</wp:posOffset>
                </wp:positionH>
                <wp:positionV relativeFrom="paragraph">
                  <wp:posOffset>825500</wp:posOffset>
                </wp:positionV>
                <wp:extent cx="582295" cy="155575"/>
                <wp:wrapNone/>
                <wp:docPr id="1" name="Shape 1"/>
                <a:graphic xmlns:a="http://schemas.openxmlformats.org/drawingml/2006/main">
                  <a:graphicData uri="http://schemas.microsoft.com/office/word/2010/wordprocessingShape">
                    <wps:wsp>
                      <wps:cNvSpPr txBox="1"/>
                      <wps:spPr>
                        <a:xfrm>
                          <a:ext cx="582295"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7.349999999999994pt;margin-top:65.pt;width:45.850000000000001pt;height:12.2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xbxContent>
                </v:textbox>
                <w10:wrap anchorx="page"/>
              </v:shape>
            </w:pict>
          </mc:Fallback>
        </mc:AlternateContent>
      </w:r>
      <w:r>
        <mc:AlternateContent>
          <mc:Choice Requires="wps">
            <w:drawing>
              <wp:anchor distT="0" distB="76200" distL="114300" distR="114300" simplePos="0" relativeHeight="125829378" behindDoc="0" locked="0" layoutInCell="1" allowOverlap="1">
                <wp:simplePos x="0" y="0"/>
                <wp:positionH relativeFrom="page">
                  <wp:posOffset>982345</wp:posOffset>
                </wp:positionH>
                <wp:positionV relativeFrom="paragraph">
                  <wp:posOffset>1231900</wp:posOffset>
                </wp:positionV>
                <wp:extent cx="1103630" cy="709930"/>
                <wp:wrapTopAndBottom/>
                <wp:docPr id="3" name="Shape 3"/>
                <a:graphic xmlns:a="http://schemas.openxmlformats.org/drawingml/2006/main">
                  <a:graphicData uri="http://schemas.microsoft.com/office/word/2010/wordprocessingShape">
                    <wps:wsp>
                      <wps:cNvSpPr txBox="1"/>
                      <wps:spPr>
                        <a:xfrm>
                          <a:ext cx="1103630" cy="7099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29" type="#_x0000_t202" style="position:absolute;margin-left:77.349999999999994pt;margin-top:97.pt;width:86.900000000000006pt;height:55.899999999999999pt;z-index:-125829375;mso-wrap-distance-left:9.pt;mso-wrap-distance-right:9.pt;mso-wrap-distance-bottom: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a</w:t>
                      </w:r>
                    </w:p>
                  </w:txbxContent>
                </v:textbox>
                <w10:wrap type="topAndBottom" anchorx="page"/>
              </v:shape>
            </w:pict>
          </mc:Fallback>
        </mc:AlternateContent>
      </w:r>
      <w:bookmarkStart w:id="2" w:name="bookmark2"/>
      <w:bookmarkStart w:id="3" w:name="bookmark3"/>
      <w:r>
        <w:rPr>
          <w:color w:val="000000"/>
          <w:spacing w:val="0"/>
          <w:w w:val="100"/>
          <w:position w:val="0"/>
          <w:shd w:val="clear" w:color="auto" w:fill="auto"/>
          <w:lang w:val="cs-CZ" w:eastAsia="cs-CZ" w:bidi="cs-CZ"/>
        </w:rPr>
        <w:t>Smluvní strany</w:t>
      </w:r>
      <w:bookmarkEnd w:id="2"/>
      <w:bookmarkEnd w:id="3"/>
    </w:p>
    <w:tbl>
      <w:tblPr>
        <w:tblOverlap w:val="never"/>
        <w:jc w:val="left"/>
        <w:tblLayout w:type="fixed"/>
      </w:tblPr>
      <w:tblGrid>
        <w:gridCol w:w="1819"/>
        <w:gridCol w:w="5323"/>
      </w:tblGrid>
      <w:tr>
        <w:trPr>
          <w:trHeight w:val="21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46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Radovanem Necidem, ředitelem organizace Komerční banka, a.s.</w:t>
            </w:r>
          </w:p>
        </w:tc>
      </w:tr>
    </w:tbl>
    <w:p>
      <w:pPr>
        <w:widowControl w:val="0"/>
        <w:spacing w:after="599" w:line="1" w:lineRule="exact"/>
      </w:pPr>
    </w:p>
    <w:p>
      <w:pPr>
        <w:widowControl w:val="0"/>
        <w:spacing w:line="100" w:lineRule="exact"/>
      </w:pPr>
    </w:p>
    <w:p>
      <w:pPr>
        <w:widowControl w:val="0"/>
        <w:spacing w:after="99" w:line="1" w:lineRule="exact"/>
      </w:pPr>
    </w:p>
    <w:tbl>
      <w:tblPr>
        <w:tblOverlap w:val="never"/>
        <w:jc w:val="left"/>
        <w:tblLayout w:type="fixed"/>
      </w:tblPr>
      <w:tblGrid>
        <w:gridCol w:w="1742"/>
        <w:gridCol w:w="4430"/>
      </w:tblGrid>
      <w:tr>
        <w:trPr>
          <w:trHeight w:val="21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Prosecká 412/74, Praha 9, Prosek</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Ing. Tomášem Hruškou, předsedou sdružení zapsána ve spolkovém rejstříku u Městského soudu v Praze, sp. zn. L 58728 Osoby pověřené jednat jménem auditní společnosti ve věcech</w:t>
      </w:r>
    </w:p>
    <w:p>
      <w:pPr>
        <w:widowControl w:val="0"/>
        <w:spacing w:line="1" w:lineRule="exact"/>
      </w:pPr>
    </w:p>
    <w:tbl>
      <w:tblPr>
        <w:tblOverlap w:val="never"/>
        <w:jc w:val="left"/>
        <w:tblLayout w:type="fixed"/>
      </w:tblPr>
      <w:tblGrid>
        <w:gridCol w:w="1742"/>
        <w:gridCol w:w="4430"/>
      </w:tblGrid>
      <w:tr>
        <w:trPr>
          <w:trHeight w:val="20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ýkonná ředitelka</w:t>
            </w:r>
          </w:p>
        </w:tc>
      </w:tr>
      <w:tr>
        <w:trPr>
          <w:trHeight w:val="21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CZ69346305</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p>
      <w:pPr>
        <w:widowControl w:val="0"/>
        <w:spacing w:after="419" w:line="1" w:lineRule="exact"/>
      </w:pP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w:t>
      </w:r>
    </w:p>
    <w:p>
      <w:pPr>
        <w:pStyle w:val="Style11"/>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6"/>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dozorový audit ČSN EN ISO 9001:2016, jejímž předmětem je Správa a údržba silnic včetně provádění souvisejících staveb a odstraňování a poskytování technických služeb dle normy ČSN EN ISO 9001 (QMS).</w:t>
      </w:r>
    </w:p>
    <w:p>
      <w:pPr>
        <w:pStyle w:val="Style6"/>
        <w:keepNext w:val="0"/>
        <w:keepLines w:val="0"/>
        <w:widowControl w:val="0"/>
        <w:numPr>
          <w:ilvl w:val="0"/>
          <w:numId w:val="1"/>
        </w:numPr>
        <w:shd w:val="clear" w:color="auto" w:fill="auto"/>
        <w:tabs>
          <w:tab w:pos="360" w:val="left"/>
        </w:tabs>
        <w:bidi w:val="0"/>
        <w:spacing w:before="0" w:after="42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dozoru v termínu do února roku 2022.</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11"/>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Cena</w:t>
      </w:r>
      <w:bookmarkEnd w:id="6"/>
      <w:bookmarkEnd w:id="7"/>
    </w:p>
    <w:p>
      <w:pPr>
        <w:pStyle w:val="Style6"/>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49 900,- Kč bez DPH.</w:t>
      </w:r>
    </w:p>
    <w:p>
      <w:pPr>
        <w:pStyle w:val="Style6"/>
        <w:keepNext w:val="0"/>
        <w:keepLines w:val="0"/>
        <w:widowControl w:val="0"/>
        <w:numPr>
          <w:ilvl w:val="0"/>
          <w:numId w:val="3"/>
        </w:numPr>
        <w:shd w:val="clear" w:color="auto" w:fill="auto"/>
        <w:tabs>
          <w:tab w:pos="360" w:val="left"/>
        </w:tabs>
        <w:bidi w:val="0"/>
        <w:spacing w:before="0" w:line="240" w:lineRule="auto"/>
        <w:ind w:left="0" w:right="0" w:firstLine="0"/>
        <w:jc w:val="left"/>
      </w:pPr>
      <w:r>
        <w:rPr>
          <w:color w:val="000000"/>
          <w:spacing w:val="0"/>
          <w:w w:val="100"/>
          <w:position w:val="0"/>
          <w:shd w:val="clear" w:color="auto" w:fill="auto"/>
          <w:lang w:val="cs-CZ" w:eastAsia="cs-CZ" w:bidi="cs-CZ"/>
        </w:rPr>
        <w:t>Auditor prohlašuje, že v ceně za předmět smlouvy je zahrnuto:</w:t>
      </w:r>
    </w:p>
    <w:p>
      <w:pPr>
        <w:pStyle w:val="Style6"/>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dokumentace + audity</w:t>
      </w:r>
    </w:p>
    <w:p>
      <w:pPr>
        <w:pStyle w:val="Style6"/>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Vypracování zpráv z auditu</w:t>
      </w:r>
    </w:p>
    <w:p>
      <w:pPr>
        <w:pStyle w:val="Style6"/>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zpráv z auditu a rozhodnutí o certifikaci</w:t>
      </w:r>
    </w:p>
    <w:p>
      <w:pPr>
        <w:pStyle w:val="Style6"/>
        <w:keepNext w:val="0"/>
        <w:keepLines w:val="0"/>
        <w:widowControl w:val="0"/>
        <w:numPr>
          <w:ilvl w:val="0"/>
          <w:numId w:val="5"/>
        </w:numPr>
        <w:shd w:val="clear" w:color="auto" w:fill="auto"/>
        <w:tabs>
          <w:tab w:pos="1100" w:val="left"/>
        </w:tabs>
        <w:bidi w:val="0"/>
        <w:spacing w:before="0" w:after="420" w:line="240" w:lineRule="auto"/>
        <w:ind w:left="0" w:right="0" w:firstLine="740"/>
        <w:jc w:val="both"/>
      </w:pPr>
      <w:r>
        <w:rPr>
          <w:color w:val="000000"/>
          <w:spacing w:val="0"/>
          <w:w w:val="100"/>
          <w:position w:val="0"/>
          <w:shd w:val="clear" w:color="auto" w:fill="auto"/>
          <w:lang w:val="cs-CZ" w:eastAsia="cs-CZ" w:bidi="cs-CZ"/>
        </w:rPr>
        <w:t>Doprava a ubytování zaměstnanců auditora</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11"/>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Povinnosti objednatele</w:t>
      </w:r>
      <w:bookmarkEnd w:id="8"/>
      <w:bookmarkEnd w:id="9"/>
    </w:p>
    <w:p>
      <w:pPr>
        <w:pStyle w:val="Style6"/>
        <w:keepNext w:val="0"/>
        <w:keepLines w:val="0"/>
        <w:widowControl w:val="0"/>
        <w:shd w:val="clear" w:color="auto" w:fill="auto"/>
        <w:bidi w:val="0"/>
        <w:spacing w:before="0" w:line="240" w:lineRule="auto"/>
        <w:ind w:left="380" w:right="0" w:hanging="380"/>
        <w:jc w:val="left"/>
      </w:pPr>
      <w:r>
        <w:rPr>
          <w:color w:val="000000"/>
          <w:spacing w:val="0"/>
          <w:w w:val="100"/>
          <w:position w:val="0"/>
          <w:shd w:val="clear" w:color="auto" w:fill="auto"/>
          <w:lang w:val="cs-CZ" w:eastAsia="cs-CZ" w:bidi="cs-CZ"/>
        </w:rPr>
        <w:t>1) Objednatel se zavazuje ve sjednaném termínu umožnit auditorovi zahájení dozorového auditu a poskytnout mu potřebnou součinnost.</w:t>
      </w:r>
    </w:p>
    <w:p>
      <w:pPr>
        <w:pStyle w:val="Style6"/>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6"/>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pPr>
        <w:pStyle w:val="Style6"/>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6"/>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6"/>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6"/>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6"/>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6"/>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6"/>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11"/>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Závěrečná ustanovení</w:t>
      </w:r>
      <w:bookmarkEnd w:id="10"/>
      <w:bookmarkEnd w:id="11"/>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 Tato smlouva je vyhotovena ve dvou stejnopisech, z nichž jeden výtisky obdrží objednatel a jeden auditor.</w:t>
      </w:r>
    </w:p>
    <w:p>
      <w:pPr>
        <w:pStyle w:val="Style6"/>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Smluvní strany prohlašují, že skutečnosti uvedené v této smlouvě nepovažují za obchodní tajemství a udělují svolení k jejich zpřístupnění ve smyslu zák. č. 106/1999 Sb. a zveřejnění bez stanovení jakýchkoliv dalších podmínek.</w:t>
      </w:r>
    </w:p>
    <w:p>
      <w:pPr>
        <w:pStyle w:val="Style6"/>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6"/>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Tato smlouva nabývá platnosti dnem připojení podpisu poslední smluvní strany a účinnosti dnem uveřejnění v informačním systému veřejné správy - Registru smluv.</w:t>
      </w:r>
    </w:p>
    <w:p>
      <w:pPr>
        <w:pStyle w:val="Style6"/>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Smluvní vztahy neupravené v této smlouvě se řídí občanským zákoníkem.</w:t>
      </w:r>
    </w:p>
    <w:p>
      <w:pPr>
        <w:pStyle w:val="Style6"/>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r>
        <w:br w:type="page"/>
      </w:r>
    </w:p>
    <w:p>
      <w:pPr>
        <w:pStyle w:val="Style6"/>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6"/>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6"/>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6"/>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DPH, v platném znění.</w:t>
      </w:r>
    </w:p>
    <w:p>
      <w:pPr>
        <w:pStyle w:val="Style6"/>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6"/>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6"/>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6"/>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6"/>
        <w:keepNext w:val="0"/>
        <w:keepLines w:val="0"/>
        <w:widowControl w:val="0"/>
        <w:numPr>
          <w:ilvl w:val="0"/>
          <w:numId w:val="1"/>
        </w:numPr>
        <w:shd w:val="clear" w:color="auto" w:fill="auto"/>
        <w:tabs>
          <w:tab w:pos="619" w:val="left"/>
        </w:tabs>
        <w:bidi w:val="0"/>
        <w:spacing w:before="0" w:after="0" w:line="240" w:lineRule="auto"/>
        <w:ind w:left="580" w:right="0" w:hanging="360"/>
        <w:jc w:val="both"/>
        <w:sectPr>
          <w:footnotePr>
            <w:pos w:val="pageBottom"/>
            <w:numFmt w:val="decimal"/>
            <w:numRestart w:val="continuous"/>
          </w:footnotePr>
          <w:pgSz w:w="11900" w:h="16840"/>
          <w:pgMar w:top="1393" w:left="1448" w:right="1312" w:bottom="1438" w:header="965" w:footer="1010" w:gutter="0"/>
          <w:pgNumType w:start="1"/>
          <w:cols w:space="720"/>
          <w:noEndnote/>
          <w:rtlGutter w:val="0"/>
          <w:docGrid w:linePitch="360"/>
        </w:sectPr>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2" w:left="0" w:right="0" w:bottom="5268" w:header="0" w:footer="3" w:gutter="0"/>
          <w:cols w:space="720"/>
          <w:noEndnote/>
          <w:rtlGutter w:val="0"/>
          <w:docGrid w:linePitch="360"/>
        </w:sectPr>
      </w:pP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Auditor:</w:t>
      </w:r>
    </w:p>
    <w:p>
      <w:pPr>
        <w:pStyle w:val="Style6"/>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Objednatel:</w:t>
      </w:r>
    </w:p>
    <w:p>
      <w:pPr>
        <w:pStyle w:val="Style6"/>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402" w:left="1383" w:right="2914" w:bottom="5268"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2" w:left="0" w:right="0" w:bottom="1402"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919480</wp:posOffset>
                </wp:positionH>
                <wp:positionV relativeFrom="paragraph">
                  <wp:posOffset>12700</wp:posOffset>
                </wp:positionV>
                <wp:extent cx="1021080" cy="304800"/>
                <wp:wrapSquare wrapText="bothSides"/>
                <wp:docPr id="5" name="Shape 5"/>
                <a:graphic xmlns:a="http://schemas.openxmlformats.org/drawingml/2006/main">
                  <a:graphicData uri="http://schemas.microsoft.com/office/word/2010/wordprocessingShape">
                    <wps:wsp>
                      <wps:cNvSpPr txBox="1"/>
                      <wps:spPr>
                        <a:xfrm>
                          <a:ext cx="1021080" cy="304800"/>
                        </a:xfrm>
                        <a:prstGeom prst="rect"/>
                        <a:noFill/>
                      </wps:spPr>
                      <wps:txbx>
                        <w:txbxContent>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Jana Olšanská výkonná ředitelka</w:t>
                            </w:r>
                          </w:p>
                        </w:txbxContent>
                      </wps:txbx>
                      <wps:bodyPr lIns="0" tIns="0" rIns="0" bIns="0">
                        <a:noAutoFit/>
                      </wps:bodyPr>
                    </wps:wsp>
                  </a:graphicData>
                </a:graphic>
              </wp:anchor>
            </w:drawing>
          </mc:Choice>
          <mc:Fallback>
            <w:pict>
              <v:shape id="_x0000_s1031" type="#_x0000_t202" style="position:absolute;margin-left:72.400000000000006pt;margin-top:1.pt;width:80.400000000000006pt;height:24.pt;z-index:-125829373;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Jana Olšanská výkonná ředitelka</w:t>
                      </w:r>
                    </w:p>
                  </w:txbxContent>
                </v:textbox>
                <w10:wrap type="square" anchorx="page"/>
              </v:shape>
            </w:pict>
          </mc:Fallback>
        </mc:AlternateContent>
      </w:r>
    </w:p>
    <w:p>
      <w:pPr>
        <w:pStyle w:val="Style6"/>
        <w:keepNext w:val="0"/>
        <w:keepLines w:val="0"/>
        <w:widowControl w:val="0"/>
        <w:shd w:val="clear" w:color="auto" w:fill="auto"/>
        <w:bidi w:val="0"/>
        <w:spacing w:before="0" w:after="0" w:line="257" w:lineRule="auto"/>
        <w:ind w:left="3320" w:right="0" w:firstLine="0"/>
        <w:jc w:val="left"/>
      </w:pPr>
      <w:r>
        <w:rPr>
          <w:color w:val="000000"/>
          <w:spacing w:val="0"/>
          <w:w w:val="100"/>
          <w:position w:val="0"/>
          <w:shd w:val="clear" w:color="auto" w:fill="auto"/>
          <w:lang w:val="cs-CZ" w:eastAsia="cs-CZ" w:bidi="cs-CZ"/>
        </w:rPr>
        <w:t>Ing. Radovan Necid ředitel organizace</w:t>
      </w:r>
    </w:p>
    <w:sectPr>
      <w:footnotePr>
        <w:pos w:val="pageBottom"/>
        <w:numFmt w:val="decimal"/>
        <w:numRestart w:val="continuous"/>
      </w:footnotePr>
      <w:type w:val="continuous"/>
      <w:pgSz w:w="11900" w:h="16840"/>
      <w:pgMar w:top="1402" w:left="2991" w:right="1378" w:bottom="1402"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Titulek tabulky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9">
    <w:name w:val="Nadpis #1_"/>
    <w:basedOn w:val="DefaultParagraphFont"/>
    <w:link w:val="Style8"/>
    <w:rPr>
      <w:rFonts w:ascii="Arial" w:eastAsia="Arial" w:hAnsi="Arial" w:cs="Arial"/>
      <w:b/>
      <w:bCs/>
      <w:i w:val="0"/>
      <w:iCs w:val="0"/>
      <w:smallCaps w:val="0"/>
      <w:strike w:val="0"/>
      <w:u w:val="none"/>
    </w:rPr>
  </w:style>
  <w:style w:type="character" w:customStyle="1" w:styleId="CharStyle12">
    <w:name w:val="Nadpis #2_"/>
    <w:basedOn w:val="DefaultParagraphFont"/>
    <w:link w:val="Style11"/>
    <w:rPr>
      <w:rFonts w:ascii="Arial" w:eastAsia="Arial" w:hAnsi="Arial" w:cs="Arial"/>
      <w:b/>
      <w:bCs/>
      <w:i w:val="0"/>
      <w:iCs w:val="0"/>
      <w:smallCaps w:val="0"/>
      <w:strike w:val="0"/>
      <w:sz w:val="18"/>
      <w:szCs w:val="18"/>
      <w:u w:val="none"/>
    </w:rPr>
  </w:style>
  <w:style w:type="paragraph" w:customStyle="1" w:styleId="Style2">
    <w:name w:val="Jiné"/>
    <w:basedOn w:val="Normal"/>
    <w:link w:val="CharStyle3"/>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4">
    <w:name w:val="Titulek tabulky"/>
    <w:basedOn w:val="Normal"/>
    <w:link w:val="CharStyle5"/>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6">
    <w:name w:val="Základní text"/>
    <w:basedOn w:val="Normal"/>
    <w:link w:val="CharStyle7"/>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8">
    <w:name w:val="Nadpis #1"/>
    <w:basedOn w:val="Normal"/>
    <w:link w:val="CharStyle9"/>
    <w:pPr>
      <w:widowControl w:val="0"/>
      <w:shd w:val="clear" w:color="auto" w:fill="FFFFFF"/>
      <w:spacing w:after="220"/>
      <w:jc w:val="center"/>
      <w:outlineLvl w:val="0"/>
    </w:pPr>
    <w:rPr>
      <w:rFonts w:ascii="Arial" w:eastAsia="Arial" w:hAnsi="Arial" w:cs="Arial"/>
      <w:b/>
      <w:bCs/>
      <w:i w:val="0"/>
      <w:iCs w:val="0"/>
      <w:smallCaps w:val="0"/>
      <w:strike w:val="0"/>
      <w:u w:val="none"/>
    </w:rPr>
  </w:style>
  <w:style w:type="paragraph" w:customStyle="1" w:styleId="Style11">
    <w:name w:val="Nadpis #2"/>
    <w:basedOn w:val="Normal"/>
    <w:link w:val="CharStyle12"/>
    <w:pPr>
      <w:widowControl w:val="0"/>
      <w:shd w:val="clear" w:color="auto" w:fill="FFFFFF"/>
      <w:spacing w:after="220"/>
      <w:jc w:val="center"/>
      <w:outlineLvl w:val="1"/>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Ondráčková Dita</dc:creator>
  <cp:keywords/>
</cp:coreProperties>
</file>