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E6F88" w:rsidRDefault="00C37CEB">
      <w:pPr>
        <w:rPr>
          <w:rFonts w:hint="eastAsia"/>
        </w:rPr>
      </w:pPr>
      <w:r>
        <w:t xml:space="preserve">  </w:t>
      </w:r>
    </w:p>
    <w:p w:rsidR="008E6F88" w:rsidRDefault="00C37CEB">
      <w:pPr>
        <w:rPr>
          <w:rFonts w:hint="eastAsia"/>
          <w:b/>
        </w:rPr>
      </w:pPr>
      <w:r>
        <w:rPr>
          <w:caps/>
        </w:rPr>
        <w:t xml:space="preserve"> </w:t>
      </w:r>
      <w:r>
        <w:rPr>
          <w:b/>
          <w:caps/>
          <w:u w:val="single"/>
        </w:rPr>
        <w:t xml:space="preserve">Specifikace - </w:t>
      </w:r>
      <w:r>
        <w:rPr>
          <w:b/>
          <w:u w:val="single"/>
        </w:rPr>
        <w:t xml:space="preserve"> </w:t>
      </w:r>
      <w:r>
        <w:rPr>
          <w:b/>
          <w:caps/>
          <w:u w:val="single"/>
        </w:rPr>
        <w:t xml:space="preserve"> Povinné parametry      </w:t>
      </w:r>
    </w:p>
    <w:p w:rsidR="008E6F88" w:rsidRDefault="00C37CEB">
      <w:pPr>
        <w:rPr>
          <w:rFonts w:hint="eastAsia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483.55pt" w:type="dxa"/>
        <w:tblInd w:w="0.30pt" w:type="dxa"/>
        <w:tblLook w:firstRow="0" w:lastRow="0" w:firstColumn="0" w:lastColumn="0" w:noHBand="0" w:noVBand="0"/>
      </w:tblPr>
      <w:tblGrid>
        <w:gridCol w:w="1529"/>
        <w:gridCol w:w="6946"/>
        <w:gridCol w:w="599"/>
        <w:gridCol w:w="597"/>
      </w:tblGrid>
      <w:tr w:rsidR="008E6F88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8E6F88" w:rsidRDefault="008E6F88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8E6F88" w:rsidRDefault="008E6F88">
            <w:pPr>
              <w:snapToGrid w:val="0"/>
              <w:rPr>
                <w:rFonts w:hint="eastAsia"/>
              </w:rPr>
            </w:pP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8E6F88" w:rsidRDefault="00C37CEB">
            <w:pPr>
              <w:snapToGrid w:val="0"/>
              <w:rPr>
                <w:rFonts w:hint="eastAsia"/>
              </w:rPr>
            </w:pPr>
            <w:r>
              <w:t>ano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E6F88" w:rsidRDefault="00C37CEB">
            <w:pPr>
              <w:snapToGrid w:val="0"/>
              <w:rPr>
                <w:rFonts w:hint="eastAsia"/>
              </w:rPr>
            </w:pPr>
            <w:r>
              <w:t>ne</w:t>
            </w:r>
          </w:p>
        </w:tc>
      </w:tr>
      <w:tr w:rsidR="008E6F88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8E6F88" w:rsidRDefault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Motor</w:t>
            </w: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8E6F88" w:rsidRDefault="00C37CEB">
            <w:pPr>
              <w:snapToGrid w:val="0"/>
              <w:jc w:val="both"/>
              <w:rPr>
                <w:rFonts w:hint="eastAsia"/>
              </w:rPr>
            </w:pPr>
            <w:r>
              <w:t>Vznětový přeplňovaný minimální výkon 110 kW</w:t>
            </w:r>
          </w:p>
          <w:p w:rsidR="008E6F88" w:rsidRDefault="00C37CEB">
            <w:pPr>
              <w:snapToGrid w:val="0"/>
              <w:jc w:val="both"/>
              <w:rPr>
                <w:rFonts w:hint="eastAsia"/>
              </w:rPr>
            </w:pPr>
            <w:r>
              <w:t>emisní norma euro 6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8E6F88" w:rsidRDefault="00C37CEB" w:rsidP="00C37CE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E6F88" w:rsidRDefault="008E6F88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Převodovka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Mechanická s ručním řazením plně synchronizovaná 6 rychlostí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Brzdy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 xml:space="preserve">Kotoučové na všech kolech + ABS, ESP, BAS, HSA, EBV, bez mechanického zátěžového regulátoru. Ruční brzda mechanická na </w:t>
            </w:r>
          </w:p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zadní kola.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Topení + klimatizace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Topení teplovodní ovládané zvlášť pro prostor řidiče a ambulantního prostoru, klimatizace se stejným ovládáním, v ambulantním prostoru výdechy ze stropu s uzavíráním minimálně ve dvou řadách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 xml:space="preserve">Nezávislý palivový teplovodní příhřev motoru 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rPr>
          <w:trHeight w:val="595"/>
        </w:trPr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Výměník topení + výparník klimatizace zvlášť pro prostor řidiče a ambulantní prostor.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rPr>
          <w:trHeight w:val="595"/>
        </w:trPr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Karoserie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Barva bílá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Rozměry délka max. 5300 mm, maximální výška s výstražným zařízením 2100 mm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Nárazníky nelakované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 xml:space="preserve">Prosklená zadní část vozu 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Zadní výklopné dveře, prosklené, vyhřívané se stěračem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Posuvné dveře vpravo s otevíracím oknem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Lapače nečistot vpředu i vzadu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Třetí brzdové světlo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Elektricky nastavitelná a vyhřívaná zpětná zrcátka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Denní svícení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Podvozek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 xml:space="preserve">Pohon 4x4 automatický elektronicky ovládaný 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Posilovač řízení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rPr>
          <w:trHeight w:val="252"/>
        </w:trPr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Plnohodnotné rezervní kolo + hever + klíč na kolové šrouby - matice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rPr>
          <w:trHeight w:val="252"/>
        </w:trPr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 xml:space="preserve">Palivová nádrž min. 70 l 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rPr>
          <w:trHeight w:val="252"/>
        </w:trPr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 xml:space="preserve">Nezávislé zavěšení kol obou náprav, odpružení - vinuté pružiny nebo torzní tyče + teleskopické tlumiče 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rPr>
          <w:trHeight w:val="252"/>
        </w:trPr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rPr>
          <w:trHeight w:val="252"/>
        </w:trPr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rPr>
          <w:trHeight w:val="276"/>
        </w:trPr>
        <w:tc>
          <w:tcPr>
            <w:tcW w:w="76.45pt" w:type="dxa"/>
            <w:vMerge w:val="restart"/>
            <w:tcBorders>
              <w:top w:val="single" w:sz="4" w:space="0" w:color="000000"/>
              <w:start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Vnitřní výbava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Elektrické ovládání oken v kabině řidiče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rPr>
          <w:trHeight w:val="276"/>
        </w:trPr>
        <w:tc>
          <w:tcPr>
            <w:tcW w:w="76.45pt" w:type="dxa"/>
            <w:vMerge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Centrální zamykání s dálkovým ovládáním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proofErr w:type="spellStart"/>
            <w:r>
              <w:t>Autoradio</w:t>
            </w:r>
            <w:proofErr w:type="spellEnd"/>
            <w:r>
              <w:t xml:space="preserve"> originál vestavěno z výroby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 xml:space="preserve">        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Výškově a podélně nastavitelný volant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Nekuřácké provedení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Odkládací přihrádka s krytem, uzamykatelná před spolujezdcem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12V zásuvka v kabině řidiče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Vnitřní zpětné zrcátko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 xml:space="preserve">Dělící přepážka rozdělující prostor řidiče a ambulantní prostor </w:t>
            </w:r>
            <w:r>
              <w:lastRenderedPageBreak/>
              <w:t>s posuvným oknem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E73E1B">
              <w:rPr>
                <w:rFonts w:ascii="Times New Roman" w:hAnsi="Times New Roman" w:cs="Times New Roman"/>
              </w:rPr>
              <w:lastRenderedPageBreak/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Dvousedadlo spolujezdce s úložným prostorem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Palubní počítač s měřením venkovní teploty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jc w:val="both"/>
              <w:rPr>
                <w:rFonts w:hint="eastAsia"/>
              </w:rPr>
            </w:pPr>
            <w:r>
              <w:t>Airbag řidiče a spolujezdce + možnost deaktivace airbagu spolujezdce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Přední mlhová světla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Originální gumové koberce v prostoru řidiče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Potahy sedadel v prostoru řidiče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 xml:space="preserve"> Sanitní zástavba</w:t>
            </w: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Příprava pro radiostanici MOTOROLA (80 – 160 MHz) napájení + anténa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  <w:r>
              <w:t xml:space="preserve">Rampa diodová </w:t>
            </w:r>
            <w:proofErr w:type="spellStart"/>
            <w:r>
              <w:t>nízkoprofilová</w:t>
            </w:r>
            <w:proofErr w:type="spellEnd"/>
            <w:r>
              <w:t xml:space="preserve">  nepřesahující výšku vozidla o více jak 13 cm (modré barvy)</w:t>
            </w:r>
          </w:p>
          <w:p w:rsidR="00C37CEB" w:rsidRDefault="00C37CEB" w:rsidP="00C37CEB">
            <w:pPr>
              <w:rPr>
                <w:rFonts w:hint="eastAsia"/>
              </w:rPr>
            </w:pP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  <w:r>
              <w:t>Siréna s akustickým minimálním výkonem 100W a čtyřmi volitelnými tóny s možností ovládání přes klakson vozidla. Plochý reproduktor umístěný před chladičem vozidla za maskou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  <w:r>
              <w:t>V zadní části vozu maják diodový dvouřadý nepřesahující výšku vozidla o více jak 13 cm (modré barvy)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Světelná signalizace upozorňující na otevření dveří ambulantního prostoru u řidiče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  <w:r>
              <w:t>LED osvětlení bočních dveří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  <w:r>
              <w:t xml:space="preserve">Stropní osvětlení LED ambulantního prostoru s ovládáním u řidiče prosvětleným vypínačem 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  <w:r>
              <w:t>Zvuková signalizace k řidiči s tlačítkem na stropě ambulantního prostoru u řidiče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  <w:r>
              <w:t>Osvětlení prostoru za vozidlem otočným halogenovým reflektorem se spínačem, reflektor umístěn v levém horním rohu u zadních výklopných dveří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Střešní reversní  ventilátor v ambulantním prostoru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 xml:space="preserve">Zásuvka 12 V na levém sloupku u výklopných dveří+ vedle nosítek 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Obložení stěn a stropu hliníkovým plechem bílé barvy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Přepážka za sedadlem řidiče pevná – homologovaná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Výztuhy na karoserii pro uchycení sanitní zástavby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 xml:space="preserve">Vyrovnání podlahy a její obložení protismykovým </w:t>
            </w:r>
            <w:proofErr w:type="spellStart"/>
            <w:r>
              <w:t>desinfikovatelným</w:t>
            </w:r>
            <w:proofErr w:type="spellEnd"/>
            <w:r>
              <w:t xml:space="preserve"> materiálem</w:t>
            </w:r>
          </w:p>
        </w:tc>
        <w:tc>
          <w:tcPr>
            <w:tcW w:w="29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Tepelná a hluková izolace ambulantního prostoru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Madla pro nástup po obou stranách bočních dveří z nerezu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Držák na infuzní lahve a vaky – nerez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Výklopný nerezový schod u posuvných bočních dveří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Držák 10 litrové kyslíkové lahve, v levém zadním rohu u sloupku výklopných dveří, nebo vedle nosítek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Odpadní nádoba - zafixovaná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Skříňka s přesuvnými plexiskly, na levé zadní straně pod stropem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Vlevo nad zadním podběhem skříň na zdravotnický materiál s výklopnými dvířky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Rozvod kyslíku zakončený rychlospojkou na levé straně u hlavy pacienta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Polepení reflexními pruhy a hvězd dle domluvy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Matování skel ambulantního prostoru černou folií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 xml:space="preserve">Počet pevných míst k sezení 2 + 1 (dvousedačka + </w:t>
            </w:r>
            <w:proofErr w:type="spellStart"/>
            <w:r>
              <w:t>jednosedačka</w:t>
            </w:r>
            <w:proofErr w:type="spellEnd"/>
            <w:r>
              <w:t>)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 xml:space="preserve">Transportní </w:t>
            </w:r>
            <w:r>
              <w:rPr>
                <w:b/>
              </w:rPr>
              <w:lastRenderedPageBreak/>
              <w:t xml:space="preserve">technika </w:t>
            </w: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lastRenderedPageBreak/>
              <w:t xml:space="preserve">Nosítka s odnímatelným podvozkem, s polohovacím podhlavníkem, </w:t>
            </w:r>
            <w:r>
              <w:lastRenderedPageBreak/>
              <w:t>sklopnými bočními madly s </w:t>
            </w:r>
            <w:proofErr w:type="spellStart"/>
            <w:r>
              <w:t>desinfikovatelnou</w:t>
            </w:r>
            <w:proofErr w:type="spellEnd"/>
            <w:r>
              <w:t xml:space="preserve"> matrací a upínacími pásy, sedm výškových pozic, hliníková konstrukce, ergonomické ovládání, přední otočná kolečka, nosítka musí splňovat normy E1789 a EN1865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lastRenderedPageBreak/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Pevný nerezový stůl nosítek s výklopnou nakládací plošinou, včetně úchytného systému, umístěný v levé zadní části ambulantního prostoru, pod stolem úložný prostor na zdravotnický materiál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Pojízdné infarktové křeslo s gumovými kolečky umístěné v pravém zadním rohu ambulantního prostoru včetně zádržného systému, křeslo musí splňovat normy EN1789 a EN1865, všechny čtyři kolečka – otočné – brzděné - brzděné proti otáčení kolem svislé osy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Nakládací Al rampa sklopná vpravo u zadních výklopných dveří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C37CEB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Záruční doba</w:t>
            </w: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both"/>
              <w:rPr>
                <w:rFonts w:hint="eastAsia"/>
              </w:rPr>
            </w:pPr>
            <w:r>
              <w:t>Minimálně 2 roky</w:t>
            </w: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C37CEB" w:rsidRDefault="00C37CEB" w:rsidP="00C37CEB">
            <w:pPr>
              <w:jc w:val="center"/>
              <w:rPr>
                <w:rFonts w:hint="eastAsia"/>
              </w:rPr>
            </w:pPr>
            <w:r w:rsidRPr="00DA1B97">
              <w:rPr>
                <w:rFonts w:ascii="Times New Roman" w:hAnsi="Times New Roman" w:cs="Times New Roman"/>
              </w:rPr>
              <w:t>●</w:t>
            </w: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C37CEB" w:rsidRDefault="00C37CEB" w:rsidP="00C37CEB">
            <w:pPr>
              <w:snapToGrid w:val="0"/>
              <w:rPr>
                <w:rFonts w:hint="eastAsia"/>
              </w:rPr>
            </w:pPr>
          </w:p>
        </w:tc>
      </w:tr>
      <w:tr w:rsidR="008E6F88" w:rsidTr="00C37CEB">
        <w:tc>
          <w:tcPr>
            <w:tcW w:w="76.45pt" w:type="dxa"/>
            <w:tcBorders>
              <w:start w:val="single" w:sz="4" w:space="0" w:color="000000"/>
              <w:bottom w:val="single" w:sz="4" w:space="0" w:color="000000"/>
            </w:tcBorders>
          </w:tcPr>
          <w:p w:rsidR="008E6F88" w:rsidRDefault="008E6F88">
            <w:pPr>
              <w:snapToGrid w:val="0"/>
              <w:rPr>
                <w:rFonts w:hint="eastAsia"/>
              </w:rPr>
            </w:pPr>
          </w:p>
        </w:tc>
        <w:tc>
          <w:tcPr>
            <w:tcW w:w="347.30pt" w:type="dxa"/>
            <w:tcBorders>
              <w:start w:val="single" w:sz="4" w:space="0" w:color="000000"/>
              <w:bottom w:val="single" w:sz="4" w:space="0" w:color="000000"/>
            </w:tcBorders>
          </w:tcPr>
          <w:p w:rsidR="008E6F88" w:rsidRDefault="008E6F88">
            <w:pPr>
              <w:rPr>
                <w:rFonts w:hint="eastAsia"/>
              </w:rPr>
            </w:pPr>
          </w:p>
        </w:tc>
        <w:tc>
          <w:tcPr>
            <w:tcW w:w="29.95pt" w:type="dxa"/>
            <w:tcBorders>
              <w:start w:val="single" w:sz="4" w:space="0" w:color="000000"/>
              <w:bottom w:val="single" w:sz="4" w:space="0" w:color="000000"/>
            </w:tcBorders>
          </w:tcPr>
          <w:p w:rsidR="008E6F88" w:rsidRDefault="008E6F88">
            <w:pPr>
              <w:snapToGrid w:val="0"/>
              <w:rPr>
                <w:rFonts w:hint="eastAsia"/>
              </w:rPr>
            </w:pPr>
          </w:p>
        </w:tc>
        <w:tc>
          <w:tcPr>
            <w:tcW w:w="29.8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E6F88" w:rsidRDefault="008E6F88">
            <w:pPr>
              <w:snapToGrid w:val="0"/>
              <w:rPr>
                <w:rFonts w:hint="eastAsia"/>
              </w:rPr>
            </w:pPr>
          </w:p>
        </w:tc>
      </w:tr>
    </w:tbl>
    <w:p w:rsidR="008E6F88" w:rsidRDefault="008E6F88">
      <w:pPr>
        <w:rPr>
          <w:rFonts w:hint="eastAsia"/>
        </w:rPr>
      </w:pPr>
    </w:p>
    <w:p w:rsidR="008E6F88" w:rsidRDefault="008E6F88">
      <w:pPr>
        <w:rPr>
          <w:rFonts w:hint="eastAsia"/>
        </w:rPr>
      </w:pPr>
    </w:p>
    <w:p w:rsidR="008E6F88" w:rsidRDefault="008E6F88">
      <w:pPr>
        <w:rPr>
          <w:rFonts w:hint="eastAsia"/>
        </w:rPr>
      </w:pPr>
    </w:p>
    <w:p w:rsidR="008E6F88" w:rsidRDefault="008E6F88">
      <w:pPr>
        <w:rPr>
          <w:rFonts w:hint="eastAsia"/>
        </w:rPr>
      </w:pPr>
    </w:p>
    <w:p w:rsidR="008E6F88" w:rsidRDefault="008E6F88">
      <w:pPr>
        <w:rPr>
          <w:rFonts w:hint="eastAsia"/>
        </w:rPr>
      </w:pPr>
    </w:p>
    <w:p w:rsidR="008E6F88" w:rsidRDefault="008E6F88">
      <w:pPr>
        <w:rPr>
          <w:rFonts w:hint="eastAsia"/>
        </w:rPr>
      </w:pPr>
    </w:p>
    <w:sectPr w:rsidR="008E6F88">
      <w:pgSz w:w="595.30pt" w:h="841.90pt"/>
      <w:pgMar w:top="56.70pt" w:right="56.70pt" w:bottom="56.70pt" w:left="56.70pt" w:header="0pt" w:footer="0pt" w:gutter="0pt"/>
      <w:cols w:space="35.40pt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characterSet="windows-1250"/>
    <w:family w:val="roman"/>
    <w:pitch w:val="variable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characterSet="windows-1250"/>
    <w:family w:val="roman"/>
    <w:pitch w:val="variable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characterSet="iso-8859-1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736779AF"/>
    <w:multiLevelType w:val="multilevel"/>
    <w:tmpl w:val="EEC6D918"/>
    <w:lvl w:ilvl="0">
      <w:start w:val="1"/>
      <w:numFmt w:val="none"/>
      <w:pStyle w:val="Nadpis1"/>
      <w:suff w:val="nothing"/>
      <w:lvlText w:val=""/>
      <w:lvlJc w:val="start"/>
      <w:pPr>
        <w:ind w:start="21.60pt" w:hanging="21.60pt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start"/>
      <w:pPr>
        <w:ind w:start="28.80pt" w:hanging="28.80pt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start"/>
      <w:pPr>
        <w:ind w:start="36pt" w:hanging="36pt"/>
      </w:pPr>
      <w:rPr>
        <w:rFonts w:cs="Times New Roman"/>
      </w:rPr>
    </w:lvl>
    <w:lvl w:ilvl="3">
      <w:start w:val="1"/>
      <w:numFmt w:val="none"/>
      <w:suff w:val="nothing"/>
      <w:lvlText w:val=""/>
      <w:lvlJc w:val="start"/>
      <w:pPr>
        <w:ind w:start="0pt" w:firstLine="0pt"/>
      </w:pPr>
    </w:lvl>
    <w:lvl w:ilvl="4">
      <w:start w:val="1"/>
      <w:numFmt w:val="none"/>
      <w:suff w:val="nothing"/>
      <w:lvlText w:val=""/>
      <w:lvlJc w:val="start"/>
      <w:pPr>
        <w:ind w:start="0pt" w:firstLine="0pt"/>
      </w:pPr>
    </w:lvl>
    <w:lvl w:ilvl="5">
      <w:start w:val="1"/>
      <w:numFmt w:val="none"/>
      <w:suff w:val="nothing"/>
      <w:lvlText w:val=""/>
      <w:lvlJc w:val="start"/>
      <w:pPr>
        <w:ind w:start="0pt" w:firstLine="0pt"/>
      </w:pPr>
    </w:lvl>
    <w:lvl w:ilvl="6">
      <w:start w:val="1"/>
      <w:numFmt w:val="none"/>
      <w:suff w:val="nothing"/>
      <w:lvlText w:val=""/>
      <w:lvlJc w:val="start"/>
      <w:pPr>
        <w:ind w:start="0pt" w:firstLine="0pt"/>
      </w:pPr>
    </w:lvl>
    <w:lvl w:ilvl="7">
      <w:start w:val="1"/>
      <w:numFmt w:val="none"/>
      <w:suff w:val="nothing"/>
      <w:lvlText w:val=""/>
      <w:lvlJc w:val="start"/>
      <w:pPr>
        <w:ind w:start="0pt" w:firstLine="0pt"/>
      </w:pPr>
    </w:lvl>
    <w:lvl w:ilvl="8">
      <w:start w:val="1"/>
      <w:numFmt w:val="none"/>
      <w:suff w:val="nothing"/>
      <w:lvlText w:val=""/>
      <w:lvlJc w:val="start"/>
      <w:pPr>
        <w:ind w:start="0pt" w:firstLine="0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proofState w:spelling="clean" w:grammar="clean"/>
  <w:defaultTabStop w:val="35.45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40C79"/>
    <w:rsid w:val="003A3808"/>
    <w:rsid w:val="008E6F88"/>
    <w:rsid w:val="00C3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8D3956-0282-4282-8C90-749D5841190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D21"/>
    <w:pPr>
      <w:widowControl w:val="0"/>
      <w:suppressAutoHyphens/>
    </w:pPr>
    <w:rPr>
      <w:rFonts w:ascii="Liberation Serif" w:eastAsia="SimSun" w:hAnsi="Liberation Serif" w:cs="Lucida Sans"/>
      <w:kern w:val="2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link w:val="Nadpis1Char"/>
    <w:uiPriority w:val="99"/>
    <w:qFormat/>
    <w:rsid w:val="00612D2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link w:val="Nadpis2Char"/>
    <w:uiPriority w:val="99"/>
    <w:qFormat/>
    <w:rsid w:val="00612D21"/>
    <w:pPr>
      <w:numPr>
        <w:ilvl w:val="1"/>
        <w:numId w:val="1"/>
      </w:numPr>
      <w:spacing w:before="10pt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link w:val="Nadpis3Char"/>
    <w:uiPriority w:val="99"/>
    <w:qFormat/>
    <w:rsid w:val="00612D21"/>
    <w:pPr>
      <w:numPr>
        <w:ilvl w:val="2"/>
        <w:numId w:val="1"/>
      </w:numPr>
      <w:spacing w:before="7pt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122EE5"/>
    <w:rPr>
      <w:rFonts w:ascii="Cambria" w:hAnsi="Cambria" w:cs="Mangal"/>
      <w:b/>
      <w:bCs/>
      <w:kern w:val="2"/>
      <w:sz w:val="29"/>
      <w:szCs w:val="29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122EE5"/>
    <w:rPr>
      <w:rFonts w:ascii="Cambria" w:hAnsi="Cambria" w:cs="Mangal"/>
      <w:b/>
      <w:bCs/>
      <w:i/>
      <w:iCs/>
      <w:kern w:val="2"/>
      <w:sz w:val="25"/>
      <w:szCs w:val="25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122EE5"/>
    <w:rPr>
      <w:rFonts w:ascii="Cambria" w:hAnsi="Cambria" w:cs="Mangal"/>
      <w:b/>
      <w:bCs/>
      <w:kern w:val="2"/>
      <w:sz w:val="23"/>
      <w:szCs w:val="23"/>
      <w:lang w:eastAsia="hi-IN" w:bidi="hi-IN"/>
    </w:rPr>
  </w:style>
  <w:style w:type="character" w:customStyle="1" w:styleId="WW8Num2z0">
    <w:name w:val="WW8Num2z0"/>
    <w:uiPriority w:val="99"/>
    <w:qFormat/>
    <w:rsid w:val="00612D21"/>
    <w:rPr>
      <w:rFonts w:ascii="Times New Roman" w:hAnsi="Times New Roman"/>
    </w:rPr>
  </w:style>
  <w:style w:type="character" w:customStyle="1" w:styleId="WW8Num2z1">
    <w:name w:val="WW8Num2z1"/>
    <w:uiPriority w:val="99"/>
    <w:qFormat/>
    <w:rsid w:val="00612D21"/>
    <w:rPr>
      <w:rFonts w:ascii="Courier New" w:hAnsi="Courier New"/>
    </w:rPr>
  </w:style>
  <w:style w:type="character" w:customStyle="1" w:styleId="WW8Num2z2">
    <w:name w:val="WW8Num2z2"/>
    <w:uiPriority w:val="99"/>
    <w:qFormat/>
    <w:rsid w:val="00612D21"/>
    <w:rPr>
      <w:rFonts w:ascii="Wingdings" w:hAnsi="Wingdings"/>
    </w:rPr>
  </w:style>
  <w:style w:type="character" w:customStyle="1" w:styleId="WW8Num2z3">
    <w:name w:val="WW8Num2z3"/>
    <w:uiPriority w:val="99"/>
    <w:qFormat/>
    <w:rsid w:val="00612D21"/>
    <w:rPr>
      <w:rFonts w:ascii="Symbol" w:hAnsi="Symbol"/>
    </w:rPr>
  </w:style>
  <w:style w:type="character" w:styleId="Zdraznn">
    <w:name w:val="Emphasis"/>
    <w:basedOn w:val="Standardnpsmoodstavce"/>
    <w:uiPriority w:val="99"/>
    <w:qFormat/>
    <w:rsid w:val="00612D21"/>
    <w:rPr>
      <w:rFonts w:cs="Times New Roman"/>
      <w:i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122EE5"/>
    <w:rPr>
      <w:rFonts w:ascii="Liberation Serif" w:eastAsia="SimSun" w:hAnsi="Liberation Serif" w:cs="Mangal"/>
      <w:kern w:val="2"/>
      <w:sz w:val="21"/>
      <w:szCs w:val="21"/>
      <w:lang w:eastAsia="hi-IN" w:bidi="hi-IN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122EE5"/>
    <w:rPr>
      <w:rFonts w:ascii="Cambria" w:hAnsi="Cambria" w:cs="Mangal"/>
      <w:b/>
      <w:bCs/>
      <w:kern w:val="2"/>
      <w:sz w:val="29"/>
      <w:szCs w:val="29"/>
      <w:lang w:eastAsia="hi-IN" w:bidi="hi-IN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122EE5"/>
    <w:rPr>
      <w:rFonts w:ascii="Cambria" w:hAnsi="Cambria" w:cs="Mangal"/>
      <w:kern w:val="2"/>
      <w:sz w:val="21"/>
      <w:szCs w:val="21"/>
      <w:lang w:eastAsia="hi-IN" w:bidi="hi-IN"/>
    </w:rPr>
  </w:style>
  <w:style w:type="paragraph" w:customStyle="1" w:styleId="Nadpis">
    <w:name w:val="Nadpis"/>
    <w:basedOn w:val="Normln"/>
    <w:next w:val="Zkladntext"/>
    <w:uiPriority w:val="99"/>
    <w:qFormat/>
    <w:rsid w:val="00612D21"/>
    <w:pPr>
      <w:keepNext/>
      <w:spacing w:before="12pt" w:after="6pt"/>
    </w:pPr>
    <w:rPr>
      <w:rFonts w:ascii="Liberation Sans" w:eastAsia="Times New Roman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12D21"/>
    <w:pPr>
      <w:spacing w:after="7pt" w:line="14.40pt" w:lineRule="auto"/>
    </w:pPr>
  </w:style>
  <w:style w:type="paragraph" w:styleId="Seznam">
    <w:name w:val="List"/>
    <w:basedOn w:val="Zkladntext"/>
    <w:uiPriority w:val="99"/>
    <w:rsid w:val="00612D21"/>
  </w:style>
  <w:style w:type="paragraph" w:customStyle="1" w:styleId="Titulek1">
    <w:name w:val="Titulek1"/>
    <w:basedOn w:val="Normln"/>
    <w:uiPriority w:val="99"/>
    <w:qFormat/>
    <w:rsid w:val="00612D21"/>
    <w:pPr>
      <w:suppressLineNumbers/>
      <w:spacing w:before="6pt" w:after="6pt"/>
    </w:pPr>
    <w:rPr>
      <w:i/>
      <w:iCs/>
    </w:rPr>
  </w:style>
  <w:style w:type="paragraph" w:customStyle="1" w:styleId="Rejstk">
    <w:name w:val="Rejstřík"/>
    <w:basedOn w:val="Normln"/>
    <w:uiPriority w:val="99"/>
    <w:qFormat/>
    <w:rsid w:val="00612D21"/>
    <w:pPr>
      <w:suppressLineNumbers/>
    </w:pPr>
  </w:style>
  <w:style w:type="paragraph" w:customStyle="1" w:styleId="Citace">
    <w:name w:val="Citace"/>
    <w:basedOn w:val="Normln"/>
    <w:uiPriority w:val="99"/>
    <w:qFormat/>
    <w:rsid w:val="00612D21"/>
    <w:pPr>
      <w:spacing w:after="14.15pt"/>
      <w:ind w:start="28.35pt" w:end="28.35pt"/>
    </w:pPr>
  </w:style>
  <w:style w:type="paragraph" w:styleId="Nzev">
    <w:name w:val="Title"/>
    <w:basedOn w:val="Nadpis"/>
    <w:next w:val="Zkladntext"/>
    <w:link w:val="NzevChar"/>
    <w:uiPriority w:val="99"/>
    <w:qFormat/>
    <w:rsid w:val="00612D21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12D21"/>
    <w:pPr>
      <w:spacing w:before="3pt"/>
      <w:jc w:val="center"/>
    </w:pPr>
    <w:rPr>
      <w:sz w:val="36"/>
      <w:szCs w:val="36"/>
    </w:rPr>
  </w:style>
  <w:style w:type="paragraph" w:customStyle="1" w:styleId="Obsahtabulky">
    <w:name w:val="Obsah tabulky"/>
    <w:basedOn w:val="Normln"/>
    <w:uiPriority w:val="99"/>
    <w:qFormat/>
    <w:rsid w:val="00612D21"/>
    <w:pPr>
      <w:suppressLineNumbers/>
    </w:pPr>
  </w:style>
  <w:style w:type="paragraph" w:customStyle="1" w:styleId="Nadpistabulky">
    <w:name w:val="Nadpis tabulky"/>
    <w:basedOn w:val="Obsahtabulky"/>
    <w:uiPriority w:val="99"/>
    <w:qFormat/>
    <w:rsid w:val="00612D2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POVINNÉ PARAMETRY      90 %                                                 ano  √</vt:lpstr>
    </vt:vector>
  </TitlesOfParts>
  <Company>Nemocnice Jablonec nad Nisou, p.o.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POVINNÉ PARAMETRY      90 %                                                 ano  √</dc:title>
  <dc:subject/>
  <dc:creator>hana.simkova</dc:creator>
  <dc:description/>
  <cp:lastModifiedBy>Radmila Labíková</cp:lastModifiedBy>
  <cp:revision>2</cp:revision>
  <cp:lastPrinted>2018-08-16T10:55:00Z</cp:lastPrinted>
  <dcterms:created xsi:type="dcterms:W3CDTF">2022-01-05T07:41:00Z</dcterms:created>
  <dcterms:modified xsi:type="dcterms:W3CDTF">2022-01-05T07:41:00Z</dcterms:modified>
  <dc:language>cs-CZ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12.0000</vt:lpwstr>
  </property>
  <property fmtid="{D5CDD505-2E9C-101B-9397-08002B2CF9AE}" pid="3" name="Company">
    <vt:lpwstr>Nemocnice Jablonec nad Nisou, p.o.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