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D0" w:rsidRPr="008C60A5" w:rsidRDefault="00CB6BD8" w:rsidP="00930F38">
      <w:pPr>
        <w:spacing w:after="0" w:line="240" w:lineRule="auto"/>
        <w:jc w:val="center"/>
        <w:rPr>
          <w:rFonts w:ascii="Arial" w:eastAsia="Calibri" w:hAnsi="Arial" w:cs="Arial"/>
          <w:b/>
        </w:rPr>
      </w:pPr>
      <w:r>
        <w:rPr>
          <w:rFonts w:ascii="Arial" w:eastAsia="Calibri" w:hAnsi="Arial" w:cs="Arial"/>
          <w:b/>
        </w:rPr>
        <w:t>Dodatek č. 6</w:t>
      </w:r>
    </w:p>
    <w:p w:rsidR="00532AD0" w:rsidRPr="00B1582F" w:rsidRDefault="00F32E33" w:rsidP="00930F38">
      <w:pPr>
        <w:spacing w:after="0" w:line="240" w:lineRule="auto"/>
        <w:jc w:val="center"/>
        <w:rPr>
          <w:rFonts w:ascii="Arial" w:eastAsia="Times New Roman" w:hAnsi="Arial" w:cs="Arial"/>
          <w:b/>
        </w:rPr>
      </w:pPr>
      <w:r w:rsidRPr="00B1582F">
        <w:rPr>
          <w:rFonts w:ascii="Arial" w:eastAsia="Calibri" w:hAnsi="Arial" w:cs="Arial"/>
          <w:b/>
        </w:rPr>
        <w:t>ke Smlouvě o nájmu prostor sloužících p</w:t>
      </w:r>
      <w:r w:rsidR="00B1582F" w:rsidRPr="00B1582F">
        <w:rPr>
          <w:rFonts w:ascii="Arial" w:eastAsia="Calibri" w:hAnsi="Arial" w:cs="Arial"/>
          <w:b/>
        </w:rPr>
        <w:t xml:space="preserve">odnikání – restaurace </w:t>
      </w:r>
      <w:r w:rsidR="00D0360A" w:rsidRPr="00B1582F">
        <w:rPr>
          <w:rFonts w:ascii="Arial" w:eastAsia="Calibri" w:hAnsi="Arial" w:cs="Arial"/>
          <w:b/>
        </w:rPr>
        <w:t>SAREZA AURA v objektu Multifunkční areál</w:t>
      </w:r>
      <w:r w:rsidRPr="00B1582F">
        <w:rPr>
          <w:rFonts w:ascii="Arial" w:eastAsia="Calibri" w:hAnsi="Arial" w:cs="Arial"/>
          <w:b/>
        </w:rPr>
        <w:t xml:space="preserve"> č. 14SMOU0100000110 uzavřené dne 15. 11. 2014</w:t>
      </w:r>
    </w:p>
    <w:p w:rsidR="00532AD0" w:rsidRPr="008C60A5" w:rsidRDefault="00532AD0" w:rsidP="00930F38">
      <w:pPr>
        <w:spacing w:after="0" w:line="240" w:lineRule="auto"/>
        <w:jc w:val="center"/>
        <w:rPr>
          <w:rFonts w:ascii="Arial" w:eastAsia="Times New Roman" w:hAnsi="Arial" w:cs="Arial"/>
          <w:b/>
        </w:rPr>
      </w:pPr>
    </w:p>
    <w:p w:rsidR="00532AD0" w:rsidRPr="008C60A5" w:rsidRDefault="00F32E33">
      <w:pPr>
        <w:spacing w:after="0" w:line="240" w:lineRule="auto"/>
        <w:jc w:val="center"/>
        <w:rPr>
          <w:rFonts w:ascii="Arial" w:eastAsia="Times New Roman" w:hAnsi="Arial" w:cs="Arial"/>
          <w:b/>
        </w:rPr>
      </w:pPr>
      <w:r w:rsidRPr="008C60A5">
        <w:rPr>
          <w:rFonts w:ascii="Arial" w:eastAsia="Calibri" w:hAnsi="Arial" w:cs="Arial"/>
          <w:b/>
        </w:rPr>
        <w:t xml:space="preserve">Čl. I </w:t>
      </w:r>
    </w:p>
    <w:p w:rsidR="00532AD0" w:rsidRPr="008C60A5" w:rsidRDefault="00F32E33">
      <w:pPr>
        <w:spacing w:after="0" w:line="240" w:lineRule="auto"/>
        <w:jc w:val="center"/>
        <w:rPr>
          <w:rFonts w:ascii="Arial" w:eastAsia="Calibri" w:hAnsi="Arial" w:cs="Arial"/>
          <w:b/>
        </w:rPr>
      </w:pPr>
      <w:r w:rsidRPr="008C60A5">
        <w:rPr>
          <w:rFonts w:ascii="Arial" w:eastAsia="Calibri" w:hAnsi="Arial" w:cs="Arial"/>
          <w:b/>
        </w:rPr>
        <w:t>Smluvní strany</w:t>
      </w:r>
    </w:p>
    <w:p w:rsidR="00532AD0" w:rsidRPr="008C60A5" w:rsidRDefault="00F32E33">
      <w:pPr>
        <w:tabs>
          <w:tab w:val="left" w:pos="2127"/>
        </w:tabs>
        <w:spacing w:after="0" w:line="240" w:lineRule="auto"/>
        <w:rPr>
          <w:rFonts w:ascii="Arial" w:eastAsia="Calibri" w:hAnsi="Arial" w:cs="Arial"/>
          <w:b/>
        </w:rPr>
      </w:pPr>
      <w:r w:rsidRPr="008C60A5">
        <w:rPr>
          <w:rFonts w:ascii="Arial" w:eastAsia="Calibri" w:hAnsi="Arial" w:cs="Arial"/>
          <w:b/>
        </w:rPr>
        <w:t xml:space="preserve">Pronajímatel: </w:t>
      </w:r>
    </w:p>
    <w:p w:rsidR="00532AD0" w:rsidRPr="008C60A5" w:rsidRDefault="00F32E33">
      <w:pPr>
        <w:tabs>
          <w:tab w:val="left" w:pos="2127"/>
        </w:tabs>
        <w:spacing w:after="0" w:line="240" w:lineRule="auto"/>
        <w:rPr>
          <w:rFonts w:ascii="Arial" w:eastAsia="Calibri" w:hAnsi="Arial" w:cs="Arial"/>
          <w:b/>
        </w:rPr>
      </w:pPr>
      <w:r w:rsidRPr="008C60A5">
        <w:rPr>
          <w:rFonts w:ascii="Arial" w:eastAsia="Calibri" w:hAnsi="Arial" w:cs="Arial"/>
        </w:rPr>
        <w:t>Název:</w:t>
      </w:r>
      <w:r w:rsidRPr="008C60A5">
        <w:rPr>
          <w:rFonts w:ascii="Arial" w:eastAsia="Calibri" w:hAnsi="Arial" w:cs="Arial"/>
        </w:rPr>
        <w:tab/>
      </w:r>
      <w:r w:rsidRPr="008C60A5">
        <w:rPr>
          <w:rFonts w:ascii="Arial" w:eastAsia="Calibri" w:hAnsi="Arial" w:cs="Arial"/>
          <w:b/>
        </w:rPr>
        <w:t>Sportovní a rekreační zařízení města Ostravy, s.r.o.</w:t>
      </w:r>
    </w:p>
    <w:p w:rsidR="00532AD0" w:rsidRPr="008C60A5" w:rsidRDefault="00F32E33">
      <w:pPr>
        <w:tabs>
          <w:tab w:val="left" w:pos="2127"/>
        </w:tabs>
        <w:spacing w:after="0" w:line="240" w:lineRule="auto"/>
        <w:rPr>
          <w:rFonts w:ascii="Arial" w:eastAsia="Times New Roman" w:hAnsi="Arial" w:cs="Arial"/>
          <w:b/>
        </w:rPr>
      </w:pPr>
      <w:r w:rsidRPr="008C60A5">
        <w:rPr>
          <w:rFonts w:ascii="Arial" w:eastAsia="Calibri" w:hAnsi="Arial" w:cs="Arial"/>
          <w:b/>
        </w:rPr>
        <w:tab/>
      </w:r>
      <w:r w:rsidRPr="008C60A5">
        <w:rPr>
          <w:rFonts w:ascii="Arial" w:eastAsia="Calibri" w:hAnsi="Arial" w:cs="Arial"/>
        </w:rPr>
        <w:t>Krajský soud v Ostravě, oddíl C, vložka 17345</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Sídlo:</w:t>
      </w:r>
      <w:r w:rsidRPr="008C60A5">
        <w:rPr>
          <w:rFonts w:ascii="Arial" w:eastAsia="Calibri" w:hAnsi="Arial" w:cs="Arial"/>
        </w:rPr>
        <w:tab/>
        <w:t xml:space="preserve">Čkalovova 6144/20, 708 00 Ostrava-Poruba </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Jednatel:</w:t>
      </w:r>
      <w:r w:rsidRPr="008C60A5">
        <w:rPr>
          <w:rFonts w:ascii="Arial" w:eastAsia="Calibri" w:hAnsi="Arial" w:cs="Arial"/>
        </w:rPr>
        <w:tab/>
        <w:t>Ing. Jaroslav Kovář, jednatel</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IČ, DIČ:</w:t>
      </w:r>
      <w:r w:rsidRPr="008C60A5">
        <w:rPr>
          <w:rFonts w:ascii="Arial" w:eastAsia="Calibri" w:hAnsi="Arial" w:cs="Arial"/>
        </w:rPr>
        <w:tab/>
        <w:t>25385691, CZ25385691</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Bankovní spojení:</w:t>
      </w:r>
      <w:r w:rsidRPr="008C60A5">
        <w:rPr>
          <w:rFonts w:ascii="Arial" w:eastAsia="Calibri" w:hAnsi="Arial" w:cs="Arial"/>
        </w:rPr>
        <w:tab/>
      </w:r>
      <w:r w:rsidR="00820689">
        <w:rPr>
          <w:rFonts w:ascii="Arial" w:eastAsia="Calibri" w:hAnsi="Arial" w:cs="Arial"/>
        </w:rPr>
        <w:t>XXXXXXXXXX</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(dále jen pronajímatel)</w:t>
      </w:r>
    </w:p>
    <w:p w:rsidR="00532AD0" w:rsidRPr="008C60A5" w:rsidRDefault="00532AD0">
      <w:pPr>
        <w:tabs>
          <w:tab w:val="left" w:pos="2127"/>
        </w:tabs>
        <w:spacing w:after="0" w:line="240" w:lineRule="auto"/>
        <w:rPr>
          <w:rFonts w:ascii="Arial" w:eastAsia="Calibri" w:hAnsi="Arial" w:cs="Arial"/>
        </w:rPr>
      </w:pP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a</w:t>
      </w:r>
    </w:p>
    <w:p w:rsidR="00532AD0" w:rsidRPr="008C60A5" w:rsidRDefault="00532AD0">
      <w:pPr>
        <w:tabs>
          <w:tab w:val="left" w:pos="2127"/>
        </w:tabs>
        <w:spacing w:after="0" w:line="240" w:lineRule="auto"/>
        <w:rPr>
          <w:rFonts w:ascii="Arial" w:eastAsia="Calibri" w:hAnsi="Arial" w:cs="Arial"/>
        </w:rPr>
      </w:pPr>
    </w:p>
    <w:p w:rsidR="00532AD0" w:rsidRPr="008C60A5" w:rsidRDefault="00F32E33">
      <w:pPr>
        <w:tabs>
          <w:tab w:val="left" w:pos="2127"/>
        </w:tabs>
        <w:spacing w:after="0" w:line="240" w:lineRule="auto"/>
        <w:rPr>
          <w:rFonts w:ascii="Arial" w:eastAsia="Calibri" w:hAnsi="Arial" w:cs="Arial"/>
          <w:b/>
        </w:rPr>
      </w:pPr>
      <w:r w:rsidRPr="008C60A5">
        <w:rPr>
          <w:rFonts w:ascii="Arial" w:eastAsia="Calibri" w:hAnsi="Arial" w:cs="Arial"/>
          <w:b/>
        </w:rPr>
        <w:t>Nájemce:</w:t>
      </w:r>
      <w:r w:rsidRPr="008C60A5">
        <w:rPr>
          <w:rFonts w:ascii="Arial" w:eastAsia="Calibri" w:hAnsi="Arial" w:cs="Arial"/>
          <w:b/>
        </w:rPr>
        <w:tab/>
      </w:r>
    </w:p>
    <w:p w:rsidR="00532AD0" w:rsidRPr="008C60A5" w:rsidRDefault="00F32E33">
      <w:pPr>
        <w:tabs>
          <w:tab w:val="left" w:pos="2127"/>
        </w:tabs>
        <w:spacing w:after="0" w:line="240" w:lineRule="auto"/>
        <w:rPr>
          <w:rFonts w:ascii="Arial" w:eastAsia="Times New Roman" w:hAnsi="Arial" w:cs="Arial"/>
        </w:rPr>
      </w:pPr>
      <w:r w:rsidRPr="008C60A5">
        <w:rPr>
          <w:rFonts w:ascii="Arial" w:eastAsia="Calibri" w:hAnsi="Arial" w:cs="Arial"/>
        </w:rPr>
        <w:t>Název:</w:t>
      </w:r>
      <w:r w:rsidRPr="008C60A5">
        <w:rPr>
          <w:rFonts w:ascii="Arial" w:eastAsia="Calibri" w:hAnsi="Arial" w:cs="Arial"/>
        </w:rPr>
        <w:tab/>
      </w:r>
      <w:r w:rsidRPr="008C60A5">
        <w:rPr>
          <w:rFonts w:ascii="Arial" w:eastAsia="Calibri" w:hAnsi="Arial" w:cs="Arial"/>
          <w:b/>
        </w:rPr>
        <w:t>Zdenka Schulzová</w:t>
      </w:r>
    </w:p>
    <w:p w:rsidR="00532AD0" w:rsidRPr="008C60A5" w:rsidRDefault="00F32E33">
      <w:pPr>
        <w:tabs>
          <w:tab w:val="left" w:pos="2127"/>
        </w:tabs>
        <w:spacing w:after="0" w:line="240" w:lineRule="auto"/>
        <w:ind w:left="2127"/>
        <w:rPr>
          <w:rFonts w:ascii="Arial" w:eastAsia="Calibri" w:hAnsi="Arial" w:cs="Arial"/>
        </w:rPr>
      </w:pPr>
      <w:r w:rsidRPr="008C60A5">
        <w:rPr>
          <w:rFonts w:ascii="Arial" w:eastAsia="Calibri" w:hAnsi="Arial" w:cs="Arial"/>
        </w:rPr>
        <w:t>fyzická osoba podnikající dle živnostenského zákona nezapsaná v obchodním rejstříku</w:t>
      </w:r>
    </w:p>
    <w:p w:rsidR="00532AD0" w:rsidRPr="008C60A5" w:rsidRDefault="00F32E33">
      <w:pPr>
        <w:tabs>
          <w:tab w:val="left" w:pos="2127"/>
        </w:tabs>
        <w:spacing w:after="0" w:line="240" w:lineRule="auto"/>
        <w:rPr>
          <w:rFonts w:ascii="Arial" w:eastAsia="Times New Roman" w:hAnsi="Arial" w:cs="Arial"/>
          <w:b/>
        </w:rPr>
      </w:pPr>
      <w:r w:rsidRPr="008C60A5">
        <w:rPr>
          <w:rFonts w:ascii="Arial" w:eastAsia="Calibri" w:hAnsi="Arial" w:cs="Arial"/>
        </w:rPr>
        <w:t>Sídlo:</w:t>
      </w:r>
      <w:r w:rsidRPr="008C60A5">
        <w:rPr>
          <w:rFonts w:ascii="Arial" w:eastAsia="Calibri" w:hAnsi="Arial" w:cs="Arial"/>
        </w:rPr>
        <w:tab/>
      </w:r>
      <w:r w:rsidR="00820689">
        <w:rPr>
          <w:rFonts w:ascii="Arial" w:eastAsia="Calibri" w:hAnsi="Arial" w:cs="Arial"/>
        </w:rPr>
        <w:t>XXXXXXXXXX</w:t>
      </w:r>
      <w:r w:rsidRPr="008C60A5">
        <w:rPr>
          <w:rFonts w:ascii="Arial" w:eastAsia="Calibri" w:hAnsi="Arial" w:cs="Arial"/>
        </w:rPr>
        <w:tab/>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Jednající:</w:t>
      </w:r>
      <w:r w:rsidRPr="008C60A5">
        <w:rPr>
          <w:rFonts w:ascii="Arial" w:eastAsia="Calibri" w:hAnsi="Arial" w:cs="Arial"/>
        </w:rPr>
        <w:tab/>
        <w:t>Zdenka Schulzová</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IČ:</w:t>
      </w:r>
      <w:r w:rsidRPr="008C60A5">
        <w:rPr>
          <w:rFonts w:ascii="Arial" w:eastAsia="Calibri" w:hAnsi="Arial" w:cs="Arial"/>
        </w:rPr>
        <w:tab/>
        <w:t>61950912</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DIČ:</w:t>
      </w:r>
      <w:r w:rsidRPr="008C60A5">
        <w:rPr>
          <w:rFonts w:ascii="Arial" w:eastAsia="Calibri" w:hAnsi="Arial" w:cs="Arial"/>
        </w:rPr>
        <w:tab/>
        <w:t>CZ5761131266</w:t>
      </w:r>
      <w:r w:rsidR="008C60A5">
        <w:rPr>
          <w:rFonts w:ascii="Arial" w:eastAsia="Calibri" w:hAnsi="Arial" w:cs="Arial"/>
        </w:rPr>
        <w:t xml:space="preserve">, </w:t>
      </w:r>
      <w:r w:rsidRPr="008C60A5">
        <w:rPr>
          <w:rFonts w:ascii="Arial" w:eastAsia="Calibri" w:hAnsi="Arial" w:cs="Arial"/>
        </w:rPr>
        <w:t>plátce DPH</w:t>
      </w:r>
    </w:p>
    <w:p w:rsidR="00532AD0" w:rsidRPr="008C60A5" w:rsidRDefault="00F32E33">
      <w:pPr>
        <w:tabs>
          <w:tab w:val="left" w:pos="2127"/>
        </w:tabs>
        <w:spacing w:after="0" w:line="240" w:lineRule="auto"/>
        <w:rPr>
          <w:rFonts w:ascii="Arial" w:eastAsia="Times New Roman" w:hAnsi="Arial" w:cs="Arial"/>
        </w:rPr>
      </w:pPr>
      <w:r w:rsidRPr="008C60A5">
        <w:rPr>
          <w:rFonts w:ascii="Arial" w:eastAsia="Calibri" w:hAnsi="Arial" w:cs="Arial"/>
        </w:rPr>
        <w:t>Bankovní spojen</w:t>
      </w:r>
      <w:r w:rsidR="00C64A9A" w:rsidRPr="008C60A5">
        <w:rPr>
          <w:rFonts w:ascii="Arial" w:eastAsia="Calibri" w:hAnsi="Arial" w:cs="Arial"/>
        </w:rPr>
        <w:t>í:</w:t>
      </w:r>
      <w:r w:rsidR="00C64A9A" w:rsidRPr="008C60A5">
        <w:rPr>
          <w:rFonts w:ascii="Arial" w:eastAsia="Calibri" w:hAnsi="Arial" w:cs="Arial"/>
        </w:rPr>
        <w:tab/>
      </w:r>
      <w:r w:rsidR="00820689">
        <w:rPr>
          <w:rFonts w:ascii="Arial" w:eastAsia="Calibri" w:hAnsi="Arial" w:cs="Arial"/>
        </w:rPr>
        <w:t>XXXXXXXXXX</w:t>
      </w:r>
    </w:p>
    <w:p w:rsidR="00532AD0" w:rsidRPr="008C60A5" w:rsidRDefault="00F32E33">
      <w:pPr>
        <w:tabs>
          <w:tab w:val="left" w:pos="2127"/>
        </w:tabs>
        <w:spacing w:after="0" w:line="240" w:lineRule="auto"/>
        <w:rPr>
          <w:rFonts w:ascii="Arial" w:eastAsia="Calibri" w:hAnsi="Arial" w:cs="Arial"/>
        </w:rPr>
      </w:pPr>
      <w:r w:rsidRPr="008C60A5">
        <w:rPr>
          <w:rFonts w:ascii="Arial" w:eastAsia="Calibri" w:hAnsi="Arial" w:cs="Arial"/>
        </w:rPr>
        <w:t>(dále jen nájemce)</w:t>
      </w:r>
    </w:p>
    <w:p w:rsidR="00532AD0" w:rsidRPr="008C60A5" w:rsidRDefault="00532AD0">
      <w:pPr>
        <w:tabs>
          <w:tab w:val="left" w:pos="2127"/>
        </w:tabs>
        <w:spacing w:after="0" w:line="240" w:lineRule="auto"/>
        <w:rPr>
          <w:rFonts w:ascii="Arial" w:eastAsia="Times New Roman" w:hAnsi="Arial" w:cs="Arial"/>
        </w:rPr>
      </w:pPr>
    </w:p>
    <w:p w:rsidR="00532AD0" w:rsidRPr="008C60A5" w:rsidRDefault="00F32E33">
      <w:pPr>
        <w:spacing w:after="0" w:line="240" w:lineRule="auto"/>
        <w:jc w:val="center"/>
        <w:rPr>
          <w:rFonts w:ascii="Arial" w:eastAsia="Calibri" w:hAnsi="Arial" w:cs="Arial"/>
          <w:b/>
        </w:rPr>
      </w:pPr>
      <w:r w:rsidRPr="008C60A5">
        <w:rPr>
          <w:rFonts w:ascii="Arial" w:eastAsia="Calibri" w:hAnsi="Arial" w:cs="Arial"/>
          <w:b/>
        </w:rPr>
        <w:t xml:space="preserve">Čl. II </w:t>
      </w:r>
    </w:p>
    <w:p w:rsidR="00532AD0" w:rsidRPr="008C60A5" w:rsidRDefault="00F32E33">
      <w:pPr>
        <w:spacing w:after="0" w:line="240" w:lineRule="auto"/>
        <w:jc w:val="center"/>
        <w:rPr>
          <w:rFonts w:ascii="Arial" w:eastAsia="Calibri" w:hAnsi="Arial" w:cs="Arial"/>
          <w:b/>
        </w:rPr>
      </w:pPr>
      <w:r w:rsidRPr="008C60A5">
        <w:rPr>
          <w:rFonts w:ascii="Arial" w:eastAsia="Calibri" w:hAnsi="Arial" w:cs="Arial"/>
          <w:b/>
        </w:rPr>
        <w:t>Předmět dodatku</w:t>
      </w:r>
    </w:p>
    <w:p w:rsidR="00532AD0" w:rsidRPr="008C60A5" w:rsidRDefault="00532AD0">
      <w:pPr>
        <w:spacing w:after="0" w:line="240" w:lineRule="auto"/>
        <w:rPr>
          <w:rFonts w:ascii="Arial" w:eastAsia="Times New Roman" w:hAnsi="Arial" w:cs="Arial"/>
          <w:b/>
        </w:rPr>
      </w:pPr>
    </w:p>
    <w:p w:rsidR="00532AD0" w:rsidRPr="008C60A5" w:rsidRDefault="00F32E33" w:rsidP="00CB6BD8">
      <w:pPr>
        <w:spacing w:after="0" w:line="240" w:lineRule="auto"/>
        <w:jc w:val="both"/>
        <w:rPr>
          <w:rFonts w:ascii="Arial" w:eastAsia="Times New Roman" w:hAnsi="Arial" w:cs="Arial"/>
        </w:rPr>
      </w:pPr>
      <w:r w:rsidRPr="008C60A5">
        <w:rPr>
          <w:rFonts w:ascii="Arial" w:eastAsia="Calibri" w:hAnsi="Arial" w:cs="Arial"/>
        </w:rPr>
        <w:t xml:space="preserve">Tímto dodatkem </w:t>
      </w:r>
      <w:r w:rsidR="00CB6BD8">
        <w:rPr>
          <w:rFonts w:ascii="Arial" w:eastAsia="Calibri" w:hAnsi="Arial" w:cs="Arial"/>
        </w:rPr>
        <w:t xml:space="preserve">č. 6 </w:t>
      </w:r>
      <w:r w:rsidRPr="008C60A5">
        <w:rPr>
          <w:rFonts w:ascii="Arial" w:eastAsia="Calibri" w:hAnsi="Arial" w:cs="Arial"/>
        </w:rPr>
        <w:t>se</w:t>
      </w:r>
      <w:r w:rsidR="00CB6BD8">
        <w:rPr>
          <w:rFonts w:ascii="Arial" w:eastAsia="Calibri" w:hAnsi="Arial" w:cs="Arial"/>
        </w:rPr>
        <w:t xml:space="preserve"> ve smlouvě č. 14SMOU0100000110 a dodatcích č. 1 až 5 k této smlouvě</w:t>
      </w:r>
    </w:p>
    <w:p w:rsidR="00532AD0" w:rsidRPr="008C60A5" w:rsidRDefault="00FB7516">
      <w:pPr>
        <w:spacing w:after="0" w:line="240" w:lineRule="auto"/>
        <w:rPr>
          <w:rFonts w:ascii="Arial" w:eastAsia="Calibri" w:hAnsi="Arial" w:cs="Arial"/>
          <w:b/>
        </w:rPr>
      </w:pPr>
      <w:r>
        <w:rPr>
          <w:rFonts w:ascii="Arial" w:eastAsia="Calibri" w:hAnsi="Arial" w:cs="Arial"/>
          <w:b/>
        </w:rPr>
        <w:t xml:space="preserve">1. </w:t>
      </w:r>
      <w:r w:rsidR="00CB6BD8">
        <w:rPr>
          <w:rFonts w:ascii="Arial" w:eastAsia="Calibri" w:hAnsi="Arial" w:cs="Arial"/>
          <w:b/>
        </w:rPr>
        <w:t xml:space="preserve">Doplňuje </w:t>
      </w:r>
    </w:p>
    <w:p w:rsidR="00532AD0" w:rsidRPr="008C60A5" w:rsidRDefault="001F09E3">
      <w:pPr>
        <w:spacing w:after="0" w:line="240" w:lineRule="auto"/>
        <w:rPr>
          <w:rFonts w:ascii="Arial" w:eastAsia="Calibri" w:hAnsi="Arial" w:cs="Arial"/>
        </w:rPr>
      </w:pPr>
      <w:r>
        <w:rPr>
          <w:rFonts w:ascii="Arial" w:eastAsia="Calibri" w:hAnsi="Arial" w:cs="Arial"/>
        </w:rPr>
        <w:t>Čl. V</w:t>
      </w:r>
      <w:r w:rsidR="00F32E33" w:rsidRPr="008C60A5">
        <w:rPr>
          <w:rFonts w:ascii="Arial" w:eastAsia="Calibri" w:hAnsi="Arial" w:cs="Arial"/>
        </w:rPr>
        <w:t xml:space="preserve"> </w:t>
      </w:r>
      <w:r w:rsidR="00CB6BD8">
        <w:rPr>
          <w:rFonts w:ascii="Arial" w:eastAsia="Calibri" w:hAnsi="Arial" w:cs="Arial"/>
        </w:rPr>
        <w:t>Nájemné</w:t>
      </w:r>
      <w:r w:rsidR="00C64A9A" w:rsidRPr="008C60A5">
        <w:rPr>
          <w:rFonts w:ascii="Arial" w:eastAsia="Calibri" w:hAnsi="Arial" w:cs="Arial"/>
        </w:rPr>
        <w:t xml:space="preserve"> </w:t>
      </w:r>
      <w:r w:rsidR="00CB6BD8">
        <w:rPr>
          <w:rFonts w:ascii="Arial" w:eastAsia="Calibri" w:hAnsi="Arial" w:cs="Arial"/>
        </w:rPr>
        <w:t xml:space="preserve">o nový </w:t>
      </w:r>
      <w:r w:rsidR="00C64A9A" w:rsidRPr="008C60A5">
        <w:rPr>
          <w:rFonts w:ascii="Arial" w:eastAsia="Calibri" w:hAnsi="Arial" w:cs="Arial"/>
        </w:rPr>
        <w:t xml:space="preserve">bod </w:t>
      </w:r>
      <w:r w:rsidR="00CB6BD8">
        <w:rPr>
          <w:rFonts w:ascii="Arial" w:eastAsia="Calibri" w:hAnsi="Arial" w:cs="Arial"/>
        </w:rPr>
        <w:t>7 tohoto znění</w:t>
      </w:r>
      <w:r w:rsidR="00F32E33" w:rsidRPr="008C60A5">
        <w:rPr>
          <w:rFonts w:ascii="Arial" w:eastAsia="Calibri" w:hAnsi="Arial" w:cs="Arial"/>
        </w:rPr>
        <w:t>:</w:t>
      </w:r>
    </w:p>
    <w:p w:rsidR="008C60A5" w:rsidRDefault="00CB6BD8" w:rsidP="008C60A5">
      <w:pPr>
        <w:pStyle w:val="Bezmezer"/>
        <w:jc w:val="both"/>
        <w:rPr>
          <w:rFonts w:ascii="Arial" w:hAnsi="Arial" w:cs="Arial"/>
          <w:bCs/>
        </w:rPr>
      </w:pPr>
      <w:r>
        <w:rPr>
          <w:rFonts w:ascii="Arial" w:hAnsi="Arial" w:cs="Arial"/>
          <w:bCs/>
        </w:rPr>
        <w:t xml:space="preserve">S účinností od 1. 1. 2022 do 31. 3. 2022 se sjednává nájemné ve výši </w:t>
      </w:r>
      <w:r w:rsidR="00820689">
        <w:rPr>
          <w:rFonts w:ascii="Arial" w:hAnsi="Arial" w:cs="Arial"/>
          <w:bCs/>
        </w:rPr>
        <w:t>XXXXXXX</w:t>
      </w:r>
      <w:r w:rsidR="00225DEC">
        <w:rPr>
          <w:rFonts w:ascii="Arial" w:hAnsi="Arial" w:cs="Arial"/>
          <w:bCs/>
        </w:rPr>
        <w:t xml:space="preserve"> </w:t>
      </w:r>
      <w:r w:rsidR="00091871">
        <w:rPr>
          <w:rFonts w:ascii="Arial" w:hAnsi="Arial" w:cs="Arial"/>
          <w:bCs/>
        </w:rPr>
        <w:t xml:space="preserve">Kč bez DPH měsíčně, a to </w:t>
      </w:r>
      <w:r w:rsidR="00091871" w:rsidRPr="001C0784">
        <w:rPr>
          <w:rFonts w:ascii="Arial" w:hAnsi="Arial" w:cs="Arial"/>
        </w:rPr>
        <w:t>zejména s ohledem na aktuálně platná opatření Ministerstva zdravotnictví</w:t>
      </w:r>
      <w:r w:rsidR="00091871">
        <w:rPr>
          <w:rFonts w:ascii="Arial" w:hAnsi="Arial" w:cs="Arial"/>
        </w:rPr>
        <w:t xml:space="preserve"> a usnesení Vlády ČR, </w:t>
      </w:r>
      <w:r w:rsidR="00091871" w:rsidRPr="001C0784">
        <w:rPr>
          <w:rFonts w:ascii="Arial" w:hAnsi="Arial" w:cs="Arial"/>
        </w:rPr>
        <w:t>která jsou příčinou velmi nízké ná</w:t>
      </w:r>
      <w:r w:rsidR="00091871">
        <w:rPr>
          <w:rFonts w:ascii="Arial" w:hAnsi="Arial" w:cs="Arial"/>
        </w:rPr>
        <w:t>vštěvnosti areálů pronajímatele.</w:t>
      </w:r>
    </w:p>
    <w:p w:rsidR="00DD24D1" w:rsidRDefault="00DD24D1" w:rsidP="008C60A5">
      <w:pPr>
        <w:pStyle w:val="Bezmezer"/>
        <w:jc w:val="both"/>
        <w:rPr>
          <w:rFonts w:ascii="Arial" w:hAnsi="Arial" w:cs="Arial"/>
          <w:b/>
          <w:bCs/>
        </w:rPr>
      </w:pPr>
    </w:p>
    <w:p w:rsidR="00214B29" w:rsidRPr="001F09E3" w:rsidRDefault="001F09E3" w:rsidP="008C60A5">
      <w:pPr>
        <w:pStyle w:val="Bezmezer"/>
        <w:jc w:val="both"/>
        <w:rPr>
          <w:rFonts w:ascii="Arial" w:hAnsi="Arial" w:cs="Arial"/>
          <w:b/>
          <w:bCs/>
        </w:rPr>
      </w:pPr>
      <w:r w:rsidRPr="001F09E3">
        <w:rPr>
          <w:rFonts w:ascii="Arial" w:hAnsi="Arial" w:cs="Arial"/>
          <w:b/>
          <w:bCs/>
        </w:rPr>
        <w:t>2. Vypouští</w:t>
      </w:r>
    </w:p>
    <w:p w:rsidR="001F09E3" w:rsidRPr="008C60A5" w:rsidRDefault="001F09E3" w:rsidP="001F09E3">
      <w:pPr>
        <w:spacing w:after="0" w:line="240" w:lineRule="auto"/>
        <w:rPr>
          <w:rFonts w:ascii="Arial" w:eastAsia="Calibri" w:hAnsi="Arial" w:cs="Arial"/>
        </w:rPr>
      </w:pPr>
      <w:r>
        <w:rPr>
          <w:rFonts w:ascii="Arial" w:eastAsia="Calibri" w:hAnsi="Arial" w:cs="Arial"/>
        </w:rPr>
        <w:t>Čl. XIII</w:t>
      </w:r>
      <w:r w:rsidRPr="008C60A5">
        <w:rPr>
          <w:rFonts w:ascii="Arial" w:eastAsia="Calibri" w:hAnsi="Arial" w:cs="Arial"/>
        </w:rPr>
        <w:t xml:space="preserve"> </w:t>
      </w:r>
      <w:r>
        <w:rPr>
          <w:rFonts w:ascii="Arial" w:eastAsia="Calibri" w:hAnsi="Arial" w:cs="Arial"/>
        </w:rPr>
        <w:t xml:space="preserve">Společná ustanovení, bod 10 </w:t>
      </w:r>
      <w:r w:rsidRPr="008C60A5">
        <w:rPr>
          <w:rFonts w:ascii="Arial" w:eastAsia="Calibri" w:hAnsi="Arial" w:cs="Arial"/>
        </w:rPr>
        <w:t>tohoto znění:</w:t>
      </w:r>
    </w:p>
    <w:p w:rsidR="001F09E3" w:rsidRPr="001F09E3" w:rsidRDefault="001F09E3" w:rsidP="001F09E3">
      <w:pPr>
        <w:spacing w:after="120" w:line="240" w:lineRule="auto"/>
        <w:jc w:val="both"/>
        <w:rPr>
          <w:rFonts w:ascii="Arial" w:eastAsia="Calibri" w:hAnsi="Arial" w:cs="Arial"/>
        </w:rPr>
      </w:pPr>
      <w:r w:rsidRPr="001F09E3">
        <w:rPr>
          <w:rFonts w:ascii="Arial" w:eastAsia="Calibri" w:hAnsi="Arial" w:cs="Arial"/>
        </w:rPr>
        <w:t>Nájemce se zavazuje zajišťovat snídaně pr</w:t>
      </w:r>
      <w:r>
        <w:rPr>
          <w:rFonts w:ascii="Arial" w:eastAsia="Calibri" w:hAnsi="Arial" w:cs="Arial"/>
        </w:rPr>
        <w:t>o hosty hotelu SAREZA HOTEL</w:t>
      </w:r>
      <w:r w:rsidRPr="001F09E3">
        <w:rPr>
          <w:rFonts w:ascii="Arial" w:eastAsia="Calibri" w:hAnsi="Arial" w:cs="Arial"/>
        </w:rPr>
        <w:t xml:space="preserve"> dle aktuálních požadavků pronajímatele v cenové hladině max. </w:t>
      </w:r>
      <w:r w:rsidR="00820689">
        <w:rPr>
          <w:rFonts w:ascii="Arial" w:eastAsia="Calibri" w:hAnsi="Arial" w:cs="Arial"/>
        </w:rPr>
        <w:t xml:space="preserve">XXXXX </w:t>
      </w:r>
      <w:r w:rsidRPr="001F09E3">
        <w:rPr>
          <w:rFonts w:ascii="Arial" w:eastAsia="Calibri" w:hAnsi="Arial" w:cs="Arial"/>
        </w:rPr>
        <w:t xml:space="preserve">Kč vč. DPH, a to každodenně v době od 7.00 hod do 10.00 hod. Skladba a sortiment snídaně bude vždy odsouhlasen smluvními stranami. Minimální skladba snídaně a sortimentu, který musí být k dispozici každodenně po celou dobu určenou k podávání snídaně, bude specifikována v Příloze č. 5 KALKULACE SNÍDANÍ, přičemž Příloha č. 5 je nedílnou součástí této smlouvy. V případě, že nájemce nebude dodržovat minimální sortiment snídaně, anebo tento sortiment nebude k dispozici po celou dobu snídaně, pronajímatel na tuto skutečnost upozorní nájemce písemně doporučeným dopisem. V případě opakovaného porušení tohoto ustanovení (minimálně 2x), se smluvní strany dohodly, že se jedná o podstatné porušení smlouvy, a pronajímatel je oprávněn od Smlouvy o nájmu prostor sloužících podnikání číslo 14SMOU0100000110 odstoupit. Odstoupení od smlouvy musí být doručeno druhé smluvní straně. Platba za tyto služby zajištěné nájemcem bude ze strany pronajímatele prováděna </w:t>
      </w:r>
      <w:r w:rsidRPr="001F09E3">
        <w:rPr>
          <w:rFonts w:ascii="Arial" w:eastAsia="Calibri" w:hAnsi="Arial" w:cs="Arial"/>
        </w:rPr>
        <w:lastRenderedPageBreak/>
        <w:t>jedenkrát měsíčně na základě faktury vystavené, kterou vyhotoví nájemce se splatností 14 dnů od data vystavení a která bude neprodleně zaslána na e-mailovou adresu pronajímatele uvedenou za tímto účelem v Čl. I této smlouvy. Smluvní strany se dohodly, že v případě prodlení pronajímatele s úhradou služeb poskytnutých nájemcem dle tohoto ustanovení,</w:t>
      </w:r>
      <w:r w:rsidRPr="001F09E3">
        <w:rPr>
          <w:rFonts w:ascii="Arial" w:eastAsia="Calibri" w:hAnsi="Arial" w:cs="Arial"/>
          <w:color w:val="FF0000"/>
        </w:rPr>
        <w:t xml:space="preserve"> </w:t>
      </w:r>
      <w:r w:rsidRPr="001F09E3">
        <w:rPr>
          <w:rFonts w:ascii="Arial" w:eastAsia="Calibri" w:hAnsi="Arial" w:cs="Arial"/>
        </w:rPr>
        <w:t>za předpokladu, že nájemce nebude v prodlení vůči pronajímateli s úhradou nájmu a</w:t>
      </w:r>
      <w:r w:rsidRPr="001F09E3">
        <w:rPr>
          <w:rFonts w:ascii="Arial" w:eastAsia="Calibri" w:hAnsi="Arial" w:cs="Arial"/>
          <w:color w:val="FF00FF"/>
        </w:rPr>
        <w:t xml:space="preserve"> </w:t>
      </w:r>
      <w:r w:rsidRPr="001F09E3">
        <w:rPr>
          <w:rFonts w:ascii="Arial" w:eastAsia="Calibri" w:hAnsi="Arial" w:cs="Arial"/>
        </w:rPr>
        <w:t>služeb spojených s nájmem,</w:t>
      </w:r>
      <w:r w:rsidRPr="001F09E3">
        <w:rPr>
          <w:rFonts w:ascii="Arial" w:eastAsia="Calibri" w:hAnsi="Arial" w:cs="Arial"/>
          <w:color w:val="FF0000"/>
        </w:rPr>
        <w:t xml:space="preserve"> </w:t>
      </w:r>
      <w:r w:rsidRPr="001F09E3">
        <w:rPr>
          <w:rFonts w:ascii="Arial" w:eastAsia="Calibri" w:hAnsi="Arial" w:cs="Arial"/>
        </w:rPr>
        <w:t xml:space="preserve">je nájemce oprávněn tuto pohledávku jednostranně započíst oproti pohledávce pronajímatele na nájemném.  </w:t>
      </w:r>
    </w:p>
    <w:p w:rsidR="00532AD0" w:rsidRPr="008C60A5" w:rsidRDefault="00F32E33">
      <w:pPr>
        <w:spacing w:after="0" w:line="240" w:lineRule="auto"/>
        <w:rPr>
          <w:rFonts w:ascii="Arial" w:eastAsia="Times New Roman" w:hAnsi="Arial" w:cs="Arial"/>
          <w:color w:val="000000"/>
        </w:rPr>
      </w:pPr>
      <w:r w:rsidRPr="008C60A5">
        <w:rPr>
          <w:rFonts w:ascii="Arial" w:eastAsia="Calibri" w:hAnsi="Arial" w:cs="Arial"/>
          <w:b/>
          <w:color w:val="000000"/>
        </w:rPr>
        <w:t xml:space="preserve">a nahrazuje  </w:t>
      </w:r>
    </w:p>
    <w:p w:rsidR="00865E5C" w:rsidRPr="008C60A5" w:rsidRDefault="00865E5C" w:rsidP="00DD24D1">
      <w:pPr>
        <w:spacing w:after="0" w:line="240" w:lineRule="auto"/>
        <w:rPr>
          <w:rFonts w:ascii="Arial" w:eastAsia="Calibri" w:hAnsi="Arial" w:cs="Arial"/>
        </w:rPr>
      </w:pPr>
      <w:r>
        <w:rPr>
          <w:rFonts w:ascii="Arial" w:eastAsia="Calibri" w:hAnsi="Arial" w:cs="Arial"/>
        </w:rPr>
        <w:t>Čl. XIII</w:t>
      </w:r>
      <w:r w:rsidRPr="008C60A5">
        <w:rPr>
          <w:rFonts w:ascii="Arial" w:eastAsia="Calibri" w:hAnsi="Arial" w:cs="Arial"/>
        </w:rPr>
        <w:t xml:space="preserve"> </w:t>
      </w:r>
      <w:r>
        <w:rPr>
          <w:rFonts w:ascii="Arial" w:eastAsia="Calibri" w:hAnsi="Arial" w:cs="Arial"/>
        </w:rPr>
        <w:t xml:space="preserve">Společná ustanovení, bod 10 </w:t>
      </w:r>
      <w:r w:rsidRPr="008C60A5">
        <w:rPr>
          <w:rFonts w:ascii="Arial" w:eastAsia="Calibri" w:hAnsi="Arial" w:cs="Arial"/>
        </w:rPr>
        <w:t>tohoto znění:</w:t>
      </w:r>
    </w:p>
    <w:p w:rsidR="00865E5C" w:rsidRPr="001F09E3" w:rsidRDefault="00865E5C" w:rsidP="00DD24D1">
      <w:pPr>
        <w:spacing w:line="240" w:lineRule="auto"/>
        <w:jc w:val="both"/>
        <w:rPr>
          <w:rFonts w:ascii="Arial" w:hAnsi="Arial" w:cs="Arial"/>
          <w:bCs/>
        </w:rPr>
      </w:pPr>
      <w:r w:rsidRPr="001F09E3">
        <w:rPr>
          <w:rFonts w:ascii="Arial" w:eastAsia="Calibri" w:hAnsi="Arial" w:cs="Arial"/>
        </w:rPr>
        <w:t>Nájemce se zavazuje zajišťovat snídaně pr</w:t>
      </w:r>
      <w:r>
        <w:rPr>
          <w:rFonts w:ascii="Arial" w:eastAsia="Calibri" w:hAnsi="Arial" w:cs="Arial"/>
        </w:rPr>
        <w:t>o hosty hotelu SAREZA HOTEL</w:t>
      </w:r>
      <w:r w:rsidRPr="001F09E3">
        <w:rPr>
          <w:rFonts w:ascii="Arial" w:eastAsia="Calibri" w:hAnsi="Arial" w:cs="Arial"/>
        </w:rPr>
        <w:t xml:space="preserve"> dle aktuálních </w:t>
      </w:r>
      <w:r w:rsidRPr="008A2BC3">
        <w:rPr>
          <w:rFonts w:ascii="Arial" w:eastAsia="Calibri" w:hAnsi="Arial" w:cs="Arial"/>
        </w:rPr>
        <w:t>požadavků pronají</w:t>
      </w:r>
      <w:r w:rsidR="004154F2" w:rsidRPr="008A2BC3">
        <w:rPr>
          <w:rFonts w:ascii="Arial" w:eastAsia="Calibri" w:hAnsi="Arial" w:cs="Arial"/>
        </w:rPr>
        <w:t xml:space="preserve">matele v cenové hladině max. </w:t>
      </w:r>
      <w:r w:rsidR="00820689">
        <w:rPr>
          <w:rFonts w:ascii="Arial" w:eastAsia="Calibri" w:hAnsi="Arial" w:cs="Arial"/>
        </w:rPr>
        <w:t xml:space="preserve">XXXXX </w:t>
      </w:r>
      <w:r w:rsidRPr="008A2BC3">
        <w:rPr>
          <w:rFonts w:ascii="Arial" w:eastAsia="Calibri" w:hAnsi="Arial" w:cs="Arial"/>
        </w:rPr>
        <w:t>Kč vč. DPH, a to kaž</w:t>
      </w:r>
      <w:r w:rsidR="008A2BC3" w:rsidRPr="008A2BC3">
        <w:rPr>
          <w:rFonts w:ascii="Arial" w:eastAsia="Calibri" w:hAnsi="Arial" w:cs="Arial"/>
        </w:rPr>
        <w:t>dodenně</w:t>
      </w:r>
      <w:r w:rsidR="00B1582F">
        <w:rPr>
          <w:rFonts w:ascii="Arial" w:eastAsia="Calibri" w:hAnsi="Arial" w:cs="Arial"/>
        </w:rPr>
        <w:t xml:space="preserve"> v době od 7.00 hod do 9.00 hod vyjma dnů</w:t>
      </w:r>
      <w:r w:rsidR="008A2BC3" w:rsidRPr="008A2BC3">
        <w:rPr>
          <w:rFonts w:ascii="Arial" w:eastAsia="Calibri" w:hAnsi="Arial" w:cs="Arial"/>
        </w:rPr>
        <w:t xml:space="preserve">, kdy bude SAREZA HOTEL </w:t>
      </w:r>
      <w:r w:rsidR="00D0360A">
        <w:rPr>
          <w:rFonts w:ascii="Arial" w:eastAsia="Calibri" w:hAnsi="Arial" w:cs="Arial"/>
        </w:rPr>
        <w:t>uzavřen</w:t>
      </w:r>
      <w:r w:rsidR="008A2BC3" w:rsidRPr="008A2BC3">
        <w:rPr>
          <w:rFonts w:ascii="Arial" w:eastAsia="Calibri" w:hAnsi="Arial" w:cs="Arial"/>
        </w:rPr>
        <w:t>.</w:t>
      </w:r>
      <w:r w:rsidRPr="008A2BC3">
        <w:rPr>
          <w:rFonts w:ascii="Arial" w:eastAsia="Calibri" w:hAnsi="Arial" w:cs="Arial"/>
        </w:rPr>
        <w:t xml:space="preserve"> </w:t>
      </w:r>
      <w:r w:rsidR="008A2BC3" w:rsidRPr="008A2BC3">
        <w:rPr>
          <w:rFonts w:ascii="Arial" w:hAnsi="Arial" w:cs="Arial"/>
          <w:bCs/>
        </w:rPr>
        <w:t>Snídaně budou po</w:t>
      </w:r>
      <w:r w:rsidR="00F647E2">
        <w:rPr>
          <w:rFonts w:ascii="Arial" w:hAnsi="Arial" w:cs="Arial"/>
          <w:bCs/>
        </w:rPr>
        <w:t>dávány formou snídaňového menu, přičemž s</w:t>
      </w:r>
      <w:r w:rsidRPr="008A2BC3">
        <w:rPr>
          <w:rFonts w:ascii="Arial" w:eastAsia="Calibri" w:hAnsi="Arial" w:cs="Arial"/>
        </w:rPr>
        <w:t xml:space="preserve">kladba a sortiment snídaně bude vždy odsouhlasen smluvními stranami. Minimální skladba snídaně a sortimentu, který musí být k dispozici každodenně po celou dobu určenou k podávání snídaně, bude specifikována </w:t>
      </w:r>
      <w:r w:rsidR="00B35B2A">
        <w:rPr>
          <w:rFonts w:ascii="Arial" w:eastAsia="Calibri" w:hAnsi="Arial" w:cs="Arial"/>
        </w:rPr>
        <w:t>v Příloze č. 5 SNÍDAŇOVÉ MENU</w:t>
      </w:r>
      <w:bookmarkStart w:id="0" w:name="_GoBack"/>
      <w:bookmarkEnd w:id="0"/>
      <w:r w:rsidRPr="008A2BC3">
        <w:rPr>
          <w:rFonts w:ascii="Arial" w:eastAsia="Calibri" w:hAnsi="Arial" w:cs="Arial"/>
        </w:rPr>
        <w:t xml:space="preserve">, přičemž Příloha č. 5 </w:t>
      </w:r>
      <w:r w:rsidR="008A2BC3" w:rsidRPr="008A2BC3">
        <w:rPr>
          <w:rFonts w:ascii="Arial" w:eastAsia="Calibri" w:hAnsi="Arial" w:cs="Arial"/>
        </w:rPr>
        <w:t>je nedílnou součástí tohoto dodatku č. 6</w:t>
      </w:r>
      <w:r w:rsidRPr="008A2BC3">
        <w:rPr>
          <w:rFonts w:ascii="Arial" w:eastAsia="Calibri" w:hAnsi="Arial" w:cs="Arial"/>
        </w:rPr>
        <w:t xml:space="preserve">. </w:t>
      </w:r>
      <w:r w:rsidR="008A2BC3" w:rsidRPr="008A2BC3">
        <w:rPr>
          <w:rFonts w:ascii="Arial" w:hAnsi="Arial" w:cs="Arial"/>
          <w:bCs/>
        </w:rPr>
        <w:t xml:space="preserve">Počet snídaní pro hotelové hosty </w:t>
      </w:r>
      <w:r w:rsidR="00F647E2">
        <w:rPr>
          <w:rFonts w:ascii="Arial" w:hAnsi="Arial" w:cs="Arial"/>
          <w:bCs/>
        </w:rPr>
        <w:t xml:space="preserve">(tj. počet přijatých rezervací ubytování) </w:t>
      </w:r>
      <w:r w:rsidR="008A2BC3" w:rsidRPr="008A2BC3">
        <w:rPr>
          <w:rFonts w:ascii="Arial" w:hAnsi="Arial" w:cs="Arial"/>
          <w:bCs/>
        </w:rPr>
        <w:t>oznámí zaměstnanec prona</w:t>
      </w:r>
      <w:r w:rsidR="00B1582F">
        <w:rPr>
          <w:rFonts w:ascii="Arial" w:hAnsi="Arial" w:cs="Arial"/>
          <w:bCs/>
        </w:rPr>
        <w:t xml:space="preserve">jímatele, tj. recepční, </w:t>
      </w:r>
      <w:r w:rsidR="00F647E2">
        <w:rPr>
          <w:rFonts w:ascii="Arial" w:hAnsi="Arial" w:cs="Arial"/>
          <w:bCs/>
        </w:rPr>
        <w:t>nájemc</w:t>
      </w:r>
      <w:r w:rsidR="00B1582F">
        <w:rPr>
          <w:rFonts w:ascii="Arial" w:hAnsi="Arial" w:cs="Arial"/>
          <w:bCs/>
        </w:rPr>
        <w:t>i</w:t>
      </w:r>
      <w:r w:rsidR="00F647E2">
        <w:rPr>
          <w:rFonts w:ascii="Arial" w:hAnsi="Arial" w:cs="Arial"/>
          <w:bCs/>
        </w:rPr>
        <w:t xml:space="preserve"> (p. Schulzové) do 18,30</w:t>
      </w:r>
      <w:r w:rsidR="008A2BC3" w:rsidRPr="008A2BC3">
        <w:rPr>
          <w:rFonts w:ascii="Arial" w:hAnsi="Arial" w:cs="Arial"/>
          <w:bCs/>
        </w:rPr>
        <w:t xml:space="preserve"> hod předchozího dne. </w:t>
      </w:r>
      <w:r w:rsidR="00F647E2">
        <w:rPr>
          <w:rFonts w:ascii="Arial" w:hAnsi="Arial" w:cs="Arial"/>
          <w:bCs/>
        </w:rPr>
        <w:t>Snídaňové balíčky budou vydávány pouze na vyžádání hosta hotelu SAREZA HOTEL</w:t>
      </w:r>
      <w:r w:rsidR="00DF340A">
        <w:rPr>
          <w:rFonts w:ascii="Arial" w:hAnsi="Arial" w:cs="Arial"/>
          <w:bCs/>
        </w:rPr>
        <w:t>.</w:t>
      </w:r>
      <w:r w:rsidR="00D0360A">
        <w:rPr>
          <w:rFonts w:ascii="Arial" w:hAnsi="Arial" w:cs="Arial"/>
          <w:bCs/>
        </w:rPr>
        <w:t xml:space="preserve"> </w:t>
      </w:r>
      <w:r w:rsidRPr="001F09E3">
        <w:rPr>
          <w:rFonts w:ascii="Arial" w:eastAsia="Calibri" w:hAnsi="Arial" w:cs="Arial"/>
        </w:rPr>
        <w:t>V</w:t>
      </w:r>
      <w:r w:rsidR="00D0360A">
        <w:rPr>
          <w:rFonts w:ascii="Arial" w:eastAsia="Calibri" w:hAnsi="Arial" w:cs="Arial"/>
        </w:rPr>
        <w:t xml:space="preserve"> </w:t>
      </w:r>
      <w:r w:rsidRPr="001F09E3">
        <w:rPr>
          <w:rFonts w:ascii="Arial" w:eastAsia="Calibri" w:hAnsi="Arial" w:cs="Arial"/>
        </w:rPr>
        <w:t xml:space="preserve"> případě, že nájemce nebude dodržovat minimální sortiment snídaně, anebo tento sortiment nebude k dispozici po celou dobu snídaně, pronajímatel na tuto skutečnost upozorní nájemce písemně doporučeným dopisem. V případě opakovaného porušení tohoto ustanovení (minimálně 2x), se smluvní strany dohodly, že se jedná o podstatné porušení smlouvy, a pronajímatel je oprávněn od Smlouvy o nájmu prostor sloužících podnikání číslo 14SMOU0100000110 odstoupit. Odstoupení od smlouvy musí být doručeno druhé smluvní straně. Platba za tyto služby zajištěné nájemcem bude ze strany pronajímatele prováděna jedenkrát měsíčně na základě faktury vystavené, kterou vyhotoví nájemce se splatností 14 dnů od data vystavení a která bude neprodleně zaslána na e-mailovou adresu pronajímatele </w:t>
      </w:r>
      <w:hyperlink r:id="rId4" w:history="1">
        <w:r w:rsidR="00B1582F" w:rsidRPr="00897727">
          <w:rPr>
            <w:rStyle w:val="Hypertextovodkaz"/>
            <w:rFonts w:ascii="Arial" w:eastAsia="Calibri" w:hAnsi="Arial" w:cs="Arial"/>
          </w:rPr>
          <w:t>sakretariat@sareza.cz</w:t>
        </w:r>
      </w:hyperlink>
      <w:r w:rsidR="00B1582F">
        <w:rPr>
          <w:rFonts w:ascii="Arial" w:eastAsia="Calibri" w:hAnsi="Arial" w:cs="Arial"/>
        </w:rPr>
        <w:t>.</w:t>
      </w:r>
      <w:r w:rsidRPr="001F09E3">
        <w:rPr>
          <w:rFonts w:ascii="Arial" w:eastAsia="Calibri" w:hAnsi="Arial" w:cs="Arial"/>
        </w:rPr>
        <w:t xml:space="preserve"> Smluvní strany se dohodly, že v případě prodlení pronajímatele s úhradou služeb poskytnutých nájemcem dle tohoto ustanovení,</w:t>
      </w:r>
      <w:r w:rsidRPr="001F09E3">
        <w:rPr>
          <w:rFonts w:ascii="Arial" w:eastAsia="Calibri" w:hAnsi="Arial" w:cs="Arial"/>
          <w:color w:val="FF0000"/>
        </w:rPr>
        <w:t xml:space="preserve"> </w:t>
      </w:r>
      <w:r w:rsidRPr="001F09E3">
        <w:rPr>
          <w:rFonts w:ascii="Arial" w:eastAsia="Calibri" w:hAnsi="Arial" w:cs="Arial"/>
        </w:rPr>
        <w:t>za předpokladu, že nájemce nebude v prodlení vůči pronajímateli s úhradou nájmu a</w:t>
      </w:r>
      <w:r w:rsidRPr="001F09E3">
        <w:rPr>
          <w:rFonts w:ascii="Arial" w:eastAsia="Calibri" w:hAnsi="Arial" w:cs="Arial"/>
          <w:color w:val="FF00FF"/>
        </w:rPr>
        <w:t xml:space="preserve"> </w:t>
      </w:r>
      <w:r w:rsidRPr="001F09E3">
        <w:rPr>
          <w:rFonts w:ascii="Arial" w:eastAsia="Calibri" w:hAnsi="Arial" w:cs="Arial"/>
        </w:rPr>
        <w:t>služeb spojených s nájmem,</w:t>
      </w:r>
      <w:r w:rsidRPr="001F09E3">
        <w:rPr>
          <w:rFonts w:ascii="Arial" w:eastAsia="Calibri" w:hAnsi="Arial" w:cs="Arial"/>
          <w:color w:val="FF0000"/>
        </w:rPr>
        <w:t xml:space="preserve"> </w:t>
      </w:r>
      <w:r w:rsidRPr="001F09E3">
        <w:rPr>
          <w:rFonts w:ascii="Arial" w:eastAsia="Calibri" w:hAnsi="Arial" w:cs="Arial"/>
        </w:rPr>
        <w:t xml:space="preserve">je nájemce oprávněn tuto pohledávku jednostranně započíst oproti pohledávce pronajímatele na nájemném.  </w:t>
      </w:r>
    </w:p>
    <w:p w:rsidR="00532AD0" w:rsidRPr="008C60A5" w:rsidRDefault="00F32E33">
      <w:pPr>
        <w:spacing w:after="0" w:line="240" w:lineRule="auto"/>
        <w:jc w:val="center"/>
        <w:rPr>
          <w:rFonts w:ascii="Arial" w:eastAsia="Calibri" w:hAnsi="Arial" w:cs="Arial"/>
          <w:b/>
        </w:rPr>
      </w:pPr>
      <w:r w:rsidRPr="008C60A5">
        <w:rPr>
          <w:rFonts w:ascii="Arial" w:eastAsia="Calibri" w:hAnsi="Arial" w:cs="Arial"/>
          <w:b/>
        </w:rPr>
        <w:t>Čl. III</w:t>
      </w:r>
    </w:p>
    <w:p w:rsidR="00532AD0" w:rsidRPr="008C60A5" w:rsidRDefault="00F32E33">
      <w:pPr>
        <w:spacing w:after="0" w:line="240" w:lineRule="auto"/>
        <w:jc w:val="center"/>
        <w:rPr>
          <w:rFonts w:ascii="Arial" w:eastAsia="Calibri" w:hAnsi="Arial" w:cs="Arial"/>
          <w:b/>
        </w:rPr>
      </w:pPr>
      <w:r w:rsidRPr="008C60A5">
        <w:rPr>
          <w:rFonts w:ascii="Arial" w:eastAsia="Calibri" w:hAnsi="Arial" w:cs="Arial"/>
          <w:b/>
        </w:rPr>
        <w:t>Ostatní ujednání</w:t>
      </w:r>
    </w:p>
    <w:p w:rsidR="00532AD0" w:rsidRPr="008C60A5" w:rsidRDefault="00865E5C">
      <w:pPr>
        <w:spacing w:after="0" w:line="240" w:lineRule="auto"/>
        <w:jc w:val="both"/>
        <w:rPr>
          <w:rFonts w:ascii="Arial" w:eastAsia="Times New Roman" w:hAnsi="Arial" w:cs="Arial"/>
        </w:rPr>
      </w:pPr>
      <w:r>
        <w:rPr>
          <w:rFonts w:ascii="Arial" w:eastAsia="Calibri" w:hAnsi="Arial" w:cs="Arial"/>
        </w:rPr>
        <w:t>Tento dodatek č. 6</w:t>
      </w:r>
      <w:r w:rsidR="00F32E33" w:rsidRPr="008C60A5">
        <w:rPr>
          <w:rFonts w:ascii="Arial" w:eastAsia="Calibri" w:hAnsi="Arial" w:cs="Arial"/>
        </w:rPr>
        <w:t xml:space="preserve"> ke Smlouvě o nájmu prostor sloužících p</w:t>
      </w:r>
      <w:r>
        <w:rPr>
          <w:rFonts w:ascii="Arial" w:eastAsia="Calibri" w:hAnsi="Arial" w:cs="Arial"/>
        </w:rPr>
        <w:t>odnikání – restaurace SAREZA AURA</w:t>
      </w:r>
      <w:r w:rsidR="00F32E33" w:rsidRPr="008C60A5">
        <w:rPr>
          <w:rFonts w:ascii="Arial" w:eastAsia="Calibri" w:hAnsi="Arial" w:cs="Arial"/>
        </w:rPr>
        <w:t xml:space="preserve"> v objektu </w:t>
      </w:r>
      <w:r>
        <w:rPr>
          <w:rFonts w:ascii="Arial" w:eastAsia="Calibri" w:hAnsi="Arial" w:cs="Arial"/>
        </w:rPr>
        <w:t>Multifunkční areál</w:t>
      </w:r>
      <w:r w:rsidR="00F32E33" w:rsidRPr="008C60A5">
        <w:rPr>
          <w:rFonts w:ascii="Arial" w:eastAsia="Calibri" w:hAnsi="Arial" w:cs="Arial"/>
        </w:rPr>
        <w:t xml:space="preserve"> uzavřené dne 15. 11. 2014 nabývá platnosti dnem podpisu smluvních s</w:t>
      </w:r>
      <w:r>
        <w:rPr>
          <w:rFonts w:ascii="Arial" w:eastAsia="Calibri" w:hAnsi="Arial" w:cs="Arial"/>
        </w:rPr>
        <w:t xml:space="preserve">tran a účinnosti dnem 1. 1. 2022, v případě změny ustanovení </w:t>
      </w:r>
      <w:r w:rsidR="004048F2">
        <w:rPr>
          <w:rFonts w:ascii="Arial" w:eastAsia="Calibri" w:hAnsi="Arial" w:cs="Arial"/>
        </w:rPr>
        <w:t>bodu</w:t>
      </w:r>
      <w:r>
        <w:rPr>
          <w:rFonts w:ascii="Arial" w:eastAsia="Calibri" w:hAnsi="Arial" w:cs="Arial"/>
        </w:rPr>
        <w:t xml:space="preserve"> 10 v Čl. XIII</w:t>
      </w:r>
      <w:r w:rsidRPr="008C60A5">
        <w:rPr>
          <w:rFonts w:ascii="Arial" w:eastAsia="Calibri" w:hAnsi="Arial" w:cs="Arial"/>
        </w:rPr>
        <w:t xml:space="preserve"> </w:t>
      </w:r>
      <w:r>
        <w:rPr>
          <w:rFonts w:ascii="Arial" w:eastAsia="Calibri" w:hAnsi="Arial" w:cs="Arial"/>
        </w:rPr>
        <w:t xml:space="preserve">Společná ustanovení dnem 3. 1. 2022. </w:t>
      </w:r>
      <w:r w:rsidR="00F32E33" w:rsidRPr="008C60A5">
        <w:rPr>
          <w:rFonts w:ascii="Arial" w:eastAsia="Calibri" w:hAnsi="Arial" w:cs="Arial"/>
        </w:rPr>
        <w:t>Je vyhotoven ve dvou stejnopisech, z nichž každá strana obdrží po jednom vyhotovení.</w:t>
      </w:r>
    </w:p>
    <w:p w:rsidR="00532AD0" w:rsidRPr="008C60A5" w:rsidRDefault="00F32E33">
      <w:pPr>
        <w:spacing w:after="0" w:line="240" w:lineRule="auto"/>
        <w:jc w:val="both"/>
        <w:rPr>
          <w:rFonts w:ascii="Arial" w:eastAsia="Calibri" w:hAnsi="Arial" w:cs="Arial"/>
        </w:rPr>
      </w:pPr>
      <w:r w:rsidRPr="008C60A5">
        <w:rPr>
          <w:rFonts w:ascii="Arial" w:eastAsia="Calibri" w:hAnsi="Arial" w:cs="Arial"/>
          <w:color w:val="000000"/>
        </w:rPr>
        <w:t>Ostatní ujednání původní</w:t>
      </w:r>
      <w:r w:rsidRPr="008C60A5">
        <w:rPr>
          <w:rFonts w:ascii="Arial" w:eastAsia="Calibri" w:hAnsi="Arial" w:cs="Arial"/>
        </w:rPr>
        <w:t xml:space="preserve"> smlouvy ze d</w:t>
      </w:r>
      <w:r w:rsidR="00865E5C">
        <w:rPr>
          <w:rFonts w:ascii="Arial" w:eastAsia="Calibri" w:hAnsi="Arial" w:cs="Arial"/>
        </w:rPr>
        <w:t>ne 15. 11. 2014 a dodatků č. 1 až 5</w:t>
      </w:r>
      <w:r w:rsidR="004048F2">
        <w:rPr>
          <w:rFonts w:ascii="Arial" w:eastAsia="Calibri" w:hAnsi="Arial" w:cs="Arial"/>
        </w:rPr>
        <w:t xml:space="preserve"> nedotčené tímto dodatkem</w:t>
      </w:r>
      <w:r w:rsidRPr="008C60A5">
        <w:rPr>
          <w:rFonts w:ascii="Arial" w:eastAsia="Calibri" w:hAnsi="Arial" w:cs="Arial"/>
        </w:rPr>
        <w:t xml:space="preserve"> zůstávají beze změny.</w:t>
      </w:r>
    </w:p>
    <w:p w:rsidR="00532AD0" w:rsidRPr="008C60A5" w:rsidRDefault="00F32E33">
      <w:pPr>
        <w:spacing w:after="0" w:line="240" w:lineRule="auto"/>
        <w:jc w:val="both"/>
        <w:rPr>
          <w:rFonts w:ascii="Arial" w:eastAsia="Calibri" w:hAnsi="Arial" w:cs="Arial"/>
        </w:rPr>
      </w:pPr>
      <w:r w:rsidRPr="008C60A5">
        <w:rPr>
          <w:rFonts w:ascii="Arial" w:eastAsia="Calibri" w:hAnsi="Arial" w:cs="Arial"/>
        </w:rPr>
        <w:t>Smluvní strany prohlašují, že si tento dodatek před jeho podpisem přečetly, že byl uzavřen po vzájemném projednání, podle jejich pravé a svobodné vůle, určitě, vážně, a srozumitelně, nikoliv v tísni za nápadně nevýhodných podmínek, což stvrzují svými podpisy.</w:t>
      </w:r>
    </w:p>
    <w:p w:rsidR="00532AD0" w:rsidRPr="008C60A5" w:rsidRDefault="00532AD0">
      <w:pPr>
        <w:spacing w:after="0" w:line="240" w:lineRule="auto"/>
        <w:rPr>
          <w:rFonts w:ascii="Arial" w:eastAsia="Calibri" w:hAnsi="Arial" w:cs="Arial"/>
        </w:rPr>
      </w:pPr>
    </w:p>
    <w:p w:rsidR="00532AD0" w:rsidRDefault="00DD24D1">
      <w:pPr>
        <w:spacing w:after="0" w:line="240" w:lineRule="auto"/>
        <w:rPr>
          <w:rFonts w:ascii="Arial" w:eastAsia="Calibri" w:hAnsi="Arial" w:cs="Arial"/>
        </w:rPr>
      </w:pPr>
      <w:r>
        <w:rPr>
          <w:rFonts w:ascii="Arial" w:eastAsia="Calibri" w:hAnsi="Arial" w:cs="Arial"/>
        </w:rPr>
        <w:t>V  Ostravě, dne 3. 1. 2022</w:t>
      </w:r>
    </w:p>
    <w:p w:rsidR="00DD24D1" w:rsidRDefault="00DD24D1">
      <w:pPr>
        <w:spacing w:after="0" w:line="240" w:lineRule="auto"/>
        <w:rPr>
          <w:rFonts w:ascii="Arial" w:eastAsia="Calibri" w:hAnsi="Arial" w:cs="Arial"/>
        </w:rPr>
      </w:pPr>
    </w:p>
    <w:p w:rsidR="00DD24D1" w:rsidRPr="008C60A5" w:rsidRDefault="00DD24D1">
      <w:pPr>
        <w:spacing w:after="0" w:line="240" w:lineRule="auto"/>
        <w:rPr>
          <w:rFonts w:ascii="Arial" w:eastAsia="Times New Roman" w:hAnsi="Arial" w:cs="Arial"/>
        </w:rPr>
      </w:pPr>
    </w:p>
    <w:p w:rsidR="00532AD0" w:rsidRPr="008C60A5" w:rsidRDefault="00F32E33">
      <w:pPr>
        <w:spacing w:after="0" w:line="240" w:lineRule="auto"/>
        <w:rPr>
          <w:rFonts w:ascii="Arial" w:eastAsia="Calibri" w:hAnsi="Arial" w:cs="Arial"/>
        </w:rPr>
      </w:pPr>
      <w:r w:rsidRPr="008C60A5">
        <w:rPr>
          <w:rFonts w:ascii="Arial" w:eastAsia="Calibri" w:hAnsi="Arial" w:cs="Arial"/>
        </w:rPr>
        <w:t xml:space="preserve">-----------------------------------------                    </w:t>
      </w:r>
      <w:r w:rsidRPr="008C60A5">
        <w:rPr>
          <w:rFonts w:ascii="Arial" w:eastAsia="Calibri" w:hAnsi="Arial" w:cs="Arial"/>
        </w:rPr>
        <w:tab/>
      </w:r>
      <w:r w:rsidRPr="008C60A5">
        <w:rPr>
          <w:rFonts w:ascii="Arial" w:eastAsia="Calibri" w:hAnsi="Arial" w:cs="Arial"/>
        </w:rPr>
        <w:tab/>
        <w:t>-------------------------------------</w:t>
      </w:r>
    </w:p>
    <w:p w:rsidR="00532AD0" w:rsidRPr="008C60A5" w:rsidRDefault="00F32E33">
      <w:pPr>
        <w:spacing w:after="0" w:line="240" w:lineRule="auto"/>
        <w:rPr>
          <w:rFonts w:ascii="Arial" w:eastAsia="Calibri" w:hAnsi="Arial" w:cs="Arial"/>
          <w:i/>
        </w:rPr>
      </w:pPr>
      <w:r w:rsidRPr="008C60A5">
        <w:rPr>
          <w:rFonts w:ascii="Arial" w:eastAsia="Calibri" w:hAnsi="Arial" w:cs="Arial"/>
          <w:i/>
        </w:rPr>
        <w:t xml:space="preserve">Sportovní a rekreační zařízení                                  </w:t>
      </w:r>
      <w:r w:rsidR="009A4F1A" w:rsidRPr="008C60A5">
        <w:rPr>
          <w:rFonts w:ascii="Arial" w:eastAsia="Calibri" w:hAnsi="Arial" w:cs="Arial"/>
          <w:i/>
        </w:rPr>
        <w:t xml:space="preserve">     </w:t>
      </w:r>
      <w:r w:rsidRPr="008C60A5">
        <w:rPr>
          <w:rFonts w:ascii="Arial" w:eastAsia="Calibri" w:hAnsi="Arial" w:cs="Arial"/>
          <w:i/>
        </w:rPr>
        <w:t>Zdenka Schulzová</w:t>
      </w:r>
    </w:p>
    <w:p w:rsidR="00532AD0" w:rsidRPr="008C60A5" w:rsidRDefault="00F32E33">
      <w:pPr>
        <w:spacing w:after="0" w:line="240" w:lineRule="auto"/>
        <w:rPr>
          <w:rFonts w:ascii="Arial" w:eastAsia="Calibri" w:hAnsi="Arial" w:cs="Arial"/>
          <w:i/>
        </w:rPr>
      </w:pPr>
      <w:r w:rsidRPr="008C60A5">
        <w:rPr>
          <w:rFonts w:ascii="Arial" w:eastAsia="Calibri" w:hAnsi="Arial" w:cs="Arial"/>
          <w:i/>
        </w:rPr>
        <w:t xml:space="preserve">       města Ostravy, s.r.o.                                        </w:t>
      </w:r>
      <w:r w:rsidRPr="008C60A5">
        <w:rPr>
          <w:rFonts w:ascii="Arial" w:eastAsia="Calibri" w:hAnsi="Arial" w:cs="Arial"/>
          <w:i/>
        </w:rPr>
        <w:tab/>
      </w:r>
      <w:r w:rsidRPr="008C60A5">
        <w:rPr>
          <w:rFonts w:ascii="Arial" w:eastAsia="Calibri" w:hAnsi="Arial" w:cs="Arial"/>
          <w:i/>
        </w:rPr>
        <w:tab/>
      </w:r>
      <w:r w:rsidRPr="008C60A5">
        <w:rPr>
          <w:rFonts w:ascii="Arial" w:eastAsia="Calibri" w:hAnsi="Arial" w:cs="Arial"/>
          <w:i/>
        </w:rPr>
        <w:tab/>
        <w:t xml:space="preserve">        </w:t>
      </w:r>
    </w:p>
    <w:p w:rsidR="00532AD0" w:rsidRPr="008C60A5" w:rsidRDefault="00F32E33" w:rsidP="00DD24D1">
      <w:pPr>
        <w:spacing w:after="0" w:line="240" w:lineRule="auto"/>
        <w:rPr>
          <w:rFonts w:ascii="Arial" w:eastAsia="Calibri" w:hAnsi="Arial" w:cs="Arial"/>
        </w:rPr>
      </w:pPr>
      <w:r w:rsidRPr="008C60A5">
        <w:rPr>
          <w:rFonts w:ascii="Arial" w:eastAsia="Calibri" w:hAnsi="Arial" w:cs="Arial"/>
          <w:i/>
        </w:rPr>
        <w:t xml:space="preserve">Ing. Jaroslav Kovář, jednatel </w:t>
      </w:r>
    </w:p>
    <w:sectPr w:rsidR="00532AD0" w:rsidRPr="008C60A5" w:rsidSect="00BD3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532AD0"/>
    <w:rsid w:val="00091871"/>
    <w:rsid w:val="000F7479"/>
    <w:rsid w:val="001D16FA"/>
    <w:rsid w:val="001F09E3"/>
    <w:rsid w:val="00214B29"/>
    <w:rsid w:val="00225DEC"/>
    <w:rsid w:val="002C3831"/>
    <w:rsid w:val="004048F2"/>
    <w:rsid w:val="004154F2"/>
    <w:rsid w:val="00532AD0"/>
    <w:rsid w:val="005B3DCF"/>
    <w:rsid w:val="00621425"/>
    <w:rsid w:val="00694D4D"/>
    <w:rsid w:val="00736EA9"/>
    <w:rsid w:val="00820689"/>
    <w:rsid w:val="00865E5C"/>
    <w:rsid w:val="008714EA"/>
    <w:rsid w:val="008A2BC3"/>
    <w:rsid w:val="008C5496"/>
    <w:rsid w:val="008C60A5"/>
    <w:rsid w:val="00930F38"/>
    <w:rsid w:val="00932B30"/>
    <w:rsid w:val="00980453"/>
    <w:rsid w:val="009A4F1A"/>
    <w:rsid w:val="009B4712"/>
    <w:rsid w:val="00A72E36"/>
    <w:rsid w:val="00AC01AC"/>
    <w:rsid w:val="00B1582F"/>
    <w:rsid w:val="00B35B2A"/>
    <w:rsid w:val="00B41FD7"/>
    <w:rsid w:val="00B42B6D"/>
    <w:rsid w:val="00BD32D0"/>
    <w:rsid w:val="00BE699C"/>
    <w:rsid w:val="00C15C26"/>
    <w:rsid w:val="00C64A9A"/>
    <w:rsid w:val="00CB6BD8"/>
    <w:rsid w:val="00CF38E0"/>
    <w:rsid w:val="00D0360A"/>
    <w:rsid w:val="00DD24D1"/>
    <w:rsid w:val="00DF340A"/>
    <w:rsid w:val="00E30B84"/>
    <w:rsid w:val="00E4032E"/>
    <w:rsid w:val="00EF1373"/>
    <w:rsid w:val="00F32E33"/>
    <w:rsid w:val="00F528AD"/>
    <w:rsid w:val="00F647E2"/>
    <w:rsid w:val="00F857E3"/>
    <w:rsid w:val="00FB751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A34BE"/>
  <w15:docId w15:val="{8C7CE742-768E-4362-A740-28710BD0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2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528AD"/>
    <w:pPr>
      <w:spacing w:after="0" w:line="240" w:lineRule="auto"/>
    </w:pPr>
    <w:rPr>
      <w:rFonts w:ascii="Calibri" w:eastAsia="Calibri" w:hAnsi="Calibri" w:cs="Times New Roman"/>
      <w:lang w:eastAsia="en-US"/>
    </w:rPr>
  </w:style>
  <w:style w:type="character" w:styleId="Odkaznakoment">
    <w:name w:val="annotation reference"/>
    <w:basedOn w:val="Standardnpsmoodstavce"/>
    <w:uiPriority w:val="99"/>
    <w:semiHidden/>
    <w:unhideWhenUsed/>
    <w:rsid w:val="00FB7516"/>
    <w:rPr>
      <w:sz w:val="16"/>
      <w:szCs w:val="16"/>
    </w:rPr>
  </w:style>
  <w:style w:type="paragraph" w:styleId="Textkomente">
    <w:name w:val="annotation text"/>
    <w:basedOn w:val="Normln"/>
    <w:link w:val="TextkomenteChar"/>
    <w:uiPriority w:val="99"/>
    <w:semiHidden/>
    <w:unhideWhenUsed/>
    <w:rsid w:val="00FB7516"/>
    <w:pPr>
      <w:spacing w:line="240" w:lineRule="auto"/>
    </w:pPr>
    <w:rPr>
      <w:sz w:val="20"/>
      <w:szCs w:val="20"/>
    </w:rPr>
  </w:style>
  <w:style w:type="character" w:customStyle="1" w:styleId="TextkomenteChar">
    <w:name w:val="Text komentáře Char"/>
    <w:basedOn w:val="Standardnpsmoodstavce"/>
    <w:link w:val="Textkomente"/>
    <w:uiPriority w:val="99"/>
    <w:semiHidden/>
    <w:rsid w:val="00FB7516"/>
    <w:rPr>
      <w:sz w:val="20"/>
      <w:szCs w:val="20"/>
    </w:rPr>
  </w:style>
  <w:style w:type="paragraph" w:styleId="Pedmtkomente">
    <w:name w:val="annotation subject"/>
    <w:basedOn w:val="Textkomente"/>
    <w:next w:val="Textkomente"/>
    <w:link w:val="PedmtkomenteChar"/>
    <w:uiPriority w:val="99"/>
    <w:semiHidden/>
    <w:unhideWhenUsed/>
    <w:rsid w:val="00FB7516"/>
    <w:rPr>
      <w:b/>
      <w:bCs/>
    </w:rPr>
  </w:style>
  <w:style w:type="character" w:customStyle="1" w:styleId="PedmtkomenteChar">
    <w:name w:val="Předmět komentáře Char"/>
    <w:basedOn w:val="TextkomenteChar"/>
    <w:link w:val="Pedmtkomente"/>
    <w:uiPriority w:val="99"/>
    <w:semiHidden/>
    <w:rsid w:val="00FB7516"/>
    <w:rPr>
      <w:b/>
      <w:bCs/>
      <w:sz w:val="20"/>
      <w:szCs w:val="20"/>
    </w:rPr>
  </w:style>
  <w:style w:type="paragraph" w:styleId="Textbubliny">
    <w:name w:val="Balloon Text"/>
    <w:basedOn w:val="Normln"/>
    <w:link w:val="TextbublinyChar"/>
    <w:uiPriority w:val="99"/>
    <w:semiHidden/>
    <w:unhideWhenUsed/>
    <w:rsid w:val="00FB75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516"/>
    <w:rPr>
      <w:rFonts w:ascii="Tahoma" w:hAnsi="Tahoma" w:cs="Tahoma"/>
      <w:sz w:val="16"/>
      <w:szCs w:val="16"/>
    </w:rPr>
  </w:style>
  <w:style w:type="character" w:styleId="Hypertextovodkaz">
    <w:name w:val="Hyperlink"/>
    <w:basedOn w:val="Standardnpsmoodstavce"/>
    <w:uiPriority w:val="99"/>
    <w:unhideWhenUsed/>
    <w:rsid w:val="00B15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kretariat@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885</Words>
  <Characters>5225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Sportovní a rekreační zařízení města Ostravy, s.r.</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Piperková Simona</dc:creator>
  <cp:lastModifiedBy>Piperková Simona</cp:lastModifiedBy>
  <cp:revision>36</cp:revision>
  <cp:lastPrinted>2018-02-22T10:48:00Z</cp:lastPrinted>
  <dcterms:created xsi:type="dcterms:W3CDTF">2018-02-22T11:29:00Z</dcterms:created>
  <dcterms:modified xsi:type="dcterms:W3CDTF">2022-01-03T11:06:00Z</dcterms:modified>
</cp:coreProperties>
</file>