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11" w:rsidRDefault="00444A10">
      <w:pPr>
        <w:pStyle w:val="Nadpis10"/>
        <w:keepNext/>
        <w:keepLines/>
      </w:pPr>
      <w:bookmarkStart w:id="0" w:name="bookmark0"/>
      <w:r>
        <w:t>Rozhodnutí č. 5-RVO/2018</w:t>
      </w:r>
      <w:bookmarkEnd w:id="0"/>
    </w:p>
    <w:p w:rsidR="00806D11" w:rsidRDefault="00444A10">
      <w:pPr>
        <w:pStyle w:val="Nadpis10"/>
        <w:keepNext/>
        <w:keepLines/>
      </w:pPr>
      <w:bookmarkStart w:id="1" w:name="bookmark2"/>
      <w:r>
        <w:t>o poskytnutí institucionální podpory</w:t>
      </w:r>
      <w:r>
        <w:br/>
        <w:t>na dlouhodobý koncepční rozvoj výzkumné organizace</w:t>
      </w:r>
      <w:r>
        <w:br/>
        <w:t>na léta 2018-2022</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3006"/>
        <w:gridCol w:w="1076"/>
        <w:gridCol w:w="2167"/>
        <w:gridCol w:w="2491"/>
      </w:tblGrid>
      <w:tr w:rsidR="00806D11">
        <w:trPr>
          <w:trHeight w:hRule="exact" w:val="1033"/>
          <w:jc w:val="center"/>
        </w:trPr>
        <w:tc>
          <w:tcPr>
            <w:tcW w:w="3006" w:type="dxa"/>
            <w:tcBorders>
              <w:top w:val="single" w:sz="4" w:space="0" w:color="auto"/>
              <w:left w:val="single" w:sz="4" w:space="0" w:color="auto"/>
            </w:tcBorders>
            <w:shd w:val="clear" w:color="auto" w:fill="DCF1FB"/>
            <w:vAlign w:val="center"/>
          </w:tcPr>
          <w:p w:rsidR="00806D11" w:rsidRDefault="00444A10">
            <w:pPr>
              <w:pStyle w:val="Jin0"/>
              <w:spacing w:line="240" w:lineRule="auto"/>
              <w:rPr>
                <w:sz w:val="19"/>
                <w:szCs w:val="19"/>
              </w:rPr>
            </w:pPr>
            <w:r>
              <w:rPr>
                <w:color w:val="153039"/>
                <w:sz w:val="19"/>
                <w:szCs w:val="19"/>
              </w:rPr>
              <w:t>Poskytovatel</w:t>
            </w:r>
          </w:p>
        </w:tc>
        <w:tc>
          <w:tcPr>
            <w:tcW w:w="5734" w:type="dxa"/>
            <w:gridSpan w:val="3"/>
            <w:tcBorders>
              <w:top w:val="single" w:sz="4" w:space="0" w:color="auto"/>
              <w:left w:val="single" w:sz="4" w:space="0" w:color="auto"/>
              <w:right w:val="single" w:sz="4" w:space="0" w:color="auto"/>
            </w:tcBorders>
            <w:shd w:val="clear" w:color="auto" w:fill="auto"/>
            <w:vAlign w:val="bottom"/>
          </w:tcPr>
          <w:p w:rsidR="00806D11" w:rsidRDefault="00444A10">
            <w:pPr>
              <w:pStyle w:val="Jin0"/>
              <w:spacing w:after="80" w:line="240" w:lineRule="auto"/>
              <w:rPr>
                <w:sz w:val="19"/>
                <w:szCs w:val="19"/>
              </w:rPr>
            </w:pPr>
            <w:r>
              <w:rPr>
                <w:sz w:val="19"/>
                <w:szCs w:val="19"/>
              </w:rPr>
              <w:t>Ministerstvo práce a sociálních věcí</w:t>
            </w:r>
          </w:p>
          <w:p w:rsidR="00806D11" w:rsidRDefault="00444A10">
            <w:pPr>
              <w:pStyle w:val="Jin0"/>
              <w:spacing w:after="80" w:line="240" w:lineRule="auto"/>
              <w:rPr>
                <w:sz w:val="19"/>
                <w:szCs w:val="19"/>
              </w:rPr>
            </w:pPr>
            <w:r>
              <w:rPr>
                <w:sz w:val="19"/>
                <w:szCs w:val="19"/>
              </w:rPr>
              <w:t>Na Poříčním právu 1/376,128 01 Praha 2</w:t>
            </w:r>
          </w:p>
          <w:p w:rsidR="00806D11" w:rsidRDefault="00444A10">
            <w:pPr>
              <w:pStyle w:val="Jin0"/>
              <w:spacing w:after="80" w:line="240" w:lineRule="auto"/>
              <w:rPr>
                <w:sz w:val="19"/>
                <w:szCs w:val="19"/>
              </w:rPr>
            </w:pPr>
            <w:r>
              <w:rPr>
                <w:sz w:val="19"/>
                <w:szCs w:val="19"/>
              </w:rPr>
              <w:t>IČ:00551023</w:t>
            </w:r>
          </w:p>
        </w:tc>
      </w:tr>
      <w:tr w:rsidR="00806D11">
        <w:trPr>
          <w:trHeight w:hRule="exact" w:val="1670"/>
          <w:jc w:val="center"/>
        </w:trPr>
        <w:tc>
          <w:tcPr>
            <w:tcW w:w="3006" w:type="dxa"/>
            <w:tcBorders>
              <w:top w:val="single" w:sz="4" w:space="0" w:color="auto"/>
              <w:left w:val="single" w:sz="4" w:space="0" w:color="auto"/>
            </w:tcBorders>
            <w:shd w:val="clear" w:color="auto" w:fill="DCF1FB"/>
            <w:vAlign w:val="bottom"/>
          </w:tcPr>
          <w:p w:rsidR="00806D11" w:rsidRDefault="00444A10">
            <w:pPr>
              <w:pStyle w:val="Jin0"/>
              <w:spacing w:after="320" w:line="240" w:lineRule="auto"/>
              <w:rPr>
                <w:sz w:val="19"/>
                <w:szCs w:val="19"/>
              </w:rPr>
            </w:pPr>
            <w:r>
              <w:rPr>
                <w:color w:val="153039"/>
                <w:sz w:val="19"/>
                <w:szCs w:val="19"/>
              </w:rPr>
              <w:t>Příjemce</w:t>
            </w:r>
          </w:p>
          <w:p w:rsidR="00806D11" w:rsidRDefault="00444A10">
            <w:pPr>
              <w:pStyle w:val="Jin0"/>
              <w:spacing w:line="240" w:lineRule="auto"/>
              <w:jc w:val="center"/>
              <w:rPr>
                <w:sz w:val="19"/>
                <w:szCs w:val="19"/>
              </w:rPr>
            </w:pPr>
            <w:r>
              <w:rPr>
                <w:color w:val="608CD6"/>
                <w:sz w:val="19"/>
                <w:szCs w:val="19"/>
              </w:rPr>
              <w:t>—-—</w:t>
            </w:r>
          </w:p>
        </w:tc>
        <w:tc>
          <w:tcPr>
            <w:tcW w:w="5734" w:type="dxa"/>
            <w:gridSpan w:val="3"/>
            <w:tcBorders>
              <w:top w:val="single" w:sz="4" w:space="0" w:color="auto"/>
              <w:left w:val="single" w:sz="4" w:space="0" w:color="auto"/>
              <w:right w:val="single" w:sz="4" w:space="0" w:color="auto"/>
            </w:tcBorders>
            <w:shd w:val="clear" w:color="auto" w:fill="auto"/>
            <w:vAlign w:val="bottom"/>
          </w:tcPr>
          <w:p w:rsidR="00806D11" w:rsidRDefault="00444A10">
            <w:pPr>
              <w:pStyle w:val="Jin0"/>
              <w:spacing w:after="80" w:line="240" w:lineRule="auto"/>
              <w:rPr>
                <w:sz w:val="19"/>
                <w:szCs w:val="19"/>
              </w:rPr>
            </w:pPr>
            <w:r>
              <w:rPr>
                <w:sz w:val="19"/>
                <w:szCs w:val="19"/>
              </w:rPr>
              <w:t>Výzkumný ústav bezpečnosti práce, v. v. i.</w:t>
            </w:r>
          </w:p>
          <w:p w:rsidR="00806D11" w:rsidRDefault="00444A10">
            <w:pPr>
              <w:pStyle w:val="Jin0"/>
              <w:spacing w:after="80" w:line="240" w:lineRule="auto"/>
              <w:rPr>
                <w:sz w:val="19"/>
                <w:szCs w:val="19"/>
              </w:rPr>
            </w:pPr>
            <w:r>
              <w:rPr>
                <w:sz w:val="19"/>
                <w:szCs w:val="19"/>
              </w:rPr>
              <w:t>Jeruzalémská 9, 116 52 Praha 1</w:t>
            </w:r>
          </w:p>
          <w:p w:rsidR="00806D11" w:rsidRDefault="00444A10">
            <w:pPr>
              <w:pStyle w:val="Jin0"/>
              <w:spacing w:after="80" w:line="240" w:lineRule="auto"/>
              <w:rPr>
                <w:sz w:val="19"/>
                <w:szCs w:val="19"/>
              </w:rPr>
            </w:pPr>
            <w:r>
              <w:rPr>
                <w:sz w:val="19"/>
                <w:szCs w:val="19"/>
              </w:rPr>
              <w:t>statutární zástupce: RNDr. Stanislav Malý, Ph.D., ředitel</w:t>
            </w:r>
          </w:p>
          <w:p w:rsidR="00806D11" w:rsidRDefault="00444A10">
            <w:pPr>
              <w:pStyle w:val="Jin0"/>
              <w:spacing w:after="80" w:line="240" w:lineRule="auto"/>
              <w:rPr>
                <w:sz w:val="19"/>
                <w:szCs w:val="19"/>
              </w:rPr>
            </w:pPr>
            <w:r>
              <w:rPr>
                <w:sz w:val="19"/>
                <w:szCs w:val="19"/>
              </w:rPr>
              <w:t>IČ: 00025950</w:t>
            </w:r>
          </w:p>
          <w:p w:rsidR="00806D11" w:rsidRDefault="00444A10" w:rsidP="008F7D84">
            <w:pPr>
              <w:pStyle w:val="Jin0"/>
              <w:spacing w:after="80" w:line="240" w:lineRule="auto"/>
              <w:rPr>
                <w:sz w:val="19"/>
                <w:szCs w:val="19"/>
              </w:rPr>
            </w:pPr>
            <w:r>
              <w:rPr>
                <w:sz w:val="19"/>
                <w:szCs w:val="19"/>
              </w:rPr>
              <w:t xml:space="preserve">bankovní účet: </w:t>
            </w:r>
            <w:proofErr w:type="spellStart"/>
            <w:r w:rsidR="008F7D84">
              <w:rPr>
                <w:sz w:val="19"/>
                <w:szCs w:val="19"/>
              </w:rPr>
              <w:t>xxxxxxxxxxxxxxxxxxxxxxxx</w:t>
            </w:r>
            <w:proofErr w:type="spellEnd"/>
          </w:p>
        </w:tc>
      </w:tr>
      <w:tr w:rsidR="00806D11">
        <w:trPr>
          <w:trHeight w:hRule="exact" w:val="1015"/>
          <w:jc w:val="center"/>
        </w:trPr>
        <w:tc>
          <w:tcPr>
            <w:tcW w:w="3006" w:type="dxa"/>
            <w:tcBorders>
              <w:top w:val="single" w:sz="4" w:space="0" w:color="auto"/>
              <w:left w:val="single" w:sz="4" w:space="0" w:color="auto"/>
            </w:tcBorders>
            <w:shd w:val="clear" w:color="auto" w:fill="DCF1FB"/>
            <w:vAlign w:val="center"/>
          </w:tcPr>
          <w:p w:rsidR="00806D11" w:rsidRDefault="00444A10">
            <w:pPr>
              <w:pStyle w:val="Jin0"/>
              <w:spacing w:line="240" w:lineRule="auto"/>
              <w:rPr>
                <w:sz w:val="19"/>
                <w:szCs w:val="19"/>
              </w:rPr>
            </w:pPr>
            <w:r>
              <w:rPr>
                <w:color w:val="153039"/>
                <w:sz w:val="19"/>
                <w:szCs w:val="19"/>
              </w:rPr>
              <w:t>Období</w:t>
            </w:r>
          </w:p>
        </w:tc>
        <w:tc>
          <w:tcPr>
            <w:tcW w:w="5734" w:type="dxa"/>
            <w:gridSpan w:val="3"/>
            <w:tcBorders>
              <w:top w:val="single" w:sz="4" w:space="0" w:color="auto"/>
              <w:left w:val="single" w:sz="4" w:space="0" w:color="auto"/>
              <w:right w:val="single" w:sz="4" w:space="0" w:color="auto"/>
            </w:tcBorders>
            <w:shd w:val="clear" w:color="auto" w:fill="auto"/>
            <w:vAlign w:val="center"/>
          </w:tcPr>
          <w:p w:rsidR="00806D11" w:rsidRDefault="00444A10">
            <w:pPr>
              <w:pStyle w:val="Jin0"/>
              <w:spacing w:line="240" w:lineRule="auto"/>
              <w:jc w:val="center"/>
              <w:rPr>
                <w:sz w:val="19"/>
                <w:szCs w:val="19"/>
              </w:rPr>
            </w:pPr>
            <w:r>
              <w:rPr>
                <w:rFonts w:ascii="Cambria" w:eastAsia="Cambria" w:hAnsi="Cambria" w:cs="Cambria"/>
                <w:b/>
                <w:bCs/>
                <w:sz w:val="19"/>
                <w:szCs w:val="19"/>
              </w:rPr>
              <w:t>2018-2022</w:t>
            </w:r>
          </w:p>
        </w:tc>
      </w:tr>
      <w:tr w:rsidR="00806D11">
        <w:trPr>
          <w:trHeight w:hRule="exact" w:val="349"/>
          <w:jc w:val="center"/>
        </w:trPr>
        <w:tc>
          <w:tcPr>
            <w:tcW w:w="3006" w:type="dxa"/>
            <w:vMerge w:val="restart"/>
            <w:tcBorders>
              <w:top w:val="single" w:sz="4" w:space="0" w:color="auto"/>
              <w:left w:val="single" w:sz="4" w:space="0" w:color="auto"/>
            </w:tcBorders>
            <w:shd w:val="clear" w:color="auto" w:fill="DCF1FB"/>
            <w:vAlign w:val="center"/>
          </w:tcPr>
          <w:p w:rsidR="00806D11" w:rsidRDefault="00444A10">
            <w:pPr>
              <w:pStyle w:val="Jin0"/>
              <w:spacing w:line="240" w:lineRule="auto"/>
              <w:rPr>
                <w:sz w:val="19"/>
                <w:szCs w:val="19"/>
              </w:rPr>
            </w:pPr>
            <w:r>
              <w:rPr>
                <w:color w:val="153039"/>
                <w:sz w:val="19"/>
                <w:szCs w:val="19"/>
              </w:rPr>
              <w:t>Výše podpory</w:t>
            </w:r>
          </w:p>
        </w:tc>
        <w:tc>
          <w:tcPr>
            <w:tcW w:w="1076" w:type="dxa"/>
            <w:vMerge w:val="restart"/>
            <w:tcBorders>
              <w:top w:val="single" w:sz="4" w:space="0" w:color="auto"/>
              <w:left w:val="single" w:sz="4" w:space="0" w:color="auto"/>
            </w:tcBorders>
            <w:shd w:val="clear" w:color="auto" w:fill="auto"/>
            <w:vAlign w:val="center"/>
          </w:tcPr>
          <w:p w:rsidR="00806D11" w:rsidRDefault="00444A10">
            <w:pPr>
              <w:pStyle w:val="Jin0"/>
              <w:spacing w:line="240" w:lineRule="auto"/>
              <w:jc w:val="center"/>
              <w:rPr>
                <w:sz w:val="19"/>
                <w:szCs w:val="19"/>
              </w:rPr>
            </w:pPr>
            <w:r>
              <w:rPr>
                <w:b/>
                <w:bCs/>
                <w:sz w:val="19"/>
                <w:szCs w:val="19"/>
              </w:rPr>
              <w:t>2018</w:t>
            </w:r>
          </w:p>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Běžné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25 058 828 Kč</w:t>
            </w:r>
          </w:p>
        </w:tc>
      </w:tr>
      <w:tr w:rsidR="00806D11">
        <w:trPr>
          <w:trHeight w:hRule="exact" w:val="338"/>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Kapitálové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proofErr w:type="spellStart"/>
            <w:r>
              <w:rPr>
                <w:sz w:val="19"/>
                <w:szCs w:val="19"/>
              </w:rPr>
              <w:t>OKč</w:t>
            </w:r>
            <w:proofErr w:type="spellEnd"/>
          </w:p>
        </w:tc>
      </w:tr>
      <w:tr w:rsidR="00806D11">
        <w:trPr>
          <w:trHeight w:hRule="exact" w:val="346"/>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CELKEM</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25 058 828 Kč</w:t>
            </w:r>
          </w:p>
        </w:tc>
      </w:tr>
      <w:tr w:rsidR="00806D11">
        <w:trPr>
          <w:trHeight w:hRule="exact" w:val="349"/>
          <w:jc w:val="center"/>
        </w:trPr>
        <w:tc>
          <w:tcPr>
            <w:tcW w:w="3006" w:type="dxa"/>
            <w:vMerge/>
            <w:tcBorders>
              <w:left w:val="single" w:sz="4" w:space="0" w:color="auto"/>
            </w:tcBorders>
            <w:shd w:val="clear" w:color="auto" w:fill="DCF1FB"/>
            <w:vAlign w:val="center"/>
          </w:tcPr>
          <w:p w:rsidR="00806D11" w:rsidRDefault="00806D11"/>
        </w:tc>
        <w:tc>
          <w:tcPr>
            <w:tcW w:w="1076" w:type="dxa"/>
            <w:vMerge w:val="restart"/>
            <w:tcBorders>
              <w:top w:val="single" w:sz="4" w:space="0" w:color="auto"/>
              <w:left w:val="single" w:sz="4" w:space="0" w:color="auto"/>
            </w:tcBorders>
            <w:shd w:val="clear" w:color="auto" w:fill="auto"/>
            <w:vAlign w:val="center"/>
          </w:tcPr>
          <w:p w:rsidR="00806D11" w:rsidRDefault="00444A10">
            <w:pPr>
              <w:pStyle w:val="Jin0"/>
              <w:spacing w:line="240" w:lineRule="auto"/>
              <w:jc w:val="center"/>
              <w:rPr>
                <w:sz w:val="19"/>
                <w:szCs w:val="19"/>
              </w:rPr>
            </w:pPr>
            <w:r>
              <w:rPr>
                <w:b/>
                <w:bCs/>
                <w:sz w:val="19"/>
                <w:szCs w:val="19"/>
              </w:rPr>
              <w:t>2019</w:t>
            </w:r>
          </w:p>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Běžné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27 600 000 Kč</w:t>
            </w:r>
          </w:p>
        </w:tc>
      </w:tr>
      <w:tr w:rsidR="00806D11">
        <w:trPr>
          <w:trHeight w:hRule="exact" w:val="338"/>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Kapitálové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0 Kč</w:t>
            </w:r>
          </w:p>
        </w:tc>
      </w:tr>
      <w:tr w:rsidR="00806D11">
        <w:trPr>
          <w:trHeight w:hRule="exact" w:val="346"/>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CELKEM</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27 600 000 Kč</w:t>
            </w:r>
          </w:p>
        </w:tc>
      </w:tr>
      <w:tr w:rsidR="00806D11">
        <w:trPr>
          <w:trHeight w:hRule="exact" w:val="349"/>
          <w:jc w:val="center"/>
        </w:trPr>
        <w:tc>
          <w:tcPr>
            <w:tcW w:w="3006" w:type="dxa"/>
            <w:vMerge/>
            <w:tcBorders>
              <w:left w:val="single" w:sz="4" w:space="0" w:color="auto"/>
            </w:tcBorders>
            <w:shd w:val="clear" w:color="auto" w:fill="DCF1FB"/>
            <w:vAlign w:val="center"/>
          </w:tcPr>
          <w:p w:rsidR="00806D11" w:rsidRDefault="00806D11"/>
        </w:tc>
        <w:tc>
          <w:tcPr>
            <w:tcW w:w="1076" w:type="dxa"/>
            <w:vMerge w:val="restart"/>
            <w:tcBorders>
              <w:top w:val="single" w:sz="4" w:space="0" w:color="auto"/>
              <w:left w:val="single" w:sz="4" w:space="0" w:color="auto"/>
            </w:tcBorders>
            <w:shd w:val="clear" w:color="auto" w:fill="auto"/>
            <w:vAlign w:val="center"/>
          </w:tcPr>
          <w:p w:rsidR="00806D11" w:rsidRDefault="00444A10">
            <w:pPr>
              <w:pStyle w:val="Jin0"/>
              <w:spacing w:line="240" w:lineRule="auto"/>
              <w:jc w:val="center"/>
              <w:rPr>
                <w:sz w:val="19"/>
                <w:szCs w:val="19"/>
              </w:rPr>
            </w:pPr>
            <w:r>
              <w:rPr>
                <w:b/>
                <w:bCs/>
                <w:sz w:val="19"/>
                <w:szCs w:val="19"/>
              </w:rPr>
              <w:t>2020</w:t>
            </w:r>
          </w:p>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Běžné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27 600 000 Kč</w:t>
            </w:r>
          </w:p>
        </w:tc>
      </w:tr>
      <w:tr w:rsidR="00806D11">
        <w:trPr>
          <w:trHeight w:hRule="exact" w:val="338"/>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Kapitálové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0 Kč</w:t>
            </w:r>
          </w:p>
        </w:tc>
      </w:tr>
      <w:tr w:rsidR="00806D11">
        <w:trPr>
          <w:trHeight w:hRule="exact" w:val="346"/>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CELKEM</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27 600 000 Kč</w:t>
            </w:r>
          </w:p>
        </w:tc>
      </w:tr>
      <w:tr w:rsidR="00806D11">
        <w:trPr>
          <w:trHeight w:hRule="exact" w:val="346"/>
          <w:jc w:val="center"/>
        </w:trPr>
        <w:tc>
          <w:tcPr>
            <w:tcW w:w="3006" w:type="dxa"/>
            <w:vMerge/>
            <w:tcBorders>
              <w:left w:val="single" w:sz="4" w:space="0" w:color="auto"/>
            </w:tcBorders>
            <w:shd w:val="clear" w:color="auto" w:fill="DCF1FB"/>
            <w:vAlign w:val="center"/>
          </w:tcPr>
          <w:p w:rsidR="00806D11" w:rsidRDefault="00806D11"/>
        </w:tc>
        <w:tc>
          <w:tcPr>
            <w:tcW w:w="1076" w:type="dxa"/>
            <w:vMerge w:val="restart"/>
            <w:tcBorders>
              <w:top w:val="single" w:sz="4" w:space="0" w:color="auto"/>
              <w:left w:val="single" w:sz="4" w:space="0" w:color="auto"/>
            </w:tcBorders>
            <w:shd w:val="clear" w:color="auto" w:fill="auto"/>
            <w:vAlign w:val="center"/>
          </w:tcPr>
          <w:p w:rsidR="00806D11" w:rsidRDefault="00444A10">
            <w:pPr>
              <w:pStyle w:val="Jin0"/>
              <w:spacing w:line="240" w:lineRule="auto"/>
              <w:jc w:val="center"/>
              <w:rPr>
                <w:sz w:val="19"/>
                <w:szCs w:val="19"/>
              </w:rPr>
            </w:pPr>
            <w:r>
              <w:rPr>
                <w:b/>
                <w:bCs/>
                <w:sz w:val="19"/>
                <w:szCs w:val="19"/>
              </w:rPr>
              <w:t>2021</w:t>
            </w:r>
          </w:p>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Běžné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27 600 000 Kč</w:t>
            </w:r>
          </w:p>
        </w:tc>
      </w:tr>
      <w:tr w:rsidR="00806D11">
        <w:trPr>
          <w:trHeight w:hRule="exact" w:val="338"/>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Kapitálové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proofErr w:type="spellStart"/>
            <w:r>
              <w:rPr>
                <w:sz w:val="19"/>
                <w:szCs w:val="19"/>
              </w:rPr>
              <w:t>OKč</w:t>
            </w:r>
            <w:proofErr w:type="spellEnd"/>
          </w:p>
        </w:tc>
      </w:tr>
      <w:tr w:rsidR="00806D11">
        <w:trPr>
          <w:trHeight w:hRule="exact" w:val="346"/>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CELKEM</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27 600 000 Kč</w:t>
            </w:r>
          </w:p>
        </w:tc>
      </w:tr>
      <w:tr w:rsidR="00806D11">
        <w:trPr>
          <w:trHeight w:hRule="exact" w:val="349"/>
          <w:jc w:val="center"/>
        </w:trPr>
        <w:tc>
          <w:tcPr>
            <w:tcW w:w="3006" w:type="dxa"/>
            <w:vMerge/>
            <w:tcBorders>
              <w:left w:val="single" w:sz="4" w:space="0" w:color="auto"/>
            </w:tcBorders>
            <w:shd w:val="clear" w:color="auto" w:fill="DCF1FB"/>
            <w:vAlign w:val="center"/>
          </w:tcPr>
          <w:p w:rsidR="00806D11" w:rsidRDefault="00806D11"/>
        </w:tc>
        <w:tc>
          <w:tcPr>
            <w:tcW w:w="1076" w:type="dxa"/>
            <w:vMerge w:val="restart"/>
            <w:tcBorders>
              <w:top w:val="single" w:sz="4" w:space="0" w:color="auto"/>
              <w:left w:val="single" w:sz="4" w:space="0" w:color="auto"/>
            </w:tcBorders>
            <w:shd w:val="clear" w:color="auto" w:fill="auto"/>
            <w:vAlign w:val="center"/>
          </w:tcPr>
          <w:p w:rsidR="00806D11" w:rsidRDefault="00444A10">
            <w:pPr>
              <w:pStyle w:val="Jin0"/>
              <w:spacing w:line="240" w:lineRule="auto"/>
              <w:jc w:val="center"/>
              <w:rPr>
                <w:sz w:val="19"/>
                <w:szCs w:val="19"/>
              </w:rPr>
            </w:pPr>
            <w:r>
              <w:rPr>
                <w:b/>
                <w:bCs/>
                <w:sz w:val="19"/>
                <w:szCs w:val="19"/>
              </w:rPr>
              <w:t>2022</w:t>
            </w:r>
          </w:p>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Běžné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27 600 000 Kč</w:t>
            </w:r>
          </w:p>
        </w:tc>
      </w:tr>
      <w:tr w:rsidR="00806D11">
        <w:trPr>
          <w:trHeight w:hRule="exact" w:val="335"/>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sz w:val="19"/>
                <w:szCs w:val="19"/>
              </w:rPr>
              <w:t>Kapitálové prostředky</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proofErr w:type="spellStart"/>
            <w:r>
              <w:rPr>
                <w:sz w:val="19"/>
                <w:szCs w:val="19"/>
              </w:rPr>
              <w:t>OKč</w:t>
            </w:r>
            <w:proofErr w:type="spellEnd"/>
          </w:p>
        </w:tc>
      </w:tr>
      <w:tr w:rsidR="00806D11">
        <w:trPr>
          <w:trHeight w:hRule="exact" w:val="349"/>
          <w:jc w:val="center"/>
        </w:trPr>
        <w:tc>
          <w:tcPr>
            <w:tcW w:w="3006" w:type="dxa"/>
            <w:vMerge/>
            <w:tcBorders>
              <w:left w:val="single" w:sz="4" w:space="0" w:color="auto"/>
            </w:tcBorders>
            <w:shd w:val="clear" w:color="auto" w:fill="DCF1FB"/>
            <w:vAlign w:val="center"/>
          </w:tcPr>
          <w:p w:rsidR="00806D11" w:rsidRDefault="00806D11"/>
        </w:tc>
        <w:tc>
          <w:tcPr>
            <w:tcW w:w="1076" w:type="dxa"/>
            <w:vMerge/>
            <w:tcBorders>
              <w:left w:val="single" w:sz="4" w:space="0" w:color="auto"/>
            </w:tcBorders>
            <w:shd w:val="clear" w:color="auto" w:fill="auto"/>
            <w:vAlign w:val="center"/>
          </w:tcPr>
          <w:p w:rsidR="00806D11" w:rsidRDefault="00806D11"/>
        </w:tc>
        <w:tc>
          <w:tcPr>
            <w:tcW w:w="2167"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CELKEM</w:t>
            </w:r>
          </w:p>
        </w:tc>
        <w:tc>
          <w:tcPr>
            <w:tcW w:w="2491" w:type="dxa"/>
            <w:tcBorders>
              <w:top w:val="single" w:sz="4" w:space="0" w:color="auto"/>
              <w:left w:val="single" w:sz="4" w:space="0" w:color="auto"/>
              <w:righ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27 600 000 Kč</w:t>
            </w:r>
          </w:p>
        </w:tc>
      </w:tr>
      <w:tr w:rsidR="00806D11">
        <w:trPr>
          <w:trHeight w:hRule="exact" w:val="547"/>
          <w:jc w:val="center"/>
        </w:trPr>
        <w:tc>
          <w:tcPr>
            <w:tcW w:w="3006" w:type="dxa"/>
            <w:tcBorders>
              <w:top w:val="single" w:sz="4" w:space="0" w:color="auto"/>
              <w:left w:val="single" w:sz="4" w:space="0" w:color="auto"/>
              <w:bottom w:val="single" w:sz="4" w:space="0" w:color="auto"/>
            </w:tcBorders>
            <w:shd w:val="clear" w:color="auto" w:fill="DCF1FB"/>
            <w:vAlign w:val="center"/>
          </w:tcPr>
          <w:p w:rsidR="00806D11" w:rsidRDefault="00444A10">
            <w:pPr>
              <w:pStyle w:val="Jin0"/>
              <w:spacing w:line="240" w:lineRule="auto"/>
              <w:rPr>
                <w:sz w:val="19"/>
                <w:szCs w:val="19"/>
              </w:rPr>
            </w:pPr>
            <w:r>
              <w:rPr>
                <w:color w:val="153039"/>
                <w:sz w:val="19"/>
                <w:szCs w:val="19"/>
              </w:rPr>
              <w:t>Podmínky poskytnutí podpory</w:t>
            </w:r>
          </w:p>
        </w:tc>
        <w:tc>
          <w:tcPr>
            <w:tcW w:w="5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6D11" w:rsidRDefault="00444A10">
            <w:pPr>
              <w:pStyle w:val="Jin0"/>
              <w:spacing w:line="240" w:lineRule="auto"/>
              <w:rPr>
                <w:sz w:val="19"/>
                <w:szCs w:val="19"/>
              </w:rPr>
            </w:pPr>
            <w:r>
              <w:rPr>
                <w:sz w:val="19"/>
                <w:szCs w:val="19"/>
              </w:rPr>
              <w:t>Viz Příloha tohoto Rozhodnutí</w:t>
            </w:r>
          </w:p>
        </w:tc>
      </w:tr>
    </w:tbl>
    <w:p w:rsidR="00806D11" w:rsidRDefault="00806D11">
      <w:pPr>
        <w:spacing w:after="379" w:line="1" w:lineRule="exact"/>
      </w:pPr>
    </w:p>
    <w:p w:rsidR="00806D11" w:rsidRDefault="00444A10">
      <w:pPr>
        <w:pStyle w:val="Zkladntext1"/>
        <w:spacing w:after="640"/>
        <w:jc w:val="both"/>
      </w:pPr>
      <w:r>
        <w:t xml:space="preserve">Poskytovatel </w:t>
      </w:r>
      <w:r>
        <w:rPr>
          <w:b/>
          <w:bCs/>
        </w:rPr>
        <w:t xml:space="preserve">rozhodl </w:t>
      </w:r>
      <w:r>
        <w:t>na základě zhodnocení Dlouhodobé koncepce rozvoje výzkumné organizace na období 2018-2022 (dále jen „DKRVO"), které provedl v souladu s „Metodikou hodnocení výzkumných organizací a hodnocení programů účelové podpory výzkumu, vývoje a inovací", a podle § 14 zákona č. 218/2000 Sb., o rozpočtových pravidlech a o změně některých souvisejících zákonů (rozpočtová pravidla), ve znění pozdějších předpisů, a podle § 4 odst. 2 písm. a) bod 1 zákona č. 130/2002 Sb.,</w:t>
      </w:r>
      <w:r>
        <w:br w:type="page"/>
      </w:r>
      <w:r>
        <w:lastRenderedPageBreak/>
        <w:t xml:space="preserve">o podpoře výzkumu, experimentálního vývoje a inovací z veřejných prostředků a o změně některých souvisejících zákonů (zákon o podpoře výzkumu, experimentálního vývoje a inovací), ve znění pozdějších předpisů, </w:t>
      </w:r>
      <w:r>
        <w:rPr>
          <w:b/>
          <w:bCs/>
        </w:rPr>
        <w:t xml:space="preserve">že Příjemci bude na léta 2013-2022 poskytována institucionální podpora na dlouhodobý koncepční rozvoj výzkumné organizace </w:t>
      </w:r>
      <w:r>
        <w:t xml:space="preserve">(dále jen „institucionální podpora") </w:t>
      </w:r>
      <w:r>
        <w:rPr>
          <w:b/>
          <w:bCs/>
        </w:rPr>
        <w:t xml:space="preserve">ve výši uvedené v tomto Rozhodnutí, </w:t>
      </w:r>
      <w:r>
        <w:t xml:space="preserve">a to při dodržení níže uvedených podmínek, které jsou neoddělitelnou součástí tohoto Rozhodnutí. </w:t>
      </w:r>
      <w:r>
        <w:rPr>
          <w:b/>
          <w:bCs/>
        </w:rPr>
        <w:t>Poskytovatel si vyhrazuje právo upravit výši institucionální podpory podle aktuální výše finančních prostředků státního rozpočtu České republiky na výzkum, experimentální vývoj a inovace a podle výsledku průběžného hodnocení DKRVO.</w:t>
      </w:r>
    </w:p>
    <w:p w:rsidR="00806D11" w:rsidRDefault="00444A10">
      <w:pPr>
        <w:pStyle w:val="Titulekobrzku0"/>
        <w:ind w:left="148"/>
      </w:pPr>
      <w:r>
        <w:t>Příloha: Podmínky institucionální podpory na dlouhodobý koncepční rozvoj výzkumné instituce</w:t>
      </w:r>
    </w:p>
    <w:p w:rsidR="00806D11" w:rsidRDefault="00444A10">
      <w:pPr>
        <w:jc w:val="center"/>
        <w:rPr>
          <w:sz w:val="2"/>
          <w:szCs w:val="2"/>
        </w:rPr>
      </w:pPr>
      <w:r>
        <w:rPr>
          <w:noProof/>
          <w:lang w:bidi="ar-SA"/>
        </w:rPr>
        <w:drawing>
          <wp:inline distT="0" distB="0" distL="0" distR="0">
            <wp:extent cx="5443855" cy="278574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443855" cy="2785745"/>
                    </a:xfrm>
                    <a:prstGeom prst="rect">
                      <a:avLst/>
                    </a:prstGeom>
                  </pic:spPr>
                </pic:pic>
              </a:graphicData>
            </a:graphic>
          </wp:inline>
        </w:drawing>
      </w:r>
    </w:p>
    <w:p w:rsidR="00806D11" w:rsidRDefault="00806D11">
      <w:pPr>
        <w:spacing w:after="319" w:line="1" w:lineRule="exact"/>
      </w:pPr>
    </w:p>
    <w:p w:rsidR="00806D11" w:rsidRDefault="00806D11">
      <w:pPr>
        <w:spacing w:line="1" w:lineRule="exact"/>
      </w:pPr>
    </w:p>
    <w:p w:rsidR="00806D11" w:rsidRDefault="00444A10">
      <w:pPr>
        <w:pStyle w:val="Titulektabulky0"/>
        <w:ind w:left="115"/>
      </w:pPr>
      <w:r>
        <w:t>Potvrzení o převzetí Rozhodnutí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8"/>
        <w:gridCol w:w="4273"/>
      </w:tblGrid>
      <w:tr w:rsidR="00806D11">
        <w:trPr>
          <w:trHeight w:hRule="exact" w:val="1339"/>
          <w:jc w:val="center"/>
        </w:trPr>
        <w:tc>
          <w:tcPr>
            <w:tcW w:w="4288" w:type="dxa"/>
            <w:tcBorders>
              <w:top w:val="single" w:sz="4" w:space="0" w:color="auto"/>
              <w:left w:val="single" w:sz="4" w:space="0" w:color="auto"/>
            </w:tcBorders>
            <w:shd w:val="clear" w:color="auto" w:fill="auto"/>
          </w:tcPr>
          <w:p w:rsidR="00806D11" w:rsidRDefault="00444A10">
            <w:pPr>
              <w:pStyle w:val="Jin0"/>
              <w:spacing w:before="80" w:line="240" w:lineRule="auto"/>
              <w:rPr>
                <w:sz w:val="19"/>
                <w:szCs w:val="19"/>
              </w:rPr>
            </w:pPr>
            <w:r>
              <w:rPr>
                <w:b/>
                <w:bCs/>
                <w:sz w:val="19"/>
                <w:szCs w:val="19"/>
              </w:rPr>
              <w:t>Za Výzkumný ústav bezpečnosti práce, v. v. i.</w:t>
            </w:r>
          </w:p>
        </w:tc>
        <w:tc>
          <w:tcPr>
            <w:tcW w:w="4273" w:type="dxa"/>
            <w:tcBorders>
              <w:top w:val="single" w:sz="4" w:space="0" w:color="auto"/>
              <w:right w:val="single" w:sz="4" w:space="0" w:color="auto"/>
            </w:tcBorders>
            <w:shd w:val="clear" w:color="auto" w:fill="auto"/>
            <w:vAlign w:val="bottom"/>
          </w:tcPr>
          <w:p w:rsidR="00806D11" w:rsidRDefault="00444A10">
            <w:pPr>
              <w:pStyle w:val="Jin0"/>
              <w:spacing w:line="334" w:lineRule="auto"/>
              <w:ind w:left="920" w:hanging="340"/>
              <w:rPr>
                <w:sz w:val="19"/>
                <w:szCs w:val="19"/>
              </w:rPr>
            </w:pPr>
            <w:r>
              <w:rPr>
                <w:sz w:val="19"/>
                <w:szCs w:val="19"/>
              </w:rPr>
              <w:t>RNDr. Stanislav Malý, Ph.D. ředitel VÚBP, v. v. i.</w:t>
            </w:r>
          </w:p>
        </w:tc>
      </w:tr>
      <w:tr w:rsidR="00806D11">
        <w:trPr>
          <w:trHeight w:hRule="exact" w:val="662"/>
          <w:jc w:val="center"/>
        </w:trPr>
        <w:tc>
          <w:tcPr>
            <w:tcW w:w="4288" w:type="dxa"/>
            <w:tcBorders>
              <w:top w:val="single" w:sz="4" w:space="0" w:color="auto"/>
              <w:left w:val="single" w:sz="4" w:space="0" w:color="auto"/>
            </w:tcBorders>
            <w:shd w:val="clear" w:color="auto" w:fill="auto"/>
            <w:vAlign w:val="bottom"/>
          </w:tcPr>
          <w:p w:rsidR="00806D11" w:rsidRDefault="00444A10">
            <w:pPr>
              <w:pStyle w:val="Jin0"/>
              <w:spacing w:line="240" w:lineRule="auto"/>
              <w:rPr>
                <w:sz w:val="19"/>
                <w:szCs w:val="19"/>
              </w:rPr>
            </w:pPr>
            <w:r>
              <w:rPr>
                <w:b/>
                <w:bCs/>
                <w:sz w:val="19"/>
                <w:szCs w:val="19"/>
              </w:rPr>
              <w:t xml:space="preserve">V Praze dne </w:t>
            </w:r>
            <w:r w:rsidR="00E421D7">
              <w:rPr>
                <w:b/>
                <w:bCs/>
                <w:i/>
                <w:iCs/>
                <w:color w:val="0D7ED6"/>
                <w:sz w:val="19"/>
                <w:szCs w:val="19"/>
              </w:rPr>
              <w:t xml:space="preserve"> </w:t>
            </w:r>
            <w:proofErr w:type="gramStart"/>
            <w:r w:rsidR="00E421D7">
              <w:rPr>
                <w:b/>
                <w:bCs/>
                <w:i/>
                <w:iCs/>
                <w:color w:val="0D7ED6"/>
                <w:sz w:val="19"/>
                <w:szCs w:val="19"/>
              </w:rPr>
              <w:t>28.5.2018</w:t>
            </w:r>
            <w:proofErr w:type="gramEnd"/>
          </w:p>
        </w:tc>
        <w:tc>
          <w:tcPr>
            <w:tcW w:w="4273" w:type="dxa"/>
            <w:tcBorders>
              <w:top w:val="single" w:sz="4" w:space="0" w:color="auto"/>
              <w:right w:val="single" w:sz="4" w:space="0" w:color="auto"/>
            </w:tcBorders>
            <w:shd w:val="clear" w:color="auto" w:fill="auto"/>
          </w:tcPr>
          <w:p w:rsidR="00806D11" w:rsidRDefault="00806D11">
            <w:pPr>
              <w:rPr>
                <w:sz w:val="10"/>
                <w:szCs w:val="10"/>
              </w:rPr>
            </w:pPr>
          </w:p>
        </w:tc>
      </w:tr>
      <w:tr w:rsidR="00806D11">
        <w:trPr>
          <w:trHeight w:hRule="exact" w:val="1674"/>
          <w:jc w:val="center"/>
        </w:trPr>
        <w:tc>
          <w:tcPr>
            <w:tcW w:w="4288" w:type="dxa"/>
            <w:tcBorders>
              <w:top w:val="single" w:sz="4" w:space="0" w:color="auto"/>
              <w:left w:val="single" w:sz="4" w:space="0" w:color="auto"/>
              <w:bottom w:val="single" w:sz="4" w:space="0" w:color="auto"/>
            </w:tcBorders>
            <w:shd w:val="clear" w:color="auto" w:fill="auto"/>
          </w:tcPr>
          <w:p w:rsidR="00806D11" w:rsidRDefault="00444A10">
            <w:pPr>
              <w:pStyle w:val="Jin0"/>
              <w:spacing w:line="240" w:lineRule="auto"/>
              <w:rPr>
                <w:sz w:val="19"/>
                <w:szCs w:val="19"/>
              </w:rPr>
            </w:pPr>
            <w:r>
              <w:rPr>
                <w:b/>
                <w:bCs/>
                <w:sz w:val="19"/>
                <w:szCs w:val="19"/>
              </w:rPr>
              <w:t>Podpis a razítko</w:t>
            </w:r>
          </w:p>
        </w:tc>
        <w:tc>
          <w:tcPr>
            <w:tcW w:w="4273" w:type="dxa"/>
            <w:tcBorders>
              <w:top w:val="single" w:sz="4" w:space="0" w:color="auto"/>
              <w:bottom w:val="single" w:sz="4" w:space="0" w:color="auto"/>
              <w:right w:val="single" w:sz="4" w:space="0" w:color="auto"/>
            </w:tcBorders>
            <w:shd w:val="clear" w:color="auto" w:fill="auto"/>
          </w:tcPr>
          <w:p w:rsidR="00806D11" w:rsidRDefault="00806D11">
            <w:pPr>
              <w:rPr>
                <w:sz w:val="10"/>
                <w:szCs w:val="10"/>
              </w:rPr>
            </w:pPr>
          </w:p>
        </w:tc>
      </w:tr>
    </w:tbl>
    <w:p w:rsidR="00806D11" w:rsidRDefault="00444A10">
      <w:pPr>
        <w:pStyle w:val="Nadpis20"/>
        <w:keepNext/>
        <w:keepLines/>
        <w:spacing w:after="160"/>
        <w:jc w:val="right"/>
      </w:pPr>
      <w:bookmarkStart w:id="2" w:name="bookmark4"/>
      <w:r>
        <w:lastRenderedPageBreak/>
        <w:t>Příloha</w:t>
      </w:r>
      <w:bookmarkEnd w:id="2"/>
    </w:p>
    <w:p w:rsidR="00806D11" w:rsidRDefault="00444A10">
      <w:pPr>
        <w:pStyle w:val="Nadpis10"/>
        <w:keepNext/>
        <w:keepLines/>
        <w:spacing w:after="380"/>
      </w:pPr>
      <w:bookmarkStart w:id="3" w:name="bookmark6"/>
      <w:r>
        <w:t>Podmínky institucionální podpory na dlouhodobý koncepční rozvoj</w:t>
      </w:r>
      <w:r>
        <w:br/>
        <w:t>výzkumné organizace</w:t>
      </w:r>
      <w:bookmarkEnd w:id="3"/>
    </w:p>
    <w:p w:rsidR="00806D11" w:rsidRDefault="00444A10">
      <w:pPr>
        <w:pStyle w:val="Nadpis20"/>
        <w:keepNext/>
        <w:keepLines/>
      </w:pPr>
      <w:bookmarkStart w:id="4" w:name="bookmark8"/>
      <w:r>
        <w:t>Článek 1</w:t>
      </w:r>
      <w:bookmarkEnd w:id="4"/>
    </w:p>
    <w:p w:rsidR="00806D11" w:rsidRPr="00444A10" w:rsidRDefault="00444A10">
      <w:pPr>
        <w:pStyle w:val="Nadpis20"/>
        <w:keepNext/>
        <w:keepLines/>
        <w:rPr>
          <w:sz w:val="22"/>
          <w:szCs w:val="22"/>
        </w:rPr>
      </w:pPr>
      <w:r w:rsidRPr="00444A10">
        <w:rPr>
          <w:sz w:val="22"/>
          <w:szCs w:val="22"/>
        </w:rPr>
        <w:t>Výše a způsob poskytnutí institucionální podpory na dlouhodobý koncepční rozvoj</w:t>
      </w:r>
      <w:r w:rsidRPr="00444A10">
        <w:rPr>
          <w:sz w:val="22"/>
          <w:szCs w:val="22"/>
        </w:rPr>
        <w:br/>
        <w:t>výzkumné organizace (dále jen „institucionální podpora")</w:t>
      </w:r>
    </w:p>
    <w:p w:rsidR="00806D11" w:rsidRPr="00444A10" w:rsidRDefault="00444A10">
      <w:pPr>
        <w:pStyle w:val="Zkladntext1"/>
        <w:numPr>
          <w:ilvl w:val="0"/>
          <w:numId w:val="1"/>
        </w:numPr>
        <w:tabs>
          <w:tab w:val="left" w:pos="775"/>
        </w:tabs>
        <w:ind w:left="760" w:hanging="320"/>
        <w:jc w:val="both"/>
        <w:rPr>
          <w:sz w:val="22"/>
          <w:szCs w:val="22"/>
        </w:rPr>
      </w:pPr>
      <w:r w:rsidRPr="00444A10">
        <w:rPr>
          <w:sz w:val="22"/>
          <w:szCs w:val="22"/>
        </w:rPr>
        <w:t>Tyto Podmínky jsou přílohou a nedílnou součástí Rozhodnutí o poskytnutí institucionální podpory na dlouhodobý koncepční rozvoj výzkumné organizace na léta 2018-2022 {dále jen „Rozhodnutí").</w:t>
      </w:r>
    </w:p>
    <w:p w:rsidR="00806D11" w:rsidRPr="00444A10" w:rsidRDefault="00444A10">
      <w:pPr>
        <w:pStyle w:val="Zkladntext1"/>
        <w:numPr>
          <w:ilvl w:val="0"/>
          <w:numId w:val="1"/>
        </w:numPr>
        <w:tabs>
          <w:tab w:val="left" w:pos="775"/>
        </w:tabs>
        <w:ind w:left="760" w:hanging="320"/>
        <w:jc w:val="both"/>
        <w:rPr>
          <w:sz w:val="22"/>
          <w:szCs w:val="22"/>
        </w:rPr>
      </w:pPr>
      <w:r w:rsidRPr="00444A10">
        <w:rPr>
          <w:sz w:val="22"/>
          <w:szCs w:val="22"/>
        </w:rPr>
        <w:t xml:space="preserve">Výše institucionální podpory na léta 2018-2022 byla stanovena na základě výsledku hodnocení výzkumné organizace (dále jen „VO"). Hodnocení provedla nezávislá expertní skupina formou peer </w:t>
      </w:r>
      <w:proofErr w:type="spellStart"/>
      <w:r w:rsidRPr="00444A10">
        <w:rPr>
          <w:sz w:val="22"/>
          <w:szCs w:val="22"/>
        </w:rPr>
        <w:t>review</w:t>
      </w:r>
      <w:proofErr w:type="spellEnd"/>
      <w:r w:rsidRPr="00444A10">
        <w:rPr>
          <w:sz w:val="22"/>
          <w:szCs w:val="22"/>
        </w:rPr>
        <w:t xml:space="preserve"> v souladu s Metodikou hodnocení výzkumných organizací a hodnocení programů účelové podpory výzkumu, vývoje a inovací (dále jen „M17+"), která byla schválena usnesením vlády ČR č. 107 ze dne 8. 2. 2017,</w:t>
      </w:r>
    </w:p>
    <w:p w:rsidR="00806D11" w:rsidRPr="00444A10" w:rsidRDefault="00444A10">
      <w:pPr>
        <w:pStyle w:val="Zkladntext1"/>
        <w:numPr>
          <w:ilvl w:val="0"/>
          <w:numId w:val="1"/>
        </w:numPr>
        <w:tabs>
          <w:tab w:val="left" w:pos="775"/>
        </w:tabs>
        <w:ind w:left="760" w:hanging="320"/>
        <w:jc w:val="both"/>
        <w:rPr>
          <w:sz w:val="22"/>
          <w:szCs w:val="22"/>
        </w:rPr>
      </w:pPr>
      <w:r w:rsidRPr="00444A10">
        <w:rPr>
          <w:sz w:val="22"/>
          <w:szCs w:val="22"/>
        </w:rPr>
        <w:t xml:space="preserve">Výše institucionální podpory může být v jednotlivých letech upravována v závislosti na výši finančních prostředků státního rozpočtu České republiky na výzkum, experimentální vývoj a inovace (dále jen „státní rozpočet </w:t>
      </w:r>
      <w:proofErr w:type="spellStart"/>
      <w:r w:rsidRPr="00444A10">
        <w:rPr>
          <w:sz w:val="22"/>
          <w:szCs w:val="22"/>
        </w:rPr>
        <w:t>VaVal</w:t>
      </w:r>
      <w:proofErr w:type="spellEnd"/>
      <w:r w:rsidRPr="00444A10">
        <w:rPr>
          <w:sz w:val="22"/>
          <w:szCs w:val="22"/>
        </w:rPr>
        <w:t>") a podle výsledků průběžných hodnocení DKRVO.</w:t>
      </w:r>
    </w:p>
    <w:p w:rsidR="00806D11" w:rsidRPr="00444A10" w:rsidRDefault="00444A10">
      <w:pPr>
        <w:pStyle w:val="Zkladntext1"/>
        <w:numPr>
          <w:ilvl w:val="0"/>
          <w:numId w:val="1"/>
        </w:numPr>
        <w:tabs>
          <w:tab w:val="left" w:pos="775"/>
        </w:tabs>
        <w:ind w:left="760" w:hanging="320"/>
        <w:jc w:val="both"/>
        <w:rPr>
          <w:sz w:val="22"/>
          <w:szCs w:val="22"/>
        </w:rPr>
      </w:pPr>
      <w:r w:rsidRPr="00444A10">
        <w:rPr>
          <w:sz w:val="22"/>
          <w:szCs w:val="22"/>
        </w:rPr>
        <w:t xml:space="preserve">Podpora bude poskytována formou dotace z výdajů státního rozpočtu </w:t>
      </w:r>
      <w:proofErr w:type="spellStart"/>
      <w:r w:rsidRPr="00444A10">
        <w:rPr>
          <w:sz w:val="22"/>
          <w:szCs w:val="22"/>
        </w:rPr>
        <w:t>VaVal</w:t>
      </w:r>
      <w:proofErr w:type="spellEnd"/>
      <w:r w:rsidRPr="00444A10">
        <w:rPr>
          <w:sz w:val="22"/>
          <w:szCs w:val="22"/>
        </w:rPr>
        <w:t xml:space="preserve"> převodem na bankovní účet příjemce, uvedený v Rozhodnutí.</w:t>
      </w:r>
    </w:p>
    <w:p w:rsidR="00806D11" w:rsidRPr="00444A10" w:rsidRDefault="00444A10">
      <w:pPr>
        <w:pStyle w:val="Zkladntext1"/>
        <w:numPr>
          <w:ilvl w:val="0"/>
          <w:numId w:val="1"/>
        </w:numPr>
        <w:tabs>
          <w:tab w:val="left" w:pos="775"/>
        </w:tabs>
        <w:spacing w:after="320"/>
        <w:ind w:left="760" w:hanging="320"/>
        <w:jc w:val="both"/>
        <w:rPr>
          <w:sz w:val="22"/>
          <w:szCs w:val="22"/>
        </w:rPr>
      </w:pPr>
      <w:r w:rsidRPr="00444A10">
        <w:rPr>
          <w:sz w:val="22"/>
          <w:szCs w:val="22"/>
        </w:rPr>
        <w:t>Rozdělení institucionální podpory mezi běžné a kapitálové prostředky uvedené v Rozhodnutí lze změnit na základě písemné žádosti příjemce doručené poskytovateli nejpozději do 31. května daného roku.</w:t>
      </w:r>
    </w:p>
    <w:p w:rsidR="00806D11" w:rsidRPr="00444A10" w:rsidRDefault="00444A10">
      <w:pPr>
        <w:pStyle w:val="Nadpis20"/>
        <w:keepNext/>
        <w:keepLines/>
        <w:rPr>
          <w:sz w:val="22"/>
          <w:szCs w:val="22"/>
        </w:rPr>
      </w:pPr>
      <w:bookmarkStart w:id="5" w:name="bookmark11"/>
      <w:r w:rsidRPr="00444A10">
        <w:rPr>
          <w:sz w:val="22"/>
          <w:szCs w:val="22"/>
        </w:rPr>
        <w:t>Článek 2</w:t>
      </w:r>
      <w:bookmarkEnd w:id="5"/>
    </w:p>
    <w:p w:rsidR="00806D11" w:rsidRPr="00444A10" w:rsidRDefault="00444A10">
      <w:pPr>
        <w:pStyle w:val="Nadpis20"/>
        <w:keepNext/>
        <w:keepLines/>
        <w:rPr>
          <w:sz w:val="22"/>
          <w:szCs w:val="22"/>
        </w:rPr>
      </w:pPr>
      <w:r w:rsidRPr="00444A10">
        <w:rPr>
          <w:sz w:val="22"/>
          <w:szCs w:val="22"/>
        </w:rPr>
        <w:t>Účel a užití institucionální podpory</w:t>
      </w:r>
    </w:p>
    <w:p w:rsidR="00806D11" w:rsidRPr="00444A10" w:rsidRDefault="00444A10">
      <w:pPr>
        <w:pStyle w:val="Zkladntext1"/>
        <w:numPr>
          <w:ilvl w:val="0"/>
          <w:numId w:val="2"/>
        </w:numPr>
        <w:tabs>
          <w:tab w:val="left" w:pos="775"/>
        </w:tabs>
        <w:ind w:left="760" w:hanging="320"/>
        <w:jc w:val="both"/>
        <w:rPr>
          <w:sz w:val="22"/>
          <w:szCs w:val="22"/>
        </w:rPr>
      </w:pPr>
      <w:r w:rsidRPr="00444A10">
        <w:rPr>
          <w:sz w:val="22"/>
          <w:szCs w:val="22"/>
        </w:rPr>
        <w:t xml:space="preserve">Institucionální podpora není veřejnou podporou ve smyslu čl. 107 odst. 1 Smlouvy o fungování Evropské unie a § 2 písm. a) zákona č. 215/2004 Sb., o úpravě některých vztahů v oblasti veřejné podpory a o změně zákona o podpoře výzkumu a vývoje, ve znění pozdějších předpisů. Podpora je určena výlučně k financování činností </w:t>
      </w:r>
      <w:proofErr w:type="spellStart"/>
      <w:r w:rsidRPr="00444A10">
        <w:rPr>
          <w:sz w:val="22"/>
          <w:szCs w:val="22"/>
        </w:rPr>
        <w:t>nehospodářské</w:t>
      </w:r>
      <w:proofErr w:type="spellEnd"/>
      <w:r w:rsidRPr="00444A10">
        <w:rPr>
          <w:sz w:val="22"/>
          <w:szCs w:val="22"/>
        </w:rPr>
        <w:t xml:space="preserve"> povahy. Příjemce je povinen s institucionální podporou nakládat v souladu s pravidly Evropské unie</w:t>
      </w:r>
      <w:r w:rsidRPr="00444A10">
        <w:rPr>
          <w:sz w:val="22"/>
          <w:szCs w:val="22"/>
          <w:vertAlign w:val="superscript"/>
        </w:rPr>
        <w:footnoteReference w:id="1"/>
      </w:r>
      <w:r w:rsidRPr="00444A10">
        <w:rPr>
          <w:sz w:val="22"/>
          <w:szCs w:val="22"/>
        </w:rPr>
        <w:t xml:space="preserve"> tak, aby nedošlo k narušení hospodářské soutěže.</w:t>
      </w:r>
    </w:p>
    <w:p w:rsidR="00806D11" w:rsidRDefault="00444A10">
      <w:pPr>
        <w:pStyle w:val="Zkladntext1"/>
        <w:numPr>
          <w:ilvl w:val="0"/>
          <w:numId w:val="2"/>
        </w:numPr>
        <w:tabs>
          <w:tab w:val="left" w:pos="775"/>
        </w:tabs>
        <w:ind w:left="760" w:hanging="320"/>
        <w:jc w:val="both"/>
        <w:rPr>
          <w:sz w:val="22"/>
          <w:szCs w:val="22"/>
        </w:rPr>
      </w:pPr>
      <w:r w:rsidRPr="00444A10">
        <w:rPr>
          <w:sz w:val="22"/>
          <w:szCs w:val="22"/>
        </w:rPr>
        <w:t>Institucionální podpora není účastí státního rozpočtu na financování programu podle § 12 a § 13 zákona č. 218/2000 Sb., o rozpočtových pravidlech a o změně některých souvisejících zákonů (rozpočtová pravidla), ve znění pozdějších předpisů (dále jen „zákon č. 218/2000 Sb.").</w:t>
      </w:r>
    </w:p>
    <w:p w:rsidR="00444A10" w:rsidRPr="00444A10" w:rsidRDefault="00444A10" w:rsidP="00444A10">
      <w:pPr>
        <w:pStyle w:val="Zkladntext1"/>
        <w:tabs>
          <w:tab w:val="left" w:pos="775"/>
        </w:tabs>
        <w:ind w:left="760"/>
        <w:jc w:val="both"/>
        <w:rPr>
          <w:sz w:val="22"/>
          <w:szCs w:val="22"/>
        </w:rPr>
      </w:pPr>
    </w:p>
    <w:p w:rsidR="00806D11" w:rsidRPr="00444A10" w:rsidRDefault="00444A10">
      <w:pPr>
        <w:pStyle w:val="Zkladntext1"/>
        <w:numPr>
          <w:ilvl w:val="0"/>
          <w:numId w:val="2"/>
        </w:numPr>
        <w:tabs>
          <w:tab w:val="left" w:pos="746"/>
        </w:tabs>
        <w:ind w:left="760" w:hanging="320"/>
        <w:jc w:val="both"/>
        <w:rPr>
          <w:sz w:val="22"/>
          <w:szCs w:val="22"/>
        </w:rPr>
      </w:pPr>
      <w:r w:rsidRPr="00444A10">
        <w:rPr>
          <w:sz w:val="22"/>
          <w:szCs w:val="22"/>
        </w:rPr>
        <w:lastRenderedPageBreak/>
        <w:t>Z institucionální podpory lze hradit způsobilé náklady na činnosti ve výzkumu, vývoji a inovacích (dále jen „</w:t>
      </w:r>
      <w:proofErr w:type="spellStart"/>
      <w:r w:rsidRPr="00444A10">
        <w:rPr>
          <w:sz w:val="22"/>
          <w:szCs w:val="22"/>
        </w:rPr>
        <w:t>VaVal</w:t>
      </w:r>
      <w:proofErr w:type="spellEnd"/>
      <w:r w:rsidRPr="00444A10">
        <w:rPr>
          <w:sz w:val="22"/>
          <w:szCs w:val="22"/>
        </w:rPr>
        <w:t>") prováděné příjemcem nebo v souvislosti s nimi, a to v souladu s cíli stanovenými v DKRVO 2018-2022.</w:t>
      </w:r>
    </w:p>
    <w:p w:rsidR="00806D11" w:rsidRPr="00444A10" w:rsidRDefault="00444A10">
      <w:pPr>
        <w:pStyle w:val="Zkladntext1"/>
        <w:numPr>
          <w:ilvl w:val="0"/>
          <w:numId w:val="2"/>
        </w:numPr>
        <w:tabs>
          <w:tab w:val="left" w:pos="746"/>
        </w:tabs>
        <w:ind w:left="760" w:hanging="320"/>
        <w:jc w:val="both"/>
        <w:rPr>
          <w:sz w:val="22"/>
          <w:szCs w:val="22"/>
        </w:rPr>
      </w:pPr>
      <w:r w:rsidRPr="00444A10">
        <w:rPr>
          <w:sz w:val="22"/>
          <w:szCs w:val="22"/>
        </w:rPr>
        <w:t xml:space="preserve">Z institucionální podpory může příjemce hradit způsobilé náklady na činnosti ve </w:t>
      </w:r>
      <w:proofErr w:type="spellStart"/>
      <w:r w:rsidRPr="00444A10">
        <w:rPr>
          <w:sz w:val="22"/>
          <w:szCs w:val="22"/>
        </w:rPr>
        <w:t>VaVal</w:t>
      </w:r>
      <w:proofErr w:type="spellEnd"/>
      <w:r w:rsidRPr="00444A10">
        <w:rPr>
          <w:sz w:val="22"/>
          <w:szCs w:val="22"/>
        </w:rPr>
        <w:t xml:space="preserve"> jiné VO, pokud jsou tyto činnosti předmětem spolupráce ve </w:t>
      </w:r>
      <w:proofErr w:type="spellStart"/>
      <w:r w:rsidRPr="00444A10">
        <w:rPr>
          <w:sz w:val="22"/>
          <w:szCs w:val="22"/>
        </w:rPr>
        <w:t>VaVal</w:t>
      </w:r>
      <w:proofErr w:type="spellEnd"/>
      <w:r w:rsidRPr="00444A10">
        <w:rPr>
          <w:sz w:val="22"/>
          <w:szCs w:val="22"/>
        </w:rPr>
        <w:t xml:space="preserve"> mezi výzkumnými organizacemi na základě písemné smlouvy.</w:t>
      </w:r>
    </w:p>
    <w:p w:rsidR="00806D11" w:rsidRPr="00444A10" w:rsidRDefault="00444A10">
      <w:pPr>
        <w:pStyle w:val="Zkladntext1"/>
        <w:numPr>
          <w:ilvl w:val="0"/>
          <w:numId w:val="2"/>
        </w:numPr>
        <w:tabs>
          <w:tab w:val="left" w:pos="746"/>
        </w:tabs>
        <w:ind w:left="760" w:hanging="320"/>
        <w:jc w:val="both"/>
        <w:rPr>
          <w:sz w:val="22"/>
          <w:szCs w:val="22"/>
        </w:rPr>
      </w:pPr>
      <w:r w:rsidRPr="00444A10">
        <w:rPr>
          <w:sz w:val="22"/>
          <w:szCs w:val="22"/>
        </w:rPr>
        <w:t xml:space="preserve">Způsobilými náklady ve </w:t>
      </w:r>
      <w:proofErr w:type="spellStart"/>
      <w:r w:rsidRPr="00444A10">
        <w:rPr>
          <w:sz w:val="22"/>
          <w:szCs w:val="22"/>
        </w:rPr>
        <w:t>VaVal</w:t>
      </w:r>
      <w:proofErr w:type="spellEnd"/>
      <w:r w:rsidRPr="00444A10">
        <w:rPr>
          <w:sz w:val="22"/>
          <w:szCs w:val="22"/>
        </w:rPr>
        <w:t xml:space="preserve"> jsou v souladu s § 2 odst. 2 písm. k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náklady nebo výdaje</w:t>
      </w:r>
    </w:p>
    <w:p w:rsidR="00806D11" w:rsidRPr="00444A10" w:rsidRDefault="00444A10">
      <w:pPr>
        <w:pStyle w:val="Zkladntext1"/>
        <w:numPr>
          <w:ilvl w:val="0"/>
          <w:numId w:val="3"/>
        </w:numPr>
        <w:tabs>
          <w:tab w:val="left" w:pos="1426"/>
        </w:tabs>
        <w:ind w:left="1400" w:hanging="320"/>
        <w:jc w:val="both"/>
        <w:rPr>
          <w:sz w:val="22"/>
          <w:szCs w:val="22"/>
        </w:rPr>
      </w:pPr>
      <w:r w:rsidRPr="00444A10">
        <w:rPr>
          <w:sz w:val="22"/>
          <w:szCs w:val="22"/>
        </w:rPr>
        <w:t xml:space="preserve">osobní, včetně stipendií na </w:t>
      </w:r>
      <w:proofErr w:type="spellStart"/>
      <w:r w:rsidRPr="00444A10">
        <w:rPr>
          <w:sz w:val="22"/>
          <w:szCs w:val="22"/>
        </w:rPr>
        <w:t>VaVal</w:t>
      </w:r>
      <w:proofErr w:type="spellEnd"/>
      <w:r w:rsidRPr="00444A10">
        <w:rPr>
          <w:sz w:val="22"/>
          <w:szCs w:val="22"/>
        </w:rPr>
        <w:t xml:space="preserve"> podle § 91 odst. 2 písm. c) zákona č. 111/1998 Sb., o vysokých školách a o změně a doplnění dalších zákonů (zákon o vysokých školách), ve znění pozdějších předpisů,</w:t>
      </w:r>
    </w:p>
    <w:p w:rsidR="00806D11" w:rsidRPr="00444A10" w:rsidRDefault="00444A10">
      <w:pPr>
        <w:pStyle w:val="Zkladntext1"/>
        <w:numPr>
          <w:ilvl w:val="0"/>
          <w:numId w:val="3"/>
        </w:numPr>
        <w:tabs>
          <w:tab w:val="left" w:pos="1426"/>
        </w:tabs>
        <w:ind w:left="1080"/>
        <w:jc w:val="both"/>
        <w:rPr>
          <w:sz w:val="22"/>
          <w:szCs w:val="22"/>
        </w:rPr>
      </w:pPr>
      <w:r w:rsidRPr="00444A10">
        <w:rPr>
          <w:sz w:val="22"/>
          <w:szCs w:val="22"/>
        </w:rPr>
        <w:t>na pořízení hmotného nebo nehmotného majetku,</w:t>
      </w:r>
    </w:p>
    <w:p w:rsidR="00806D11" w:rsidRPr="00444A10" w:rsidRDefault="00444A10">
      <w:pPr>
        <w:pStyle w:val="Zkladntext1"/>
        <w:numPr>
          <w:ilvl w:val="0"/>
          <w:numId w:val="3"/>
        </w:numPr>
        <w:tabs>
          <w:tab w:val="left" w:pos="1426"/>
        </w:tabs>
        <w:ind w:left="1080"/>
        <w:jc w:val="both"/>
        <w:rPr>
          <w:sz w:val="22"/>
          <w:szCs w:val="22"/>
        </w:rPr>
      </w:pPr>
      <w:r w:rsidRPr="00444A10">
        <w:rPr>
          <w:sz w:val="22"/>
          <w:szCs w:val="22"/>
        </w:rPr>
        <w:t>na služby,</w:t>
      </w:r>
    </w:p>
    <w:p w:rsidR="00806D11" w:rsidRPr="00444A10" w:rsidRDefault="00444A10">
      <w:pPr>
        <w:pStyle w:val="Zkladntext1"/>
        <w:numPr>
          <w:ilvl w:val="0"/>
          <w:numId w:val="3"/>
        </w:numPr>
        <w:tabs>
          <w:tab w:val="left" w:pos="1426"/>
        </w:tabs>
        <w:ind w:left="1080"/>
        <w:jc w:val="both"/>
        <w:rPr>
          <w:sz w:val="22"/>
          <w:szCs w:val="22"/>
        </w:rPr>
      </w:pPr>
      <w:r w:rsidRPr="00444A10">
        <w:rPr>
          <w:sz w:val="22"/>
          <w:szCs w:val="22"/>
        </w:rPr>
        <w:t>na další provozní náklady nebo výdaje,</w:t>
      </w:r>
    </w:p>
    <w:p w:rsidR="00806D11" w:rsidRPr="00444A10" w:rsidRDefault="00444A10">
      <w:pPr>
        <w:pStyle w:val="Zkladntext1"/>
        <w:numPr>
          <w:ilvl w:val="0"/>
          <w:numId w:val="3"/>
        </w:numPr>
        <w:tabs>
          <w:tab w:val="left" w:pos="1426"/>
        </w:tabs>
        <w:ind w:left="1400" w:hanging="320"/>
        <w:jc w:val="both"/>
        <w:rPr>
          <w:sz w:val="22"/>
          <w:szCs w:val="22"/>
        </w:rPr>
      </w:pPr>
      <w:r w:rsidRPr="00444A10">
        <w:rPr>
          <w:sz w:val="22"/>
          <w:szCs w:val="22"/>
        </w:rPr>
        <w:t>doplňkové do výše maximálně 20 % z částky běžných prostředků uvedených v Rozhodnutí,</w:t>
      </w:r>
    </w:p>
    <w:p w:rsidR="00806D11" w:rsidRPr="00444A10" w:rsidRDefault="00444A10">
      <w:pPr>
        <w:pStyle w:val="Zkladntext1"/>
        <w:ind w:left="700"/>
        <w:jc w:val="both"/>
        <w:rPr>
          <w:sz w:val="22"/>
          <w:szCs w:val="22"/>
        </w:rPr>
      </w:pPr>
      <w:r w:rsidRPr="00444A10">
        <w:rPr>
          <w:sz w:val="22"/>
          <w:szCs w:val="22"/>
        </w:rPr>
        <w:t xml:space="preserve">vynaložené na </w:t>
      </w:r>
      <w:proofErr w:type="spellStart"/>
      <w:r w:rsidRPr="00444A10">
        <w:rPr>
          <w:sz w:val="22"/>
          <w:szCs w:val="22"/>
        </w:rPr>
        <w:t>VaVal</w:t>
      </w:r>
      <w:proofErr w:type="spellEnd"/>
      <w:r w:rsidRPr="00444A10">
        <w:rPr>
          <w:sz w:val="22"/>
          <w:szCs w:val="22"/>
        </w:rPr>
        <w:t xml:space="preserve"> nebo v souvislosti s nimi, na šíření výsledků </w:t>
      </w:r>
      <w:proofErr w:type="spellStart"/>
      <w:r w:rsidRPr="00444A10">
        <w:rPr>
          <w:sz w:val="22"/>
          <w:szCs w:val="22"/>
        </w:rPr>
        <w:t>VaVal</w:t>
      </w:r>
      <w:proofErr w:type="spellEnd"/>
      <w:r w:rsidRPr="00444A10">
        <w:rPr>
          <w:sz w:val="22"/>
          <w:szCs w:val="22"/>
        </w:rPr>
        <w:t xml:space="preserve"> nebo na jejich ochranu podle zákonů upravujících ochranu výsledků autorské, vynálezecké nebo odborné činnosti.</w:t>
      </w:r>
    </w:p>
    <w:p w:rsidR="00806D11" w:rsidRPr="00444A10" w:rsidRDefault="00444A10">
      <w:pPr>
        <w:pStyle w:val="Zkladntext1"/>
        <w:numPr>
          <w:ilvl w:val="0"/>
          <w:numId w:val="2"/>
        </w:numPr>
        <w:tabs>
          <w:tab w:val="left" w:pos="746"/>
        </w:tabs>
        <w:ind w:left="700" w:hanging="340"/>
        <w:jc w:val="both"/>
        <w:rPr>
          <w:sz w:val="22"/>
          <w:szCs w:val="22"/>
        </w:rPr>
      </w:pPr>
      <w:r w:rsidRPr="00444A10">
        <w:rPr>
          <w:sz w:val="22"/>
          <w:szCs w:val="22"/>
        </w:rPr>
        <w:t xml:space="preserve">Při pořízení hmotného nebo nehmotného majetku lze do způsobilých nákladů zahrnout pouze takovou část nákladů na jeho pořízení, která odpovídá předpokládanému využití pro činnost ve </w:t>
      </w:r>
      <w:proofErr w:type="spellStart"/>
      <w:r w:rsidRPr="00444A10">
        <w:rPr>
          <w:sz w:val="22"/>
          <w:szCs w:val="22"/>
        </w:rPr>
        <w:t>VaVal</w:t>
      </w:r>
      <w:proofErr w:type="spellEnd"/>
      <w:r w:rsidRPr="00444A10">
        <w:rPr>
          <w:sz w:val="22"/>
          <w:szCs w:val="22"/>
        </w:rPr>
        <w:t>.</w:t>
      </w:r>
    </w:p>
    <w:p w:rsidR="00806D11" w:rsidRPr="00444A10" w:rsidRDefault="00444A10">
      <w:pPr>
        <w:pStyle w:val="Zkladntext1"/>
        <w:numPr>
          <w:ilvl w:val="0"/>
          <w:numId w:val="2"/>
        </w:numPr>
        <w:tabs>
          <w:tab w:val="left" w:pos="746"/>
        </w:tabs>
        <w:ind w:left="700" w:hanging="340"/>
        <w:jc w:val="both"/>
        <w:rPr>
          <w:sz w:val="22"/>
          <w:szCs w:val="22"/>
        </w:rPr>
      </w:pPr>
      <w:r w:rsidRPr="00444A10">
        <w:rPr>
          <w:sz w:val="22"/>
          <w:szCs w:val="22"/>
        </w:rPr>
        <w:t>Institucionální podporu lze užít výlučně k úhradě způsobilých nákladů za období od 1. ledna do 31. prosince daného roku a nelze ji převést do roku následujícího, pokud zvláštní právní předpis nestanoví jinak</w:t>
      </w:r>
      <w:r w:rsidRPr="00444A10">
        <w:rPr>
          <w:sz w:val="22"/>
          <w:szCs w:val="22"/>
          <w:vertAlign w:val="superscript"/>
        </w:rPr>
        <w:footnoteReference w:id="2"/>
      </w:r>
      <w:r w:rsidRPr="00444A10">
        <w:rPr>
          <w:sz w:val="22"/>
          <w:szCs w:val="22"/>
        </w:rPr>
        <w:t>. O způsobilých nákladech institucionální podpory je příjemce povinen vést oddělenou účetní evidenci. Způsob této evidence stanoví na základě zákona č. 563/1991 Sb., o účetnictví, ve znění pozdějších předpisů, příjemce.</w:t>
      </w:r>
    </w:p>
    <w:p w:rsidR="00806D11" w:rsidRDefault="00444A10">
      <w:pPr>
        <w:pStyle w:val="Zkladntext1"/>
        <w:numPr>
          <w:ilvl w:val="0"/>
          <w:numId w:val="2"/>
        </w:numPr>
        <w:tabs>
          <w:tab w:val="left" w:pos="746"/>
        </w:tabs>
        <w:ind w:left="700" w:hanging="340"/>
        <w:jc w:val="both"/>
        <w:rPr>
          <w:sz w:val="22"/>
          <w:szCs w:val="22"/>
        </w:rPr>
      </w:pPr>
      <w:r w:rsidRPr="00444A10">
        <w:rPr>
          <w:sz w:val="22"/>
          <w:szCs w:val="22"/>
        </w:rPr>
        <w:t>Příjemce je povinen užít institucionální podporu výhradně na účel, ke kterému mu byla poskytnuta, s prostředky institucionální podpory nakládat v souladu správními předpisy a Rozhodnutím správně, efektivně, hospodárně a účelně. Vymezení těchto pojmů obsahuje § 2 zákona č. 320/2001 Sb., o finanční kontrole ve veřejné správě a o změně některých zákonů (zákon o finanční kontrole), ve znění pozdějších předpisů.</w:t>
      </w:r>
    </w:p>
    <w:p w:rsidR="00444A10" w:rsidRPr="00444A10" w:rsidRDefault="00444A10" w:rsidP="00444A10">
      <w:pPr>
        <w:pStyle w:val="Zkladntext1"/>
        <w:tabs>
          <w:tab w:val="left" w:pos="746"/>
        </w:tabs>
        <w:ind w:left="700"/>
        <w:jc w:val="both"/>
        <w:rPr>
          <w:sz w:val="22"/>
          <w:szCs w:val="22"/>
        </w:rPr>
      </w:pPr>
    </w:p>
    <w:p w:rsidR="00806D11" w:rsidRPr="00444A10" w:rsidRDefault="00444A10">
      <w:pPr>
        <w:pStyle w:val="Zkladntext1"/>
        <w:numPr>
          <w:ilvl w:val="0"/>
          <w:numId w:val="2"/>
        </w:numPr>
        <w:tabs>
          <w:tab w:val="left" w:pos="677"/>
        </w:tabs>
        <w:spacing w:after="320"/>
        <w:ind w:left="660" w:hanging="320"/>
        <w:jc w:val="both"/>
        <w:rPr>
          <w:sz w:val="22"/>
          <w:szCs w:val="22"/>
        </w:rPr>
      </w:pPr>
      <w:r w:rsidRPr="00444A10">
        <w:rPr>
          <w:sz w:val="22"/>
          <w:szCs w:val="22"/>
        </w:rPr>
        <w:lastRenderedPageBreak/>
        <w:t>Příjemce je povinen institucionální podporu finančně vypořádat (dotaci zúčtovat) v souladu s vyhláškou č. 367/2015 Sb., o zásadách a lhůtách finančního vypořádání vztahů se státním rozpočtem, státními finančními aktivy a Národním fond</w:t>
      </w:r>
      <w:bookmarkStart w:id="6" w:name="_GoBack"/>
      <w:bookmarkEnd w:id="6"/>
      <w:r w:rsidRPr="00444A10">
        <w:rPr>
          <w:sz w:val="22"/>
          <w:szCs w:val="22"/>
        </w:rPr>
        <w:t>em (vyhláška o finančním vypořádání).</w:t>
      </w:r>
    </w:p>
    <w:p w:rsidR="00806D11" w:rsidRPr="00444A10" w:rsidRDefault="00444A10">
      <w:pPr>
        <w:pStyle w:val="Nadpis20"/>
        <w:keepNext/>
        <w:keepLines/>
        <w:rPr>
          <w:sz w:val="22"/>
          <w:szCs w:val="22"/>
        </w:rPr>
      </w:pPr>
      <w:bookmarkStart w:id="7" w:name="bookmark14"/>
      <w:r w:rsidRPr="00444A10">
        <w:rPr>
          <w:sz w:val="22"/>
          <w:szCs w:val="22"/>
        </w:rPr>
        <w:t>Článek 3</w:t>
      </w:r>
      <w:bookmarkEnd w:id="7"/>
    </w:p>
    <w:p w:rsidR="00806D11" w:rsidRPr="00444A10" w:rsidRDefault="00444A10">
      <w:pPr>
        <w:pStyle w:val="Nadpis20"/>
        <w:keepNext/>
        <w:keepLines/>
        <w:rPr>
          <w:sz w:val="22"/>
          <w:szCs w:val="22"/>
        </w:rPr>
      </w:pPr>
      <w:r w:rsidRPr="00444A10">
        <w:rPr>
          <w:sz w:val="22"/>
          <w:szCs w:val="22"/>
        </w:rPr>
        <w:t>Vlastnictví majetku</w:t>
      </w:r>
    </w:p>
    <w:p w:rsidR="00806D11" w:rsidRPr="00444A10" w:rsidRDefault="00444A10">
      <w:pPr>
        <w:pStyle w:val="Zkladntext1"/>
        <w:ind w:left="660" w:hanging="320"/>
        <w:jc w:val="both"/>
        <w:rPr>
          <w:sz w:val="22"/>
          <w:szCs w:val="22"/>
        </w:rPr>
      </w:pPr>
      <w:r w:rsidRPr="00444A10">
        <w:rPr>
          <w:sz w:val="22"/>
          <w:szCs w:val="22"/>
        </w:rPr>
        <w:t>1. Vlastníkem hmotného nebo nehmotného majetku pořízeného z institucionální podpory (dále jen „majetek") je příjemce, pokud v odstavci 2 není uvedeno jinak.</w:t>
      </w:r>
    </w:p>
    <w:p w:rsidR="00806D11" w:rsidRPr="00444A10" w:rsidRDefault="00444A10">
      <w:pPr>
        <w:pStyle w:val="Zkladntext1"/>
        <w:spacing w:after="320"/>
        <w:ind w:left="660" w:hanging="320"/>
        <w:jc w:val="both"/>
        <w:rPr>
          <w:sz w:val="22"/>
          <w:szCs w:val="22"/>
        </w:rPr>
      </w:pPr>
      <w:r w:rsidRPr="00444A10">
        <w:rPr>
          <w:sz w:val="22"/>
          <w:szCs w:val="22"/>
        </w:rPr>
        <w:t>2. Pokud se na pořízení majetku kromě příjemce podílejí třetí osoby, je příjemce povinen provést taková opatření nebo uzavřít takové smlouvy, aby vlastnický podíl příjemce na majetku odpovídal alespoň podílu příjemce na jeho pořízení.</w:t>
      </w:r>
    </w:p>
    <w:p w:rsidR="00806D11" w:rsidRPr="00444A10" w:rsidRDefault="00444A10">
      <w:pPr>
        <w:pStyle w:val="Nadpis20"/>
        <w:keepNext/>
        <w:keepLines/>
        <w:rPr>
          <w:sz w:val="22"/>
          <w:szCs w:val="22"/>
        </w:rPr>
      </w:pPr>
      <w:bookmarkStart w:id="8" w:name="bookmark17"/>
      <w:r w:rsidRPr="00444A10">
        <w:rPr>
          <w:sz w:val="22"/>
          <w:szCs w:val="22"/>
        </w:rPr>
        <w:t>Článek 4</w:t>
      </w:r>
      <w:bookmarkEnd w:id="8"/>
    </w:p>
    <w:p w:rsidR="00806D11" w:rsidRPr="00444A10" w:rsidRDefault="00444A10">
      <w:pPr>
        <w:pStyle w:val="Nadpis20"/>
        <w:keepNext/>
        <w:keepLines/>
        <w:rPr>
          <w:sz w:val="22"/>
          <w:szCs w:val="22"/>
        </w:rPr>
      </w:pPr>
      <w:r w:rsidRPr="00444A10">
        <w:rPr>
          <w:sz w:val="22"/>
          <w:szCs w:val="22"/>
        </w:rPr>
        <w:t>Práva k výsledkům jejich ochrana, využití a hodnocení</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 xml:space="preserve">Práva k výsledkům </w:t>
      </w:r>
      <w:proofErr w:type="spellStart"/>
      <w:r w:rsidRPr="00444A10">
        <w:rPr>
          <w:sz w:val="22"/>
          <w:szCs w:val="22"/>
        </w:rPr>
        <w:t>VaVal</w:t>
      </w:r>
      <w:proofErr w:type="spellEnd"/>
      <w:r w:rsidRPr="00444A10">
        <w:rPr>
          <w:sz w:val="22"/>
          <w:szCs w:val="22"/>
        </w:rPr>
        <w:t xml:space="preserve"> dosaženým z institucionální podpory (dále jen „výsledky") náleží příjemci. Práva autorů a původců výsledků a majitelů ochranných práv k nim jsou upravena zvláštními právními předpisy.</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Mohou-li si u příjemce činit nároky na práva k výsledkům třetí osoby, musí příjemce provést taková opatření nebo uzavřít takové smlouvy, aby tato práva byla vykonávána v souladu s jeho vlastními závazky vyplývajícími z Rozhodnutí.</w:t>
      </w:r>
    </w:p>
    <w:p w:rsidR="00806D11" w:rsidRPr="00444A10" w:rsidRDefault="00444A10">
      <w:pPr>
        <w:pStyle w:val="Zkladntext1"/>
        <w:numPr>
          <w:ilvl w:val="0"/>
          <w:numId w:val="4"/>
        </w:numPr>
        <w:tabs>
          <w:tab w:val="left" w:pos="677"/>
        </w:tabs>
        <w:ind w:firstLine="320"/>
        <w:jc w:val="both"/>
        <w:rPr>
          <w:sz w:val="22"/>
          <w:szCs w:val="22"/>
        </w:rPr>
      </w:pPr>
      <w:r w:rsidRPr="00444A10">
        <w:rPr>
          <w:sz w:val="22"/>
          <w:szCs w:val="22"/>
        </w:rPr>
        <w:t>Příjemce je povinen nakládání s výsledky upravit svým vnitřním předpisem.</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Příjemce je povinen zajistit, aby výsledky, k nimž má majetková práva, a které mohou být využity, byly přiměřeně a účinně chráněny.</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Příjemce je povinen výsledky, k nimž má majetková práva, využít nebo umožnit jejich využití. Výsledky lze využít pouze veřejným šířením na nevýlučném a nediskriminačním základě formou výuky, publikací nebo transferu znalostí.</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Je-li výsledkem patentový vynález, vztahuje se na něj ustanovení o zaměstnaneckých vynálezech a majitel patentu je povinen učinit nabídku licence podle zvláštních právních předpisů.</w:t>
      </w:r>
    </w:p>
    <w:p w:rsidR="00806D11" w:rsidRPr="00444A10" w:rsidRDefault="00444A10">
      <w:pPr>
        <w:pStyle w:val="Zkladntext1"/>
        <w:numPr>
          <w:ilvl w:val="0"/>
          <w:numId w:val="4"/>
        </w:numPr>
        <w:tabs>
          <w:tab w:val="left" w:pos="677"/>
        </w:tabs>
        <w:ind w:left="660" w:hanging="320"/>
        <w:jc w:val="both"/>
        <w:rPr>
          <w:sz w:val="22"/>
          <w:szCs w:val="22"/>
        </w:rPr>
      </w:pPr>
      <w:r w:rsidRPr="00444A10">
        <w:rPr>
          <w:sz w:val="22"/>
          <w:szCs w:val="22"/>
        </w:rPr>
        <w:t>Postoupí-li příjemce majetková práva k výsledkům třetím osobám, zajistí odpovídajícími opatřeními nebo smlouvami, aby jeho závazky přešly na nového nositele práv tak, aby byly zajištěny zájmy poskytovatele vyplývající z Rozhodnutí.</w:t>
      </w:r>
    </w:p>
    <w:p w:rsidR="00806D11" w:rsidRPr="00444A10" w:rsidRDefault="00444A10">
      <w:pPr>
        <w:pStyle w:val="Zkladntext1"/>
        <w:numPr>
          <w:ilvl w:val="0"/>
          <w:numId w:val="4"/>
        </w:numPr>
        <w:tabs>
          <w:tab w:val="left" w:pos="677"/>
        </w:tabs>
        <w:ind w:left="660" w:hanging="320"/>
        <w:jc w:val="both"/>
        <w:rPr>
          <w:sz w:val="22"/>
          <w:szCs w:val="22"/>
        </w:rPr>
        <w:sectPr w:rsidR="00806D11" w:rsidRPr="00444A10">
          <w:pgSz w:w="11900" w:h="16840"/>
          <w:pgMar w:top="1676" w:right="1650" w:bottom="1547" w:left="1330" w:header="1248" w:footer="1119" w:gutter="0"/>
          <w:pgNumType w:start="1"/>
          <w:cols w:space="720"/>
          <w:noEndnote/>
          <w:docGrid w:linePitch="360"/>
          <w15:footnoteColumns w:val="1"/>
        </w:sectPr>
      </w:pPr>
      <w:r w:rsidRPr="00444A10">
        <w:rPr>
          <w:sz w:val="22"/>
          <w:szCs w:val="22"/>
        </w:rPr>
        <w:t xml:space="preserve">Výsledky předané a zařazené do informačního systému </w:t>
      </w:r>
      <w:proofErr w:type="spellStart"/>
      <w:r w:rsidRPr="00444A10">
        <w:rPr>
          <w:sz w:val="22"/>
          <w:szCs w:val="22"/>
        </w:rPr>
        <w:t>VaVal</w:t>
      </w:r>
      <w:proofErr w:type="spellEnd"/>
      <w:r w:rsidRPr="00444A10">
        <w:rPr>
          <w:sz w:val="22"/>
          <w:szCs w:val="22"/>
        </w:rPr>
        <w:t xml:space="preserve"> se zahrnují do hodnocení výsledků VO prováděného Radou pro </w:t>
      </w:r>
      <w:proofErr w:type="spellStart"/>
      <w:r w:rsidRPr="00444A10">
        <w:rPr>
          <w:sz w:val="22"/>
          <w:szCs w:val="22"/>
        </w:rPr>
        <w:t>VaVal</w:t>
      </w:r>
      <w:proofErr w:type="spellEnd"/>
      <w:r w:rsidRPr="00444A10">
        <w:rPr>
          <w:sz w:val="22"/>
          <w:szCs w:val="22"/>
        </w:rPr>
        <w:t xml:space="preserve"> podle § 35 odst. 2 písm. d) zákona č. 130/2002 Sb.</w:t>
      </w:r>
    </w:p>
    <w:p w:rsidR="00806D11" w:rsidRPr="00444A10" w:rsidRDefault="00444A10">
      <w:pPr>
        <w:pStyle w:val="Nadpis20"/>
        <w:keepNext/>
        <w:keepLines/>
        <w:spacing w:after="80" w:line="240" w:lineRule="auto"/>
        <w:rPr>
          <w:sz w:val="22"/>
          <w:szCs w:val="22"/>
        </w:rPr>
      </w:pPr>
      <w:bookmarkStart w:id="9" w:name="bookmark20"/>
      <w:r w:rsidRPr="00444A10">
        <w:rPr>
          <w:sz w:val="22"/>
          <w:szCs w:val="22"/>
        </w:rPr>
        <w:lastRenderedPageBreak/>
        <w:t>Článek 5</w:t>
      </w:r>
      <w:bookmarkEnd w:id="9"/>
    </w:p>
    <w:p w:rsidR="00806D11" w:rsidRPr="00444A10" w:rsidRDefault="00444A10">
      <w:pPr>
        <w:pStyle w:val="Nadpis20"/>
        <w:keepNext/>
        <w:keepLines/>
        <w:spacing w:after="80" w:line="240" w:lineRule="auto"/>
        <w:rPr>
          <w:sz w:val="22"/>
          <w:szCs w:val="22"/>
        </w:rPr>
      </w:pPr>
      <w:r w:rsidRPr="00444A10">
        <w:rPr>
          <w:sz w:val="22"/>
          <w:szCs w:val="22"/>
        </w:rPr>
        <w:t>Kontrola</w:t>
      </w:r>
    </w:p>
    <w:p w:rsidR="00806D11" w:rsidRPr="00444A10" w:rsidRDefault="00444A10">
      <w:pPr>
        <w:pStyle w:val="Zkladntext1"/>
        <w:numPr>
          <w:ilvl w:val="0"/>
          <w:numId w:val="5"/>
        </w:numPr>
        <w:tabs>
          <w:tab w:val="left" w:pos="720"/>
        </w:tabs>
        <w:ind w:left="700" w:hanging="320"/>
        <w:jc w:val="both"/>
        <w:rPr>
          <w:sz w:val="22"/>
          <w:szCs w:val="22"/>
        </w:rPr>
      </w:pPr>
      <w:r w:rsidRPr="00444A10">
        <w:rPr>
          <w:sz w:val="22"/>
          <w:szCs w:val="22"/>
        </w:rPr>
        <w:t>Poskytovatel je oprávněn provádět kontrolu užití institucionální podpory, včetně kontroly čerpání, využití a účelnosti způsobilých nákladů a kontroly využití výsledků, kontrolu plnění podmínek Rozhodnutí a finanční kontrolu podle zákona č. 320/2001 Sb., o finanční kontrole ve veřejné správě a o změně některých zákonů (zákon o finanční kontrole), ve znění pozdějších předpisů (dále jen „zákon č. 320/2001 Sb.")/ a to až po dobu tří let následujících po roce poskytnutí institucionální podpory.</w:t>
      </w:r>
    </w:p>
    <w:p w:rsidR="00806D11" w:rsidRPr="00444A10" w:rsidRDefault="00444A10">
      <w:pPr>
        <w:pStyle w:val="Zkladntext1"/>
        <w:numPr>
          <w:ilvl w:val="0"/>
          <w:numId w:val="5"/>
        </w:numPr>
        <w:tabs>
          <w:tab w:val="left" w:pos="720"/>
        </w:tabs>
        <w:ind w:left="700" w:hanging="320"/>
        <w:jc w:val="both"/>
        <w:rPr>
          <w:sz w:val="22"/>
          <w:szCs w:val="22"/>
        </w:rPr>
      </w:pPr>
      <w:r w:rsidRPr="00444A10">
        <w:rPr>
          <w:sz w:val="22"/>
          <w:szCs w:val="22"/>
        </w:rPr>
        <w:t xml:space="preserve">Příjemce je povinen osobám pověřeným poskytovatelem provedením kontroly zajistit přístup na pracoviště příjemce, k osobám podílejícím se na </w:t>
      </w:r>
      <w:proofErr w:type="spellStart"/>
      <w:r w:rsidRPr="00444A10">
        <w:rPr>
          <w:sz w:val="22"/>
          <w:szCs w:val="22"/>
        </w:rPr>
        <w:t>VaVal</w:t>
      </w:r>
      <w:proofErr w:type="spellEnd"/>
      <w:r w:rsidRPr="00444A10">
        <w:rPr>
          <w:sz w:val="22"/>
          <w:szCs w:val="22"/>
        </w:rPr>
        <w:t xml:space="preserve"> podporovaných z institucionální podpory a k účetní evidenci a všem dalším dokumentům, počítačovým záznamům a zařízením, které </w:t>
      </w:r>
      <w:proofErr w:type="spellStart"/>
      <w:r w:rsidRPr="00444A10">
        <w:rPr>
          <w:sz w:val="22"/>
          <w:szCs w:val="22"/>
        </w:rPr>
        <w:t>ktéto</w:t>
      </w:r>
      <w:proofErr w:type="spellEnd"/>
      <w:r w:rsidRPr="00444A10">
        <w:rPr>
          <w:sz w:val="22"/>
          <w:szCs w:val="22"/>
        </w:rPr>
        <w:t xml:space="preserve"> podpoře přísluší. Povinnosti příjemce při finanční kontrole stanoví zákon č. 320/2001 Sb.</w:t>
      </w:r>
    </w:p>
    <w:p w:rsidR="00806D11" w:rsidRPr="00444A10" w:rsidRDefault="00444A10">
      <w:pPr>
        <w:pStyle w:val="Zkladntext1"/>
        <w:numPr>
          <w:ilvl w:val="0"/>
          <w:numId w:val="5"/>
        </w:numPr>
        <w:tabs>
          <w:tab w:val="left" w:pos="720"/>
        </w:tabs>
        <w:spacing w:after="320"/>
        <w:ind w:left="700" w:hanging="320"/>
        <w:jc w:val="both"/>
        <w:rPr>
          <w:sz w:val="22"/>
          <w:szCs w:val="22"/>
        </w:rPr>
      </w:pPr>
      <w:r w:rsidRPr="00444A10">
        <w:rPr>
          <w:sz w:val="22"/>
          <w:szCs w:val="22"/>
        </w:rPr>
        <w:t xml:space="preserve">Příjemce je povinen odpovídajícími opatřeními nebo smlouvami zajistit provedení kontroly podle odstavců 1 a 2 rovněž u VO jiné než příjemce, které příjemce hradil způsobilé náklady na činnosti ve </w:t>
      </w:r>
      <w:proofErr w:type="spellStart"/>
      <w:r w:rsidRPr="00444A10">
        <w:rPr>
          <w:sz w:val="22"/>
          <w:szCs w:val="22"/>
        </w:rPr>
        <w:t>VaVal</w:t>
      </w:r>
      <w:proofErr w:type="spellEnd"/>
      <w:r w:rsidRPr="00444A10">
        <w:rPr>
          <w:sz w:val="22"/>
          <w:szCs w:val="22"/>
        </w:rPr>
        <w:t xml:space="preserve"> podle článku 2 odst. 5 této Přílohy.</w:t>
      </w:r>
    </w:p>
    <w:p w:rsidR="00806D11" w:rsidRPr="00444A10" w:rsidRDefault="00444A10">
      <w:pPr>
        <w:pStyle w:val="Nadpis20"/>
        <w:keepNext/>
        <w:keepLines/>
        <w:rPr>
          <w:sz w:val="22"/>
          <w:szCs w:val="22"/>
        </w:rPr>
      </w:pPr>
      <w:bookmarkStart w:id="10" w:name="bookmark23"/>
      <w:r w:rsidRPr="00444A10">
        <w:rPr>
          <w:sz w:val="22"/>
          <w:szCs w:val="22"/>
        </w:rPr>
        <w:t>Článek 6</w:t>
      </w:r>
      <w:bookmarkEnd w:id="10"/>
    </w:p>
    <w:p w:rsidR="00806D11" w:rsidRPr="00444A10" w:rsidRDefault="00444A10">
      <w:pPr>
        <w:pStyle w:val="Nadpis20"/>
        <w:keepNext/>
        <w:keepLines/>
        <w:rPr>
          <w:sz w:val="22"/>
          <w:szCs w:val="22"/>
        </w:rPr>
      </w:pPr>
      <w:r w:rsidRPr="00444A10">
        <w:rPr>
          <w:sz w:val="22"/>
          <w:szCs w:val="22"/>
        </w:rPr>
        <w:t>Poskytování informací</w:t>
      </w:r>
    </w:p>
    <w:p w:rsidR="00806D11" w:rsidRPr="00444A10" w:rsidRDefault="00444A10">
      <w:pPr>
        <w:pStyle w:val="Zkladntext1"/>
        <w:numPr>
          <w:ilvl w:val="0"/>
          <w:numId w:val="6"/>
        </w:numPr>
        <w:tabs>
          <w:tab w:val="left" w:pos="720"/>
        </w:tabs>
        <w:ind w:left="700" w:hanging="320"/>
        <w:jc w:val="both"/>
        <w:rPr>
          <w:sz w:val="22"/>
          <w:szCs w:val="22"/>
        </w:rPr>
      </w:pPr>
      <w:r w:rsidRPr="00444A10">
        <w:rPr>
          <w:sz w:val="22"/>
          <w:szCs w:val="22"/>
        </w:rPr>
        <w:t xml:space="preserve">Příjemce je povinen poskytovat pravdivé a včasné informace o </w:t>
      </w:r>
      <w:proofErr w:type="spellStart"/>
      <w:r w:rsidRPr="00444A10">
        <w:rPr>
          <w:sz w:val="22"/>
          <w:szCs w:val="22"/>
        </w:rPr>
        <w:t>VaVal</w:t>
      </w:r>
      <w:proofErr w:type="spellEnd"/>
      <w:r w:rsidRPr="00444A10">
        <w:rPr>
          <w:sz w:val="22"/>
          <w:szCs w:val="22"/>
        </w:rPr>
        <w:t xml:space="preserve"> podpořených z institucionální podpory a o jejich výsledcích.</w:t>
      </w:r>
    </w:p>
    <w:p w:rsidR="00806D11" w:rsidRPr="00444A10" w:rsidRDefault="00444A10">
      <w:pPr>
        <w:pStyle w:val="Zkladntext1"/>
        <w:numPr>
          <w:ilvl w:val="0"/>
          <w:numId w:val="6"/>
        </w:numPr>
        <w:tabs>
          <w:tab w:val="left" w:pos="720"/>
        </w:tabs>
        <w:ind w:firstLine="340"/>
        <w:jc w:val="both"/>
        <w:rPr>
          <w:sz w:val="22"/>
          <w:szCs w:val="22"/>
        </w:rPr>
      </w:pPr>
      <w:r w:rsidRPr="00444A10">
        <w:rPr>
          <w:sz w:val="22"/>
          <w:szCs w:val="22"/>
        </w:rPr>
        <w:t>Příjemce plní povinnost poskytování informací podle odstavce 1</w:t>
      </w:r>
    </w:p>
    <w:p w:rsidR="00806D11" w:rsidRPr="00444A10" w:rsidRDefault="00444A10">
      <w:pPr>
        <w:pStyle w:val="Zkladntext1"/>
        <w:numPr>
          <w:ilvl w:val="0"/>
          <w:numId w:val="7"/>
        </w:numPr>
        <w:tabs>
          <w:tab w:val="left" w:pos="1409"/>
        </w:tabs>
        <w:ind w:left="1400" w:hanging="340"/>
        <w:jc w:val="both"/>
        <w:rPr>
          <w:sz w:val="22"/>
          <w:szCs w:val="22"/>
        </w:rPr>
      </w:pPr>
      <w:r w:rsidRPr="00444A10">
        <w:rPr>
          <w:sz w:val="22"/>
          <w:szCs w:val="22"/>
        </w:rPr>
        <w:t xml:space="preserve">předáním údajů, jejich formu, způsob a lhůty pro jejich předání stanoví zákon č. 130/2002 Sb. ve znění zákona č. 110/2009 Sb., a nařízení vlády č. 397/2009 Sb., o informačním systému </w:t>
      </w:r>
      <w:proofErr w:type="spellStart"/>
      <w:r w:rsidRPr="00444A10">
        <w:rPr>
          <w:sz w:val="22"/>
          <w:szCs w:val="22"/>
        </w:rPr>
        <w:t>VaVal</w:t>
      </w:r>
      <w:proofErr w:type="spellEnd"/>
      <w:r w:rsidRPr="00444A10">
        <w:rPr>
          <w:sz w:val="22"/>
          <w:szCs w:val="22"/>
        </w:rPr>
        <w:t xml:space="preserve"> (dále jen „nařízení vlády č. 397/2009 Sb.")</w:t>
      </w:r>
    </w:p>
    <w:p w:rsidR="00806D11" w:rsidRPr="00444A10" w:rsidRDefault="00444A10">
      <w:pPr>
        <w:pStyle w:val="Zkladntext1"/>
        <w:numPr>
          <w:ilvl w:val="0"/>
          <w:numId w:val="7"/>
        </w:numPr>
        <w:tabs>
          <w:tab w:val="left" w:pos="1409"/>
        </w:tabs>
        <w:ind w:left="1400" w:hanging="340"/>
        <w:jc w:val="both"/>
        <w:rPr>
          <w:sz w:val="22"/>
          <w:szCs w:val="22"/>
        </w:rPr>
      </w:pPr>
      <w:r w:rsidRPr="00444A10">
        <w:rPr>
          <w:sz w:val="22"/>
          <w:szCs w:val="22"/>
        </w:rPr>
        <w:t>předložením výroční zprávy o činnosti, výroční zprávy o hospodaření a průběžné zprávy o plnění DKRVO 2018-2022, nebo jiných obdobných dokumentů podle zvláštního právního předpisu</w:t>
      </w:r>
      <w:r w:rsidRPr="00444A10">
        <w:rPr>
          <w:sz w:val="22"/>
          <w:szCs w:val="22"/>
          <w:vertAlign w:val="superscript"/>
        </w:rPr>
        <w:t>3</w:t>
      </w:r>
      <w:r w:rsidRPr="00444A10">
        <w:rPr>
          <w:sz w:val="22"/>
          <w:szCs w:val="22"/>
        </w:rPr>
        <w:t xml:space="preserve"> poskytovateli.</w:t>
      </w:r>
    </w:p>
    <w:p w:rsidR="00806D11" w:rsidRPr="00444A10" w:rsidRDefault="00444A10">
      <w:pPr>
        <w:pStyle w:val="Zkladntext1"/>
        <w:numPr>
          <w:ilvl w:val="0"/>
          <w:numId w:val="6"/>
        </w:numPr>
        <w:tabs>
          <w:tab w:val="left" w:pos="720"/>
        </w:tabs>
        <w:ind w:left="700" w:hanging="320"/>
        <w:jc w:val="both"/>
        <w:rPr>
          <w:sz w:val="22"/>
          <w:szCs w:val="22"/>
        </w:rPr>
      </w:pPr>
      <w:r w:rsidRPr="00444A10">
        <w:rPr>
          <w:sz w:val="22"/>
          <w:szCs w:val="22"/>
        </w:rPr>
        <w:t xml:space="preserve">Pokud jsou </w:t>
      </w:r>
      <w:proofErr w:type="spellStart"/>
      <w:r w:rsidRPr="00444A10">
        <w:rPr>
          <w:sz w:val="22"/>
          <w:szCs w:val="22"/>
        </w:rPr>
        <w:t>VaVal</w:t>
      </w:r>
      <w:proofErr w:type="spellEnd"/>
      <w:r w:rsidRPr="00444A10">
        <w:rPr>
          <w:sz w:val="22"/>
          <w:szCs w:val="22"/>
        </w:rPr>
        <w:t xml:space="preserve"> podporované z institucionální podpory předmětem zákonem stanovené nebo uznané povinnosti mlčenlivosti, poskytne příjemce informace o prováděném </w:t>
      </w:r>
      <w:proofErr w:type="spellStart"/>
      <w:r w:rsidRPr="00444A10">
        <w:rPr>
          <w:sz w:val="22"/>
          <w:szCs w:val="22"/>
        </w:rPr>
        <w:t>VaVal</w:t>
      </w:r>
      <w:proofErr w:type="spellEnd"/>
      <w:r w:rsidRPr="00444A10">
        <w:rPr>
          <w:sz w:val="22"/>
          <w:szCs w:val="22"/>
        </w:rPr>
        <w:t xml:space="preserve"> a jejich výsledcích s vyloučením těch informací, o nichž to stanoví zákon.</w:t>
      </w:r>
    </w:p>
    <w:p w:rsidR="00806D11" w:rsidRPr="00444A10" w:rsidRDefault="00444A10">
      <w:pPr>
        <w:pStyle w:val="Zkladntext1"/>
        <w:numPr>
          <w:ilvl w:val="0"/>
          <w:numId w:val="6"/>
        </w:numPr>
        <w:tabs>
          <w:tab w:val="left" w:pos="720"/>
        </w:tabs>
        <w:ind w:left="700" w:hanging="320"/>
        <w:jc w:val="both"/>
        <w:rPr>
          <w:sz w:val="22"/>
          <w:szCs w:val="22"/>
        </w:rPr>
      </w:pPr>
      <w:r w:rsidRPr="00444A10">
        <w:rPr>
          <w:sz w:val="22"/>
          <w:szCs w:val="22"/>
        </w:rPr>
        <w:t>Příjemce je povinen neprodleně informovat poskytovatele o každé změně údajů rozhodných pro poskytnutí institucionální podpory.</w:t>
      </w:r>
    </w:p>
    <w:p w:rsidR="00806D11" w:rsidRPr="00444A10" w:rsidRDefault="00444A10">
      <w:pPr>
        <w:pStyle w:val="Zkladntext1"/>
        <w:numPr>
          <w:ilvl w:val="0"/>
          <w:numId w:val="6"/>
        </w:numPr>
        <w:tabs>
          <w:tab w:val="left" w:pos="720"/>
        </w:tabs>
        <w:spacing w:after="40"/>
        <w:ind w:left="700" w:hanging="320"/>
        <w:jc w:val="both"/>
        <w:rPr>
          <w:sz w:val="21"/>
          <w:szCs w:val="21"/>
        </w:rPr>
      </w:pPr>
      <w:r w:rsidRPr="00444A10">
        <w:rPr>
          <w:sz w:val="21"/>
          <w:szCs w:val="21"/>
        </w:rPr>
        <w:t>Příjemce je povinen nejpozději do 15, listopadu daného roku informovat poskytovatele o předpokládané výši institucionální podpory, která nebude do 31. prosince daného roku vyčerpána. Pokud bude předpokládaná výše nečerpané institucionální podpory větší než 5 %, stanoví poskytovatel výši vratký a uloží její převedení na výdajový účet poskytovatele v termínu nejpozději do 30. prosince daného roku. Nesplnění těchto povinností může být důvodem pro neposkytnutí institucionální podpory v následujícím kalendářním roce.</w:t>
      </w:r>
    </w:p>
    <w:p w:rsidR="00806D11" w:rsidRPr="00444A10" w:rsidRDefault="00444A10">
      <w:pPr>
        <w:pStyle w:val="Nadpis20"/>
        <w:keepNext/>
        <w:keepLines/>
        <w:spacing w:line="314" w:lineRule="auto"/>
        <w:rPr>
          <w:sz w:val="22"/>
          <w:szCs w:val="22"/>
        </w:rPr>
      </w:pPr>
      <w:bookmarkStart w:id="11" w:name="bookmark26"/>
      <w:r w:rsidRPr="00444A10">
        <w:rPr>
          <w:sz w:val="22"/>
          <w:szCs w:val="22"/>
        </w:rPr>
        <w:lastRenderedPageBreak/>
        <w:t>Článek 7</w:t>
      </w:r>
      <w:bookmarkEnd w:id="11"/>
    </w:p>
    <w:p w:rsidR="00806D11" w:rsidRPr="00444A10" w:rsidRDefault="00444A10">
      <w:pPr>
        <w:pStyle w:val="Nadpis20"/>
        <w:keepNext/>
        <w:keepLines/>
        <w:spacing w:line="314" w:lineRule="auto"/>
        <w:rPr>
          <w:sz w:val="22"/>
          <w:szCs w:val="22"/>
        </w:rPr>
      </w:pPr>
      <w:r w:rsidRPr="00444A10">
        <w:rPr>
          <w:sz w:val="22"/>
          <w:szCs w:val="22"/>
        </w:rPr>
        <w:t>Odnětí institucionální podpory</w:t>
      </w:r>
    </w:p>
    <w:p w:rsidR="00806D11" w:rsidRPr="00444A10" w:rsidRDefault="00444A10">
      <w:pPr>
        <w:pStyle w:val="Zkladntext1"/>
        <w:numPr>
          <w:ilvl w:val="0"/>
          <w:numId w:val="8"/>
        </w:numPr>
        <w:tabs>
          <w:tab w:val="left" w:pos="684"/>
        </w:tabs>
        <w:spacing w:line="314" w:lineRule="auto"/>
        <w:ind w:left="680" w:hanging="340"/>
        <w:jc w:val="both"/>
        <w:rPr>
          <w:sz w:val="22"/>
          <w:szCs w:val="22"/>
        </w:rPr>
      </w:pPr>
      <w:r w:rsidRPr="00444A10">
        <w:rPr>
          <w:sz w:val="22"/>
          <w:szCs w:val="22"/>
        </w:rPr>
        <w:t>Poskytovatel může zahájit řízení o odnětí institucionální podpory podle § 15 odst. 1 zákona č. 218/2000 Sb. dojde-li po vydání Rozhodnutí</w:t>
      </w:r>
    </w:p>
    <w:p w:rsidR="00806D11" w:rsidRPr="00444A10" w:rsidRDefault="00444A10">
      <w:pPr>
        <w:pStyle w:val="Zkladntext1"/>
        <w:numPr>
          <w:ilvl w:val="0"/>
          <w:numId w:val="9"/>
        </w:numPr>
        <w:tabs>
          <w:tab w:val="left" w:pos="1413"/>
        </w:tabs>
        <w:spacing w:line="314" w:lineRule="auto"/>
        <w:ind w:left="1040"/>
        <w:jc w:val="both"/>
        <w:rPr>
          <w:sz w:val="22"/>
          <w:szCs w:val="22"/>
        </w:rPr>
      </w:pPr>
      <w:r w:rsidRPr="00444A10">
        <w:rPr>
          <w:sz w:val="22"/>
          <w:szCs w:val="22"/>
        </w:rPr>
        <w:t>k vázání prostředků státního rozpočtu,</w:t>
      </w:r>
    </w:p>
    <w:p w:rsidR="00806D11" w:rsidRPr="00444A10" w:rsidRDefault="00444A10">
      <w:pPr>
        <w:pStyle w:val="Zkladntext1"/>
        <w:numPr>
          <w:ilvl w:val="0"/>
          <w:numId w:val="9"/>
        </w:numPr>
        <w:tabs>
          <w:tab w:val="left" w:pos="1413"/>
        </w:tabs>
        <w:spacing w:line="314" w:lineRule="auto"/>
        <w:ind w:left="1400" w:hanging="340"/>
        <w:jc w:val="both"/>
        <w:rPr>
          <w:sz w:val="22"/>
          <w:szCs w:val="22"/>
        </w:rPr>
      </w:pPr>
      <w:r w:rsidRPr="00444A10">
        <w:rPr>
          <w:sz w:val="22"/>
          <w:szCs w:val="22"/>
        </w:rPr>
        <w:t>ke zjištění, že údaje, na jejichž základě byla institucionální podpora poskytnuta, byly neúplné nebo nepravdivé,</w:t>
      </w:r>
    </w:p>
    <w:p w:rsidR="00806D11" w:rsidRPr="00444A10" w:rsidRDefault="00444A10">
      <w:pPr>
        <w:pStyle w:val="Zkladntext1"/>
        <w:numPr>
          <w:ilvl w:val="0"/>
          <w:numId w:val="9"/>
        </w:numPr>
        <w:tabs>
          <w:tab w:val="left" w:pos="1413"/>
        </w:tabs>
        <w:spacing w:line="314" w:lineRule="auto"/>
        <w:ind w:left="1400" w:hanging="340"/>
        <w:jc w:val="both"/>
        <w:rPr>
          <w:sz w:val="22"/>
          <w:szCs w:val="22"/>
        </w:rPr>
      </w:pPr>
      <w:r w:rsidRPr="00444A10">
        <w:rPr>
          <w:sz w:val="22"/>
          <w:szCs w:val="22"/>
        </w:rPr>
        <w:t>ke zjištění, že Rozhodnutí bylo vydáno v rozporu se zákonem nebo právem Evropské unie,</w:t>
      </w:r>
    </w:p>
    <w:p w:rsidR="00806D11" w:rsidRPr="00444A10" w:rsidRDefault="00444A10">
      <w:pPr>
        <w:pStyle w:val="Zkladntext1"/>
        <w:numPr>
          <w:ilvl w:val="0"/>
          <w:numId w:val="9"/>
        </w:numPr>
        <w:tabs>
          <w:tab w:val="left" w:pos="1413"/>
        </w:tabs>
        <w:spacing w:line="314" w:lineRule="auto"/>
        <w:ind w:left="1400" w:hanging="340"/>
        <w:jc w:val="both"/>
        <w:rPr>
          <w:sz w:val="22"/>
          <w:szCs w:val="22"/>
        </w:rPr>
      </w:pPr>
      <w:r w:rsidRPr="00444A10">
        <w:rPr>
          <w:sz w:val="22"/>
          <w:szCs w:val="22"/>
        </w:rPr>
        <w:t>ke zjištění, že nemůže být splněn řádně nebo včas účel, na který byla podpora na RVO poskytnuta, pokud již nedošlo k porušení rozpočtové kázně,</w:t>
      </w:r>
    </w:p>
    <w:p w:rsidR="00806D11" w:rsidRPr="00444A10" w:rsidRDefault="00444A10">
      <w:pPr>
        <w:pStyle w:val="Zkladntext1"/>
        <w:numPr>
          <w:ilvl w:val="0"/>
          <w:numId w:val="9"/>
        </w:numPr>
        <w:tabs>
          <w:tab w:val="left" w:pos="1413"/>
        </w:tabs>
        <w:spacing w:line="314" w:lineRule="auto"/>
        <w:ind w:left="1400" w:hanging="340"/>
        <w:jc w:val="both"/>
        <w:rPr>
          <w:sz w:val="22"/>
          <w:szCs w:val="22"/>
        </w:rPr>
      </w:pPr>
      <w:r w:rsidRPr="00444A10">
        <w:rPr>
          <w:sz w:val="22"/>
          <w:szCs w:val="22"/>
        </w:rPr>
        <w:t>k vydání rozhodnutí Evropské komise o navrácení nebo o prozatímním navrácení veřejné podpory,</w:t>
      </w:r>
    </w:p>
    <w:p w:rsidR="00806D11" w:rsidRPr="00444A10" w:rsidRDefault="00444A10">
      <w:pPr>
        <w:pStyle w:val="Zkladntext1"/>
        <w:numPr>
          <w:ilvl w:val="0"/>
          <w:numId w:val="9"/>
        </w:numPr>
        <w:tabs>
          <w:tab w:val="left" w:pos="1413"/>
        </w:tabs>
        <w:spacing w:line="314" w:lineRule="auto"/>
        <w:ind w:left="1040"/>
        <w:jc w:val="both"/>
        <w:rPr>
          <w:sz w:val="22"/>
          <w:szCs w:val="22"/>
        </w:rPr>
      </w:pPr>
      <w:r w:rsidRPr="00444A10">
        <w:rPr>
          <w:sz w:val="22"/>
          <w:szCs w:val="22"/>
        </w:rPr>
        <w:t>ke zjištění, že byl umožněn výkon nelegální práce</w:t>
      </w:r>
      <w:r w:rsidRPr="00444A10">
        <w:rPr>
          <w:sz w:val="22"/>
          <w:szCs w:val="22"/>
          <w:vertAlign w:val="superscript"/>
        </w:rPr>
        <w:footnoteReference w:id="3"/>
      </w:r>
      <w:r w:rsidRPr="00444A10">
        <w:rPr>
          <w:sz w:val="22"/>
          <w:szCs w:val="22"/>
        </w:rPr>
        <w:t>.</w:t>
      </w:r>
    </w:p>
    <w:p w:rsidR="00806D11" w:rsidRPr="00444A10" w:rsidRDefault="00444A10">
      <w:pPr>
        <w:pStyle w:val="Zkladntext1"/>
        <w:numPr>
          <w:ilvl w:val="0"/>
          <w:numId w:val="8"/>
        </w:numPr>
        <w:tabs>
          <w:tab w:val="left" w:pos="684"/>
        </w:tabs>
        <w:spacing w:line="314" w:lineRule="auto"/>
        <w:ind w:firstLine="340"/>
        <w:jc w:val="both"/>
        <w:rPr>
          <w:sz w:val="22"/>
          <w:szCs w:val="22"/>
        </w:rPr>
      </w:pPr>
      <w:r w:rsidRPr="00444A10">
        <w:rPr>
          <w:sz w:val="22"/>
          <w:szCs w:val="22"/>
        </w:rPr>
        <w:t>Na řízení podle tohoto článku odstavce 1 se vztahují obecné předpisy o správním řízení.</w:t>
      </w:r>
    </w:p>
    <w:p w:rsidR="00806D11" w:rsidRPr="00444A10" w:rsidRDefault="00444A10">
      <w:pPr>
        <w:pStyle w:val="Zkladntext1"/>
        <w:numPr>
          <w:ilvl w:val="0"/>
          <w:numId w:val="8"/>
        </w:numPr>
        <w:tabs>
          <w:tab w:val="left" w:pos="684"/>
        </w:tabs>
        <w:spacing w:after="320" w:line="314" w:lineRule="auto"/>
        <w:ind w:left="680" w:hanging="340"/>
        <w:jc w:val="both"/>
        <w:rPr>
          <w:sz w:val="22"/>
          <w:szCs w:val="22"/>
        </w:rPr>
      </w:pPr>
      <w:r w:rsidRPr="00444A10">
        <w:rPr>
          <w:sz w:val="22"/>
          <w:szCs w:val="22"/>
        </w:rPr>
        <w:t>Bylo-li rozhodnuto odnětí institucionální podpory z důvodů uvedených v odstavci 1 písm. a) a c), není možné uložit vrácení institucionální podpory nebo její části, která již byla příjemci z účtu státního rozpočtu odeslána.</w:t>
      </w:r>
    </w:p>
    <w:p w:rsidR="00806D11" w:rsidRPr="00444A10" w:rsidRDefault="00444A10">
      <w:pPr>
        <w:pStyle w:val="Nadpis20"/>
        <w:keepNext/>
        <w:keepLines/>
        <w:rPr>
          <w:sz w:val="22"/>
          <w:szCs w:val="22"/>
        </w:rPr>
      </w:pPr>
      <w:bookmarkStart w:id="12" w:name="bookmark29"/>
      <w:r w:rsidRPr="00444A10">
        <w:rPr>
          <w:sz w:val="22"/>
          <w:szCs w:val="22"/>
        </w:rPr>
        <w:t>Článek 8</w:t>
      </w:r>
      <w:r w:rsidRPr="00444A10">
        <w:rPr>
          <w:sz w:val="22"/>
          <w:szCs w:val="22"/>
        </w:rPr>
        <w:br/>
        <w:t>Řešení sporů</w:t>
      </w:r>
      <w:bookmarkEnd w:id="12"/>
    </w:p>
    <w:p w:rsidR="00806D11" w:rsidRPr="00444A10" w:rsidRDefault="00444A10">
      <w:pPr>
        <w:pStyle w:val="Zkladntext1"/>
        <w:spacing w:after="320"/>
        <w:ind w:left="340"/>
        <w:jc w:val="both"/>
        <w:rPr>
          <w:sz w:val="22"/>
          <w:szCs w:val="22"/>
        </w:rPr>
      </w:pPr>
      <w:r w:rsidRPr="00444A10">
        <w:rPr>
          <w:sz w:val="22"/>
          <w:szCs w:val="22"/>
        </w:rPr>
        <w:t xml:space="preserve">Spory mezi příjemcem a poskytovatelem vznikající z Rozhodnutí a v souvislosti </w:t>
      </w:r>
      <w:proofErr w:type="gramStart"/>
      <w:r w:rsidRPr="00444A10">
        <w:rPr>
          <w:sz w:val="22"/>
          <w:szCs w:val="22"/>
        </w:rPr>
        <w:t>sním budou</w:t>
      </w:r>
      <w:proofErr w:type="gramEnd"/>
      <w:r w:rsidRPr="00444A10">
        <w:rPr>
          <w:sz w:val="22"/>
          <w:szCs w:val="22"/>
        </w:rPr>
        <w:t xml:space="preserve"> řešeny podle obecně závazných právních předpisů.</w:t>
      </w:r>
    </w:p>
    <w:p w:rsidR="00806D11" w:rsidRPr="00444A10" w:rsidRDefault="00444A10">
      <w:pPr>
        <w:pStyle w:val="Nadpis20"/>
        <w:keepNext/>
        <w:keepLines/>
        <w:rPr>
          <w:sz w:val="22"/>
          <w:szCs w:val="22"/>
        </w:rPr>
      </w:pPr>
      <w:bookmarkStart w:id="13" w:name="bookmark31"/>
      <w:r w:rsidRPr="00444A10">
        <w:rPr>
          <w:sz w:val="22"/>
          <w:szCs w:val="22"/>
        </w:rPr>
        <w:t>Článek 9</w:t>
      </w:r>
      <w:bookmarkEnd w:id="13"/>
    </w:p>
    <w:p w:rsidR="00806D11" w:rsidRPr="00444A10" w:rsidRDefault="00444A10">
      <w:pPr>
        <w:pStyle w:val="Nadpis20"/>
        <w:keepNext/>
        <w:keepLines/>
        <w:rPr>
          <w:sz w:val="22"/>
          <w:szCs w:val="22"/>
        </w:rPr>
      </w:pPr>
      <w:r w:rsidRPr="00444A10">
        <w:rPr>
          <w:sz w:val="22"/>
          <w:szCs w:val="22"/>
        </w:rPr>
        <w:t>Sankce</w:t>
      </w:r>
    </w:p>
    <w:p w:rsidR="00806D11" w:rsidRPr="00444A10" w:rsidRDefault="00444A10">
      <w:pPr>
        <w:pStyle w:val="Zkladntext1"/>
        <w:numPr>
          <w:ilvl w:val="0"/>
          <w:numId w:val="10"/>
        </w:numPr>
        <w:tabs>
          <w:tab w:val="left" w:pos="684"/>
        </w:tabs>
        <w:ind w:left="680" w:hanging="340"/>
        <w:jc w:val="both"/>
        <w:rPr>
          <w:sz w:val="22"/>
          <w:szCs w:val="22"/>
        </w:rPr>
      </w:pPr>
      <w:r w:rsidRPr="00444A10">
        <w:rPr>
          <w:sz w:val="22"/>
          <w:szCs w:val="22"/>
        </w:rPr>
        <w:t>Použití institucionální podpory v rozporu s podmínkami stanovenými právními předpisy nebo Rozhodnutím se považuje za porušení rozpočtové kázně podle § 44 odst. 1 písm. b) zákona č. 218/2000 Sb.</w:t>
      </w:r>
    </w:p>
    <w:p w:rsidR="00806D11" w:rsidRPr="00444A10" w:rsidRDefault="00444A10">
      <w:pPr>
        <w:pStyle w:val="Zkladntext1"/>
        <w:numPr>
          <w:ilvl w:val="0"/>
          <w:numId w:val="10"/>
        </w:numPr>
        <w:tabs>
          <w:tab w:val="left" w:pos="684"/>
        </w:tabs>
        <w:ind w:left="680" w:hanging="340"/>
        <w:jc w:val="both"/>
        <w:rPr>
          <w:sz w:val="22"/>
          <w:szCs w:val="22"/>
        </w:rPr>
      </w:pPr>
      <w:r w:rsidRPr="00444A10">
        <w:rPr>
          <w:sz w:val="22"/>
          <w:szCs w:val="22"/>
        </w:rPr>
        <w:t>Porušení rozpočtové kázně bude řešeno podle § 44a odst. 3 písm. a), § 44a odst. 4 písm. b) a § 44a odst. 7 zákona č. 218/2000 Sb. Odpovědnost podle zvláštního právního předpisu není tímto dotčena.</w:t>
      </w:r>
    </w:p>
    <w:p w:rsidR="00806D11" w:rsidRPr="00444A10" w:rsidRDefault="00444A10">
      <w:pPr>
        <w:pStyle w:val="Zkladntext1"/>
        <w:numPr>
          <w:ilvl w:val="0"/>
          <w:numId w:val="10"/>
        </w:numPr>
        <w:tabs>
          <w:tab w:val="left" w:pos="684"/>
        </w:tabs>
        <w:ind w:left="680" w:hanging="340"/>
        <w:jc w:val="both"/>
        <w:rPr>
          <w:sz w:val="22"/>
          <w:szCs w:val="22"/>
        </w:rPr>
      </w:pPr>
      <w:r w:rsidRPr="00444A10">
        <w:rPr>
          <w:sz w:val="22"/>
          <w:szCs w:val="22"/>
        </w:rPr>
        <w:t xml:space="preserve">V případě, že příjemce předá do informačního systému </w:t>
      </w:r>
      <w:proofErr w:type="spellStart"/>
      <w:r w:rsidRPr="00444A10">
        <w:rPr>
          <w:sz w:val="22"/>
          <w:szCs w:val="22"/>
        </w:rPr>
        <w:t>VaVal</w:t>
      </w:r>
      <w:proofErr w:type="spellEnd"/>
      <w:r w:rsidRPr="00444A10">
        <w:rPr>
          <w:sz w:val="22"/>
          <w:szCs w:val="22"/>
        </w:rPr>
        <w:t xml:space="preserve"> údaje, které neodpovídají definici datových prvků, sníží poskytovatel příjemci institucionální podpory.</w:t>
      </w:r>
    </w:p>
    <w:p w:rsidR="00806D11" w:rsidRPr="00444A10" w:rsidRDefault="00444A10">
      <w:pPr>
        <w:pStyle w:val="Nadpis20"/>
        <w:keepNext/>
        <w:keepLines/>
        <w:spacing w:after="60" w:line="240" w:lineRule="auto"/>
        <w:rPr>
          <w:sz w:val="22"/>
          <w:szCs w:val="22"/>
        </w:rPr>
      </w:pPr>
      <w:bookmarkStart w:id="14" w:name="bookmark34"/>
      <w:r w:rsidRPr="00444A10">
        <w:rPr>
          <w:sz w:val="22"/>
          <w:szCs w:val="22"/>
        </w:rPr>
        <w:lastRenderedPageBreak/>
        <w:t>Článek 10</w:t>
      </w:r>
      <w:bookmarkEnd w:id="14"/>
    </w:p>
    <w:p w:rsidR="00806D11" w:rsidRPr="00444A10" w:rsidRDefault="00444A10">
      <w:pPr>
        <w:pStyle w:val="Nadpis20"/>
        <w:keepNext/>
        <w:keepLines/>
        <w:spacing w:after="60" w:line="240" w:lineRule="auto"/>
        <w:rPr>
          <w:sz w:val="22"/>
          <w:szCs w:val="22"/>
        </w:rPr>
      </w:pPr>
      <w:r w:rsidRPr="00444A10">
        <w:rPr>
          <w:sz w:val="22"/>
          <w:szCs w:val="22"/>
        </w:rPr>
        <w:t>Změna Rozhodnutí</w:t>
      </w:r>
    </w:p>
    <w:p w:rsidR="00806D11" w:rsidRPr="00444A10" w:rsidRDefault="00444A10">
      <w:pPr>
        <w:pStyle w:val="Zkladntext1"/>
        <w:spacing w:after="400" w:line="240" w:lineRule="auto"/>
        <w:ind w:firstLine="340"/>
        <w:rPr>
          <w:sz w:val="22"/>
          <w:szCs w:val="22"/>
        </w:rPr>
      </w:pPr>
      <w:r w:rsidRPr="00444A10">
        <w:rPr>
          <w:sz w:val="22"/>
          <w:szCs w:val="22"/>
        </w:rPr>
        <w:t>Rozhodnutí může být změněno pouze novou Změnou rozhodnutí poskytovatele.</w:t>
      </w:r>
    </w:p>
    <w:p w:rsidR="00806D11" w:rsidRPr="00444A10" w:rsidRDefault="00444A10">
      <w:pPr>
        <w:pStyle w:val="Nadpis20"/>
        <w:keepNext/>
        <w:keepLines/>
        <w:spacing w:after="60" w:line="240" w:lineRule="auto"/>
        <w:rPr>
          <w:sz w:val="22"/>
          <w:szCs w:val="22"/>
        </w:rPr>
      </w:pPr>
      <w:bookmarkStart w:id="15" w:name="bookmark37"/>
      <w:r w:rsidRPr="00444A10">
        <w:rPr>
          <w:sz w:val="22"/>
          <w:szCs w:val="22"/>
        </w:rPr>
        <w:t>Článek 11</w:t>
      </w:r>
      <w:bookmarkEnd w:id="15"/>
    </w:p>
    <w:p w:rsidR="00806D11" w:rsidRPr="00444A10" w:rsidRDefault="00444A10">
      <w:pPr>
        <w:pStyle w:val="Nadpis20"/>
        <w:keepNext/>
        <w:keepLines/>
        <w:spacing w:after="60" w:line="240" w:lineRule="auto"/>
        <w:rPr>
          <w:sz w:val="22"/>
          <w:szCs w:val="22"/>
        </w:rPr>
      </w:pPr>
      <w:r w:rsidRPr="00444A10">
        <w:rPr>
          <w:sz w:val="22"/>
          <w:szCs w:val="22"/>
        </w:rPr>
        <w:t>Vyhotovení</w:t>
      </w:r>
    </w:p>
    <w:p w:rsidR="00806D11" w:rsidRPr="00444A10" w:rsidRDefault="00444A10">
      <w:pPr>
        <w:pStyle w:val="Zkladntext1"/>
        <w:spacing w:after="400" w:line="240" w:lineRule="auto"/>
        <w:ind w:firstLine="340"/>
        <w:rPr>
          <w:sz w:val="22"/>
          <w:szCs w:val="22"/>
        </w:rPr>
      </w:pPr>
      <w:r w:rsidRPr="00444A10">
        <w:rPr>
          <w:sz w:val="22"/>
          <w:szCs w:val="22"/>
        </w:rPr>
        <w:t>Rozhodnutí je sepsáno ve dvou vyhotoveních, z nichž po jednom obdrží poskytovatel a příjemce.</w:t>
      </w:r>
    </w:p>
    <w:p w:rsidR="00806D11" w:rsidRPr="00444A10" w:rsidRDefault="00444A10">
      <w:pPr>
        <w:pStyle w:val="Nadpis20"/>
        <w:keepNext/>
        <w:keepLines/>
        <w:spacing w:after="60" w:line="240" w:lineRule="auto"/>
        <w:rPr>
          <w:sz w:val="22"/>
          <w:szCs w:val="22"/>
        </w:rPr>
      </w:pPr>
      <w:bookmarkStart w:id="16" w:name="bookmark40"/>
      <w:r w:rsidRPr="00444A10">
        <w:rPr>
          <w:sz w:val="22"/>
          <w:szCs w:val="22"/>
        </w:rPr>
        <w:t>Článek 12</w:t>
      </w:r>
      <w:bookmarkEnd w:id="16"/>
    </w:p>
    <w:p w:rsidR="00806D11" w:rsidRPr="00444A10" w:rsidRDefault="00444A10">
      <w:pPr>
        <w:pStyle w:val="Nadpis20"/>
        <w:keepNext/>
        <w:keepLines/>
        <w:spacing w:after="60" w:line="240" w:lineRule="auto"/>
        <w:rPr>
          <w:sz w:val="22"/>
          <w:szCs w:val="22"/>
        </w:rPr>
      </w:pPr>
      <w:r w:rsidRPr="00444A10">
        <w:rPr>
          <w:sz w:val="22"/>
          <w:szCs w:val="22"/>
        </w:rPr>
        <w:t>Závěrečná ustanovení</w:t>
      </w:r>
    </w:p>
    <w:p w:rsidR="00806D11" w:rsidRPr="00444A10" w:rsidRDefault="00444A10">
      <w:pPr>
        <w:pStyle w:val="Zkladntext1"/>
        <w:numPr>
          <w:ilvl w:val="0"/>
          <w:numId w:val="11"/>
        </w:numPr>
        <w:tabs>
          <w:tab w:val="left" w:pos="709"/>
        </w:tabs>
        <w:ind w:left="680" w:hanging="300"/>
        <w:rPr>
          <w:sz w:val="22"/>
          <w:szCs w:val="22"/>
        </w:rPr>
      </w:pPr>
      <w:r w:rsidRPr="00444A10">
        <w:rPr>
          <w:sz w:val="22"/>
          <w:szCs w:val="22"/>
        </w:rPr>
        <w:t>Na Rozhodnutí se nevztahují obecné předpisy o správním řízení, nelze proti němu podat rozklad a je vyloučeno jeho soudní přezkoumání podle zákona č. 150/2002 Sb., soudní řád správní, ve znění pozdějších předpisů.</w:t>
      </w:r>
    </w:p>
    <w:p w:rsidR="00806D11" w:rsidRPr="00444A10" w:rsidRDefault="00444A10">
      <w:pPr>
        <w:pStyle w:val="Zkladntext1"/>
        <w:numPr>
          <w:ilvl w:val="0"/>
          <w:numId w:val="11"/>
        </w:numPr>
        <w:tabs>
          <w:tab w:val="left" w:pos="713"/>
        </w:tabs>
        <w:ind w:left="680" w:hanging="300"/>
        <w:rPr>
          <w:sz w:val="22"/>
          <w:szCs w:val="22"/>
        </w:rPr>
      </w:pPr>
      <w:r w:rsidRPr="00444A10">
        <w:rPr>
          <w:sz w:val="22"/>
          <w:szCs w:val="22"/>
        </w:rPr>
        <w:t>Vztahy Rozhodnutím neupravené se řídí zákonem č. 218/2000 Sb., zákonem č. 130/2002 Sb. ve znění zákona č. 110/2009 Sb., nařízením vlády č. 397/2009 Sb. a dalšími obecně závaznými právními předpisy.</w:t>
      </w:r>
    </w:p>
    <w:p w:rsidR="00806D11" w:rsidRPr="00444A10" w:rsidRDefault="00444A10">
      <w:pPr>
        <w:pStyle w:val="Zkladntext1"/>
        <w:numPr>
          <w:ilvl w:val="0"/>
          <w:numId w:val="11"/>
        </w:numPr>
        <w:tabs>
          <w:tab w:val="left" w:pos="709"/>
        </w:tabs>
        <w:spacing w:after="60"/>
        <w:ind w:firstLine="340"/>
        <w:rPr>
          <w:sz w:val="22"/>
          <w:szCs w:val="22"/>
        </w:rPr>
      </w:pPr>
      <w:r w:rsidRPr="00444A10">
        <w:rPr>
          <w:sz w:val="22"/>
          <w:szCs w:val="22"/>
        </w:rPr>
        <w:t>Rozhodnutí nabývá účinnosti a je vykonatelné dnem vydání Rozhodnutí.</w:t>
      </w:r>
    </w:p>
    <w:sectPr w:rsidR="00806D11" w:rsidRPr="00444A10">
      <w:footerReference w:type="even" r:id="rId8"/>
      <w:footerReference w:type="default" r:id="rId9"/>
      <w:footerReference w:type="first" r:id="rId10"/>
      <w:pgSz w:w="11900" w:h="16840"/>
      <w:pgMar w:top="1676" w:right="1650" w:bottom="1547" w:left="1330" w:header="0" w:footer="3"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F2" w:rsidRDefault="00444A10">
      <w:r>
        <w:separator/>
      </w:r>
    </w:p>
  </w:endnote>
  <w:endnote w:type="continuationSeparator" w:id="0">
    <w:p w:rsidR="00840BF2" w:rsidRDefault="0044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11" w:rsidRDefault="00806D1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11" w:rsidRDefault="00444A1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967740</wp:posOffset>
              </wp:positionH>
              <wp:positionV relativeFrom="page">
                <wp:posOffset>9774555</wp:posOffset>
              </wp:positionV>
              <wp:extent cx="3243580" cy="102870"/>
              <wp:effectExtent l="0" t="0" r="0" b="0"/>
              <wp:wrapNone/>
              <wp:docPr id="2" name="Shape 2"/>
              <wp:cNvGraphicFramePr/>
              <a:graphic xmlns:a="http://schemas.openxmlformats.org/drawingml/2006/main">
                <a:graphicData uri="http://schemas.microsoft.com/office/word/2010/wordprocessingShape">
                  <wps:wsp>
                    <wps:cNvSpPr txBox="1"/>
                    <wps:spPr>
                      <a:xfrm>
                        <a:off x="0" y="0"/>
                        <a:ext cx="3243580" cy="102870"/>
                      </a:xfrm>
                      <a:prstGeom prst="rect">
                        <a:avLst/>
                      </a:prstGeom>
                      <a:noFill/>
                    </wps:spPr>
                    <wps:txbx>
                      <w:txbxContent>
                        <w:p w:rsidR="00806D11" w:rsidRDefault="00444A10">
                          <w:pPr>
                            <w:pStyle w:val="Zhlavnebozpat20"/>
                            <w:rPr>
                              <w:sz w:val="17"/>
                              <w:szCs w:val="17"/>
                            </w:rPr>
                          </w:pPr>
                          <w:r>
                            <w:rPr>
                              <w:rFonts w:ascii="Calibri" w:eastAsia="Calibri" w:hAnsi="Calibri" w:cs="Calibri"/>
                              <w:sz w:val="17"/>
                              <w:szCs w:val="17"/>
                            </w:rPr>
                            <w:t>Zákon č. 435/2004 Sb., o zaměstnanosti, ve znění pozdějších předpisů.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76.2pt;margin-top:769.65pt;width:255.4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" filled="f" stroked="f">
              <v:textbox style="mso-fit-shape-to-text:t" inset="0,0,0,0">
                <w:txbxContent>
                  <w:p w:rsidR="00806D11" w:rsidRDefault="00444A10">
                    <w:pPr>
                      <w:pStyle w:val="Zhlavnebozpat20"/>
                      <w:rPr>
                        <w:sz w:val="17"/>
                        <w:szCs w:val="17"/>
                      </w:rPr>
                    </w:pPr>
                    <w:r>
                      <w:rPr>
                        <w:rFonts w:ascii="Calibri" w:eastAsia="Calibri" w:hAnsi="Calibri" w:cs="Calibri"/>
                        <w:sz w:val="17"/>
                        <w:szCs w:val="17"/>
                      </w:rPr>
                      <w:t>Zákon č. 435/2004 Sb., o zaměstnanosti, ve znění pozdějších předpisů.</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11" w:rsidRDefault="00444A1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906145</wp:posOffset>
              </wp:positionH>
              <wp:positionV relativeFrom="page">
                <wp:posOffset>9774555</wp:posOffset>
              </wp:positionV>
              <wp:extent cx="4137660" cy="132715"/>
              <wp:effectExtent l="0" t="0" r="0" b="0"/>
              <wp:wrapNone/>
              <wp:docPr id="4" name="Shape 4"/>
              <wp:cNvGraphicFramePr/>
              <a:graphic xmlns:a="http://schemas.openxmlformats.org/drawingml/2006/main">
                <a:graphicData uri="http://schemas.microsoft.com/office/word/2010/wordprocessingShape">
                  <wps:wsp>
                    <wps:cNvSpPr txBox="1"/>
                    <wps:spPr>
                      <a:xfrm>
                        <a:off x="0" y="0"/>
                        <a:ext cx="4137660" cy="132715"/>
                      </a:xfrm>
                      <a:prstGeom prst="rect">
                        <a:avLst/>
                      </a:prstGeom>
                      <a:noFill/>
                    </wps:spPr>
                    <wps:txbx>
                      <w:txbxContent>
                        <w:p w:rsidR="00806D11" w:rsidRDefault="00444A10">
                          <w:pPr>
                            <w:pStyle w:val="Zhlavnebozpat20"/>
                            <w:rPr>
                              <w:sz w:val="17"/>
                              <w:szCs w:val="17"/>
                            </w:rPr>
                          </w:pPr>
                          <w:r>
                            <w:rPr>
                              <w:rFonts w:ascii="Calibri" w:eastAsia="Calibri" w:hAnsi="Calibri" w:cs="Calibri"/>
                              <w:sz w:val="17"/>
                              <w:szCs w:val="17"/>
                              <w:vertAlign w:val="superscript"/>
                            </w:rPr>
                            <w:t>3</w:t>
                          </w:r>
                          <w:r>
                            <w:rPr>
                              <w:rFonts w:ascii="Calibri" w:eastAsia="Calibri" w:hAnsi="Calibri" w:cs="Calibri"/>
                              <w:sz w:val="17"/>
                              <w:szCs w:val="17"/>
                            </w:rPr>
                            <w:t xml:space="preserve"> Zákon č. 341/2005 Sb., o veřejných výzkumných institucích, ve znění pozdějších předpisů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1.35pt;margin-top:769.65pt;width:325.8pt;height:10.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" filled="f" stroked="f">
              <v:textbox style="mso-fit-shape-to-text:t" inset="0,0,0,0">
                <w:txbxContent>
                  <w:p w:rsidR="00806D11" w:rsidRDefault="00444A10">
                    <w:pPr>
                      <w:pStyle w:val="Zhlavnebozpat20"/>
                      <w:rPr>
                        <w:sz w:val="17"/>
                        <w:szCs w:val="17"/>
                      </w:rPr>
                    </w:pPr>
                    <w:r>
                      <w:rPr>
                        <w:rFonts w:ascii="Calibri" w:eastAsia="Calibri" w:hAnsi="Calibri" w:cs="Calibri"/>
                        <w:sz w:val="17"/>
                        <w:szCs w:val="17"/>
                        <w:vertAlign w:val="superscript"/>
                      </w:rPr>
                      <w:t>3</w:t>
                    </w:r>
                    <w:r>
                      <w:rPr>
                        <w:rFonts w:ascii="Calibri" w:eastAsia="Calibri" w:hAnsi="Calibri" w:cs="Calibri"/>
                        <w:sz w:val="17"/>
                        <w:szCs w:val="17"/>
                      </w:rPr>
                      <w:t xml:space="preserve"> Zákon č. 341/2005 Sb., o veřejných výzkumných institucích, ve znění pozdějších předpisů</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11" w:rsidRDefault="00444A10">
      <w:r>
        <w:separator/>
      </w:r>
    </w:p>
  </w:footnote>
  <w:footnote w:type="continuationSeparator" w:id="0">
    <w:p w:rsidR="00806D11" w:rsidRDefault="00444A10">
      <w:r>
        <w:continuationSeparator/>
      </w:r>
    </w:p>
  </w:footnote>
  <w:footnote w:id="1">
    <w:p w:rsidR="00806D11" w:rsidRDefault="00444A10">
      <w:pPr>
        <w:pStyle w:val="Poznmkapodarou0"/>
        <w:spacing w:line="240" w:lineRule="auto"/>
        <w:ind w:firstLine="0"/>
      </w:pPr>
      <w:r>
        <w:rPr>
          <w:vertAlign w:val="superscript"/>
        </w:rPr>
        <w:footnoteRef/>
      </w:r>
      <w:r>
        <w:t xml:space="preserve"> Např. Sdělení komise - Rámec pro státní podporu výzkumu, vývoje a inovací (2014/C 198/01).</w:t>
      </w:r>
    </w:p>
  </w:footnote>
  <w:footnote w:id="2">
    <w:p w:rsidR="00806D11" w:rsidRDefault="00444A10">
      <w:pPr>
        <w:pStyle w:val="Poznmkapodarou0"/>
        <w:jc w:val="both"/>
      </w:pPr>
      <w:r>
        <w:t>§ 18 odst. 9 a 10 zákona č. 111/1998 Sb., o vysokých školách a o změně a doplnění dalších zákonů (zákon o vysokých školách), ve znění pozdějších předpisů, § 26 zákona č. 341/2005 Sb., o veřejných výzkumných institucích, ve znění pozdějších předpisů.</w:t>
      </w:r>
    </w:p>
  </w:footnote>
  <w:footnote w:id="3">
    <w:p w:rsidR="00806D11" w:rsidRDefault="00444A10">
      <w:pPr>
        <w:pStyle w:val="Poznmkapodarou0"/>
        <w:spacing w:line="240" w:lineRule="auto"/>
        <w:ind w:firstLine="0"/>
        <w:jc w:val="both"/>
      </w:pPr>
      <w: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04F2"/>
    <w:multiLevelType w:val="multilevel"/>
    <w:tmpl w:val="BE8EE1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F0720"/>
    <w:multiLevelType w:val="multilevel"/>
    <w:tmpl w:val="007263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240EE"/>
    <w:multiLevelType w:val="multilevel"/>
    <w:tmpl w:val="3AC617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E5346"/>
    <w:multiLevelType w:val="multilevel"/>
    <w:tmpl w:val="D68A0E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486A8D"/>
    <w:multiLevelType w:val="multilevel"/>
    <w:tmpl w:val="08A623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D163EB"/>
    <w:multiLevelType w:val="multilevel"/>
    <w:tmpl w:val="F7700E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C571F2"/>
    <w:multiLevelType w:val="multilevel"/>
    <w:tmpl w:val="4D8A22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A3662"/>
    <w:multiLevelType w:val="multilevel"/>
    <w:tmpl w:val="121C14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2423B"/>
    <w:multiLevelType w:val="multilevel"/>
    <w:tmpl w:val="04628A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43DF7"/>
    <w:multiLevelType w:val="multilevel"/>
    <w:tmpl w:val="B93829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1A00B3"/>
    <w:multiLevelType w:val="multilevel"/>
    <w:tmpl w:val="2752CD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1"/>
  </w:num>
  <w:num w:numId="5">
    <w:abstractNumId w:val="9"/>
  </w:num>
  <w:num w:numId="6">
    <w:abstractNumId w:val="8"/>
  </w:num>
  <w:num w:numId="7">
    <w:abstractNumId w:val="0"/>
  </w:num>
  <w:num w:numId="8">
    <w:abstractNumId w:val="1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11"/>
    <w:rsid w:val="00444A10"/>
    <w:rsid w:val="00806D11"/>
    <w:rsid w:val="00840BF2"/>
    <w:rsid w:val="008F7D84"/>
    <w:rsid w:val="00E42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08943-7D6B-46AF-A41C-1C7E436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26"/>
      <w:szCs w:val="2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Poznmkapodarou0">
    <w:name w:val="Poznámka pod čarou"/>
    <w:basedOn w:val="Normln"/>
    <w:link w:val="Poznmkapodarou"/>
    <w:pPr>
      <w:spacing w:line="374" w:lineRule="auto"/>
      <w:ind w:firstLine="140"/>
    </w:pPr>
    <w:rPr>
      <w:rFonts w:ascii="Calibri" w:eastAsia="Calibri" w:hAnsi="Calibri" w:cs="Calibri"/>
      <w:sz w:val="17"/>
      <w:szCs w:val="17"/>
    </w:rPr>
  </w:style>
  <w:style w:type="paragraph" w:customStyle="1" w:styleId="Nadpis10">
    <w:name w:val="Nadpis #1"/>
    <w:basedOn w:val="Normln"/>
    <w:link w:val="Nadpis1"/>
    <w:pPr>
      <w:spacing w:after="320"/>
      <w:jc w:val="center"/>
      <w:outlineLvl w:val="0"/>
    </w:pPr>
    <w:rPr>
      <w:rFonts w:ascii="Calibri" w:eastAsia="Calibri" w:hAnsi="Calibri" w:cs="Calibri"/>
      <w:sz w:val="26"/>
      <w:szCs w:val="26"/>
    </w:rPr>
  </w:style>
  <w:style w:type="paragraph" w:customStyle="1" w:styleId="Jin0">
    <w:name w:val="Jiné"/>
    <w:basedOn w:val="Normln"/>
    <w:link w:val="Jin"/>
    <w:pPr>
      <w:spacing w:line="317" w:lineRule="auto"/>
    </w:pPr>
    <w:rPr>
      <w:rFonts w:ascii="Calibri" w:eastAsia="Calibri" w:hAnsi="Calibri" w:cs="Calibri"/>
      <w:sz w:val="20"/>
      <w:szCs w:val="20"/>
    </w:rPr>
  </w:style>
  <w:style w:type="paragraph" w:customStyle="1" w:styleId="Zkladntext1">
    <w:name w:val="Základní text1"/>
    <w:basedOn w:val="Normln"/>
    <w:link w:val="Zkladntext"/>
    <w:pPr>
      <w:spacing w:line="317" w:lineRule="auto"/>
    </w:pPr>
    <w:rPr>
      <w:rFonts w:ascii="Calibri" w:eastAsia="Calibri" w:hAnsi="Calibri" w:cs="Calibri"/>
      <w:sz w:val="20"/>
      <w:szCs w:val="20"/>
    </w:rPr>
  </w:style>
  <w:style w:type="paragraph" w:customStyle="1" w:styleId="Titulekobrzku0">
    <w:name w:val="Titulek obrázku"/>
    <w:basedOn w:val="Normln"/>
    <w:link w:val="Titulekobrzku"/>
    <w:rPr>
      <w:rFonts w:ascii="Calibri" w:eastAsia="Calibri" w:hAnsi="Calibri" w:cs="Calibri"/>
      <w:b/>
      <w:bCs/>
      <w:sz w:val="20"/>
      <w:szCs w:val="20"/>
    </w:rPr>
  </w:style>
  <w:style w:type="paragraph" w:customStyle="1" w:styleId="Titulektabulky0">
    <w:name w:val="Titulek tabulky"/>
    <w:basedOn w:val="Normln"/>
    <w:link w:val="Titulektabulky"/>
    <w:rPr>
      <w:rFonts w:ascii="Calibri" w:eastAsia="Calibri" w:hAnsi="Calibri" w:cs="Calibri"/>
      <w:b/>
      <w:bCs/>
      <w:sz w:val="20"/>
      <w:szCs w:val="20"/>
    </w:rPr>
  </w:style>
  <w:style w:type="paragraph" w:customStyle="1" w:styleId="Nadpis20">
    <w:name w:val="Nadpis #2"/>
    <w:basedOn w:val="Normln"/>
    <w:link w:val="Nadpis2"/>
    <w:pPr>
      <w:spacing w:line="317" w:lineRule="auto"/>
      <w:jc w:val="center"/>
      <w:outlineLvl w:val="1"/>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styleId="Titulek">
    <w:name w:val="caption"/>
    <w:basedOn w:val="Normln"/>
    <w:next w:val="Normln"/>
    <w:uiPriority w:val="35"/>
    <w:unhideWhenUsed/>
    <w:qFormat/>
    <w:rsid w:val="00E421D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2087</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Plášilová Iveta</cp:lastModifiedBy>
  <cp:revision>3</cp:revision>
  <dcterms:created xsi:type="dcterms:W3CDTF">2020-08-06T10:13:00Z</dcterms:created>
  <dcterms:modified xsi:type="dcterms:W3CDTF">2022-01-04T10:24:00Z</dcterms:modified>
</cp:coreProperties>
</file>