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021" w:rsidRDefault="008F64D4">
      <w:pPr>
        <w:pStyle w:val="Heading210"/>
        <w:framePr w:w="8429" w:h="781" w:hRule="exact" w:wrap="none" w:vAnchor="page" w:hAnchor="page" w:x="1717" w:y="1984"/>
        <w:shd w:val="clear" w:color="auto" w:fill="auto"/>
        <w:spacing w:after="0"/>
        <w:ind w:left="740"/>
      </w:pPr>
      <w:bookmarkStart w:id="0" w:name="bookmark0"/>
      <w:r>
        <w:t>SMLOUVA O PŘECHODU PRÁV A POVINNOSTÍ - PŘEDÁNÍ NEBYTOVÝCH PROSTOR DO UŽÍVÁNÍ</w:t>
      </w:r>
      <w:bookmarkEnd w:id="0"/>
    </w:p>
    <w:p w:rsidR="009A0021" w:rsidRDefault="008F64D4">
      <w:pPr>
        <w:pStyle w:val="Bodytext20"/>
        <w:framePr w:wrap="none" w:vAnchor="page" w:hAnchor="page" w:x="1717" w:y="3088"/>
        <w:shd w:val="clear" w:color="auto" w:fill="auto"/>
        <w:spacing w:before="0" w:after="0"/>
        <w:ind w:left="3320" w:firstLine="0"/>
      </w:pPr>
      <w:r>
        <w:t>uzavřená mezi</w:t>
      </w:r>
    </w:p>
    <w:p w:rsidR="009A0021" w:rsidRDefault="008F64D4">
      <w:pPr>
        <w:pStyle w:val="Bodytext20"/>
        <w:framePr w:w="8429" w:h="1282" w:hRule="exact" w:wrap="none" w:vAnchor="page" w:hAnchor="page" w:x="1717" w:y="3569"/>
        <w:shd w:val="clear" w:color="auto" w:fill="auto"/>
        <w:spacing w:before="0" w:after="0" w:line="245" w:lineRule="exact"/>
        <w:ind w:firstLine="0"/>
      </w:pPr>
      <w:r>
        <w:t>Předávající:</w:t>
      </w:r>
    </w:p>
    <w:p w:rsidR="009A0021" w:rsidRDefault="008F64D4">
      <w:pPr>
        <w:pStyle w:val="Bodytext20"/>
        <w:framePr w:w="8429" w:h="1282" w:hRule="exact" w:wrap="none" w:vAnchor="page" w:hAnchor="page" w:x="1717" w:y="3569"/>
        <w:shd w:val="clear" w:color="auto" w:fill="auto"/>
        <w:spacing w:before="0" w:after="0" w:line="245" w:lineRule="exact"/>
        <w:ind w:right="2940" w:firstLine="0"/>
      </w:pPr>
      <w:r>
        <w:rPr>
          <w:rStyle w:val="Bodytext210ptBold"/>
        </w:rPr>
        <w:t xml:space="preserve">Město Bruntál, </w:t>
      </w:r>
      <w:r>
        <w:t>Nádražní 994/20, 792 01 Bruntál zastoupené starostou Ing. Petrem Rysem, MBA IČ: 00295892, DIČ: CZ00295892 Bankovní spojení: KB Bruntál, 19-525771/0100</w:t>
      </w:r>
    </w:p>
    <w:p w:rsidR="009A0021" w:rsidRDefault="008F64D4">
      <w:pPr>
        <w:pStyle w:val="Bodytext20"/>
        <w:framePr w:w="8429" w:h="1282" w:hRule="exact" w:wrap="none" w:vAnchor="page" w:hAnchor="page" w:x="1717" w:y="5281"/>
        <w:shd w:val="clear" w:color="auto" w:fill="auto"/>
        <w:spacing w:before="0" w:after="0" w:line="240" w:lineRule="exact"/>
        <w:ind w:left="3980" w:firstLine="0"/>
      </w:pPr>
      <w:r>
        <w:t>a</w:t>
      </w:r>
    </w:p>
    <w:p w:rsidR="009A0021" w:rsidRDefault="008F64D4">
      <w:pPr>
        <w:pStyle w:val="Bodytext20"/>
        <w:framePr w:w="8429" w:h="1282" w:hRule="exact" w:wrap="none" w:vAnchor="page" w:hAnchor="page" w:x="1717" w:y="5281"/>
        <w:shd w:val="clear" w:color="auto" w:fill="auto"/>
        <w:spacing w:before="0" w:after="0" w:line="240" w:lineRule="exact"/>
        <w:ind w:firstLine="0"/>
      </w:pPr>
      <w:r>
        <w:t>Přejímající:</w:t>
      </w:r>
    </w:p>
    <w:p w:rsidR="009A0021" w:rsidRDefault="008F64D4">
      <w:pPr>
        <w:pStyle w:val="Bodytext20"/>
        <w:framePr w:w="8429" w:h="1282" w:hRule="exact" w:wrap="none" w:vAnchor="page" w:hAnchor="page" w:x="1717" w:y="5281"/>
        <w:shd w:val="clear" w:color="auto" w:fill="auto"/>
        <w:spacing w:before="0" w:after="0" w:line="240" w:lineRule="exact"/>
        <w:ind w:right="1720" w:firstLine="0"/>
      </w:pPr>
      <w:r>
        <w:rPr>
          <w:rStyle w:val="Bodytext210ptBold"/>
        </w:rPr>
        <w:t xml:space="preserve">Probační a mediační služba, </w:t>
      </w:r>
      <w:r>
        <w:t xml:space="preserve">Senovážné náměstí 995/1, 110 00 Praha 1 Zastoupená ředitelkou </w:t>
      </w:r>
      <w:r w:rsidR="00921F54">
        <w:t>xxxxxxxxxxxxxxxxxxxx</w:t>
      </w:r>
      <w:r>
        <w:t xml:space="preserve"> IČ: 70888060</w:t>
      </w:r>
    </w:p>
    <w:p w:rsidR="009A0021" w:rsidRDefault="008F64D4">
      <w:pPr>
        <w:pStyle w:val="Heading320"/>
        <w:framePr w:w="8429" w:h="2362" w:hRule="exact" w:wrap="none" w:vAnchor="page" w:hAnchor="page" w:x="1717" w:y="7219"/>
        <w:shd w:val="clear" w:color="auto" w:fill="auto"/>
        <w:spacing w:before="0"/>
        <w:ind w:left="40"/>
      </w:pPr>
      <w:bookmarkStart w:id="1" w:name="bookmark1"/>
      <w:r w:rsidRPr="008F64D4">
        <w:t>I</w:t>
      </w:r>
      <w:r>
        <w:t>.</w:t>
      </w:r>
      <w:bookmarkEnd w:id="1"/>
    </w:p>
    <w:p w:rsidR="009A0021" w:rsidRDefault="008F64D4">
      <w:pPr>
        <w:pStyle w:val="Bodytext20"/>
        <w:framePr w:w="8429" w:h="2362" w:hRule="exact" w:wrap="none" w:vAnchor="page" w:hAnchor="page" w:x="1717" w:y="7219"/>
        <w:shd w:val="clear" w:color="auto" w:fill="auto"/>
        <w:spacing w:before="0" w:after="314" w:line="254" w:lineRule="exact"/>
        <w:ind w:firstLine="0"/>
        <w:jc w:val="both"/>
      </w:pPr>
      <w:r>
        <w:t xml:space="preserve">Smluvní strany shodně konstatují, že je jím známo, že v souladu s rozhodnutím Rady města Bruntálu, kterým byl schválen nový Organizační řád (usnesení č. 2501/55R/2021 ze dne 26.05.2021) práva a povinnosti ze </w:t>
      </w:r>
      <w:r>
        <w:rPr>
          <w:rStyle w:val="Bodytext210ptBold"/>
        </w:rPr>
        <w:t xml:space="preserve">Smlouvy o předání nebytových prostor do užívání </w:t>
      </w:r>
      <w:r>
        <w:t xml:space="preserve">ze dne 30.01.2017, v platném znění, přecházejí </w:t>
      </w:r>
      <w:r>
        <w:rPr>
          <w:rStyle w:val="Bodytext210ptBold"/>
        </w:rPr>
        <w:t xml:space="preserve">s účinnosti od 01.01.2022 </w:t>
      </w:r>
      <w:r>
        <w:t>z Hospodářské správy města Bruntál, p.o. na Město Bruntál, a to postoupením smlouvy ve smyslu ustanovení § 1895 a násl. zákona č. 89/2012 S., občanský zákoník, v platném znění.</w:t>
      </w:r>
    </w:p>
    <w:p w:rsidR="009A0021" w:rsidRDefault="008F64D4">
      <w:pPr>
        <w:pStyle w:val="Bodytext20"/>
        <w:framePr w:w="8429" w:h="2362" w:hRule="exact" w:wrap="none" w:vAnchor="page" w:hAnchor="page" w:x="1717" w:y="7219"/>
        <w:shd w:val="clear" w:color="auto" w:fill="auto"/>
        <w:spacing w:before="0" w:after="0"/>
        <w:ind w:firstLine="0"/>
      </w:pPr>
      <w:r>
        <w:t>Přejímající s tímto postoupením výslovně souhlasí.</w:t>
      </w:r>
    </w:p>
    <w:p w:rsidR="009A0021" w:rsidRDefault="008F64D4">
      <w:pPr>
        <w:pStyle w:val="Heading110"/>
        <w:framePr w:w="8429" w:h="2408" w:hRule="exact" w:wrap="none" w:vAnchor="page" w:hAnchor="page" w:x="1717" w:y="9945"/>
        <w:shd w:val="clear" w:color="auto" w:fill="auto"/>
        <w:spacing w:before="0"/>
        <w:ind w:left="40"/>
      </w:pPr>
      <w:bookmarkStart w:id="2" w:name="bookmark2"/>
      <w:r w:rsidRPr="008F64D4">
        <w:rPr>
          <w:rFonts w:ascii="Times New Roman" w:hAnsi="Times New Roman" w:cs="Times New Roman"/>
          <w:sz w:val="20"/>
          <w:szCs w:val="20"/>
        </w:rPr>
        <w:t>II</w:t>
      </w:r>
      <w:bookmarkEnd w:id="2"/>
      <w:r>
        <w:rPr>
          <w:rFonts w:ascii="Times New Roman" w:hAnsi="Times New Roman" w:cs="Times New Roman"/>
          <w:sz w:val="20"/>
          <w:szCs w:val="20"/>
        </w:rPr>
        <w:t>.</w:t>
      </w:r>
    </w:p>
    <w:p w:rsidR="009A0021" w:rsidRDefault="008F64D4">
      <w:pPr>
        <w:pStyle w:val="Bodytext30"/>
        <w:framePr w:w="8429" w:h="2408" w:hRule="exact" w:wrap="none" w:vAnchor="page" w:hAnchor="page" w:x="1717" w:y="9945"/>
        <w:shd w:val="clear" w:color="auto" w:fill="auto"/>
        <w:ind w:left="40"/>
      </w:pPr>
      <w:r>
        <w:t>Úprava platebních podmínek</w:t>
      </w:r>
    </w:p>
    <w:p w:rsidR="009A0021" w:rsidRDefault="008F64D4">
      <w:pPr>
        <w:pStyle w:val="Bodytext20"/>
        <w:framePr w:w="8429" w:h="2408" w:hRule="exact" w:wrap="none" w:vAnchor="page" w:hAnchor="page" w:x="1717" w:y="9945"/>
        <w:shd w:val="clear" w:color="auto" w:fill="auto"/>
        <w:spacing w:before="0" w:after="263" w:line="224" w:lineRule="exact"/>
        <w:ind w:firstLine="0"/>
      </w:pPr>
      <w:r>
        <w:t xml:space="preserve">S účinností </w:t>
      </w:r>
      <w:r>
        <w:rPr>
          <w:rStyle w:val="Bodytext210ptBold"/>
        </w:rPr>
        <w:t xml:space="preserve">od 01.01.2022 </w:t>
      </w:r>
      <w:r>
        <w:t>se smluvní strany dohodly takto:</w:t>
      </w:r>
    </w:p>
    <w:p w:rsidR="009A0021" w:rsidRDefault="008F64D4">
      <w:pPr>
        <w:pStyle w:val="Bodytext20"/>
        <w:framePr w:w="8429" w:h="2408" w:hRule="exact" w:wrap="none" w:vAnchor="page" w:hAnchor="page" w:x="1717" w:y="9945"/>
        <w:shd w:val="clear" w:color="auto" w:fill="auto"/>
        <w:spacing w:before="0" w:after="0" w:line="245" w:lineRule="exact"/>
        <w:ind w:firstLine="0"/>
        <w:jc w:val="both"/>
      </w:pPr>
      <w:r>
        <w:t xml:space="preserve">Platby spojené s užíváním nebytových prostor v nezměněné výši dle stávajících výpočtových listů budou hrazeny přejímajícím v pravidelných měsíčních platbách na účet předávajícího u KB Bruntál, č. účtu </w:t>
      </w:r>
      <w:r>
        <w:rPr>
          <w:rStyle w:val="Bodytext210ptBold"/>
        </w:rPr>
        <w:t xml:space="preserve">19-525771/0100 </w:t>
      </w:r>
      <w:r>
        <w:t>na základě daňového dokladu - faktury vystavené Městem Bruntál.</w:t>
      </w:r>
    </w:p>
    <w:p w:rsidR="009A0021" w:rsidRDefault="008F64D4">
      <w:pPr>
        <w:pStyle w:val="Bodytext20"/>
        <w:framePr w:w="8429" w:h="1194" w:hRule="exact" w:wrap="none" w:vAnchor="page" w:hAnchor="page" w:x="1717" w:y="12630"/>
        <w:shd w:val="clear" w:color="auto" w:fill="auto"/>
        <w:spacing w:before="0" w:after="0" w:line="283" w:lineRule="exact"/>
        <w:ind w:firstLine="0"/>
        <w:jc w:val="both"/>
      </w:pPr>
      <w:r>
        <w:t xml:space="preserve">Faktura je zasílána elektronicky na email: </w:t>
      </w:r>
      <w:hyperlink r:id="rId7" w:history="1">
        <w:r>
          <w:rPr>
            <w:rStyle w:val="Bodytext210ptBold"/>
            <w:lang w:val="en-US" w:eastAsia="en-US" w:bidi="en-US"/>
          </w:rPr>
          <w:t>podatelna@pms.justice.cz</w:t>
        </w:r>
      </w:hyperlink>
      <w:r>
        <w:rPr>
          <w:rStyle w:val="Bodytext210ptBold"/>
          <w:lang w:val="en-US" w:eastAsia="en-US" w:bidi="en-US"/>
        </w:rPr>
        <w:t xml:space="preserve"> </w:t>
      </w:r>
      <w:r>
        <w:t xml:space="preserve">a to i v případě vystavení faktury ve formátu isdoc/isdocx (tzv. e-faktura). Pouze v případě nefunkčnosti emailové schránky </w:t>
      </w:r>
      <w:hyperlink r:id="rId8" w:history="1">
        <w:r>
          <w:rPr>
            <w:lang w:val="en-US" w:eastAsia="en-US" w:bidi="en-US"/>
          </w:rPr>
          <w:t>podatelna@pms.justice.cz</w:t>
        </w:r>
      </w:hyperlink>
      <w:r>
        <w:rPr>
          <w:lang w:val="en-US" w:eastAsia="en-US" w:bidi="en-US"/>
        </w:rPr>
        <w:t xml:space="preserve"> </w:t>
      </w:r>
      <w:r>
        <w:t>je faktura zaslána na adresu: Česká republika - Probační a mediační služba, Senovážné náměstí 995/1,110 00 Praha 1.</w:t>
      </w:r>
    </w:p>
    <w:p w:rsidR="009A0021" w:rsidRDefault="008F64D4">
      <w:pPr>
        <w:pStyle w:val="Headerorfooter10"/>
        <w:framePr w:wrap="none" w:vAnchor="page" w:hAnchor="page" w:x="9982" w:y="14734"/>
        <w:shd w:val="clear" w:color="auto" w:fill="auto"/>
      </w:pPr>
      <w:r>
        <w:t>1</w:t>
      </w:r>
    </w:p>
    <w:p w:rsidR="009A0021" w:rsidRDefault="009A0021">
      <w:pPr>
        <w:rPr>
          <w:sz w:val="2"/>
          <w:szCs w:val="2"/>
        </w:rPr>
        <w:sectPr w:rsidR="009A00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A0021" w:rsidRDefault="00921F5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4822190</wp:posOffset>
                </wp:positionV>
                <wp:extent cx="1804670" cy="0"/>
                <wp:effectExtent l="15875" t="12065" r="8255" b="1651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8046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BA1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53pt;margin-top:379.7pt;width:142.1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" filled="t" strokeweight="1.2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1099820</wp:posOffset>
                </wp:positionH>
                <wp:positionV relativeFrom="page">
                  <wp:posOffset>4831080</wp:posOffset>
                </wp:positionV>
                <wp:extent cx="1758950" cy="0"/>
                <wp:effectExtent l="13970" t="11430" r="825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7589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2A1F8" id="AutoShape 2" o:spid="_x0000_s1026" type="#_x0000_t32" style="position:absolute;margin-left:86.6pt;margin-top:380.4pt;width:138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" filled="t" strokeweight="1.2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9A0021" w:rsidRDefault="008F64D4">
      <w:pPr>
        <w:pStyle w:val="Bodytext30"/>
        <w:framePr w:w="8491" w:h="531" w:hRule="exact" w:wrap="none" w:vAnchor="page" w:hAnchor="page" w:x="1685" w:y="1954"/>
        <w:shd w:val="clear" w:color="auto" w:fill="auto"/>
        <w:spacing w:after="0"/>
        <w:ind w:left="3820"/>
        <w:jc w:val="left"/>
      </w:pPr>
      <w:r>
        <w:rPr>
          <w:lang w:val="en-US" w:eastAsia="en-US" w:bidi="en-US"/>
        </w:rPr>
        <w:t>III.</w:t>
      </w:r>
    </w:p>
    <w:p w:rsidR="009A0021" w:rsidRDefault="008F64D4">
      <w:pPr>
        <w:pStyle w:val="Bodytext30"/>
        <w:framePr w:w="8491" w:h="531" w:hRule="exact" w:wrap="none" w:vAnchor="page" w:hAnchor="page" w:x="1685" w:y="1954"/>
        <w:shd w:val="clear" w:color="auto" w:fill="auto"/>
        <w:spacing w:after="0"/>
        <w:ind w:left="100"/>
      </w:pPr>
      <w:r>
        <w:t>Společná ustanovení</w:t>
      </w:r>
    </w:p>
    <w:p w:rsidR="009A0021" w:rsidRDefault="008F64D4">
      <w:pPr>
        <w:pStyle w:val="Bodytext20"/>
        <w:framePr w:w="8491" w:h="3003" w:hRule="exact" w:wrap="none" w:vAnchor="page" w:hAnchor="page" w:x="1685" w:y="2709"/>
        <w:numPr>
          <w:ilvl w:val="0"/>
          <w:numId w:val="1"/>
        </w:numPr>
        <w:shd w:val="clear" w:color="auto" w:fill="auto"/>
        <w:tabs>
          <w:tab w:val="left" w:pos="398"/>
        </w:tabs>
        <w:spacing w:before="0" w:after="260"/>
        <w:ind w:firstLine="0"/>
        <w:jc w:val="both"/>
      </w:pPr>
      <w:r>
        <w:t xml:space="preserve">Kontaktní osobou předávajícího je </w:t>
      </w:r>
      <w:r w:rsidR="00921F54">
        <w:t>xxxxxxxxxxxxxxxx</w:t>
      </w:r>
      <w:bookmarkStart w:id="3" w:name="_GoBack"/>
      <w:bookmarkEnd w:id="3"/>
    </w:p>
    <w:p w:rsidR="009A0021" w:rsidRDefault="008F64D4">
      <w:pPr>
        <w:pStyle w:val="Bodytext20"/>
        <w:framePr w:w="8491" w:h="3003" w:hRule="exact" w:wrap="none" w:vAnchor="page" w:hAnchor="page" w:x="1685" w:y="2709"/>
        <w:numPr>
          <w:ilvl w:val="0"/>
          <w:numId w:val="1"/>
        </w:numPr>
        <w:shd w:val="clear" w:color="auto" w:fill="auto"/>
        <w:tabs>
          <w:tab w:val="left" w:pos="398"/>
        </w:tabs>
        <w:spacing w:before="0" w:after="230"/>
        <w:ind w:firstLine="0"/>
        <w:jc w:val="both"/>
      </w:pPr>
      <w:r>
        <w:t>V ostatních ustanoveních se uvedená smlouva nemění.</w:t>
      </w:r>
    </w:p>
    <w:p w:rsidR="009A0021" w:rsidRDefault="008F64D4">
      <w:pPr>
        <w:pStyle w:val="Bodytext20"/>
        <w:framePr w:w="8491" w:h="3003" w:hRule="exact" w:wrap="none" w:vAnchor="page" w:hAnchor="page" w:x="1685" w:y="2709"/>
        <w:numPr>
          <w:ilvl w:val="0"/>
          <w:numId w:val="1"/>
        </w:numPr>
        <w:shd w:val="clear" w:color="auto" w:fill="auto"/>
        <w:tabs>
          <w:tab w:val="left" w:pos="398"/>
        </w:tabs>
        <w:spacing w:before="0" w:after="256" w:line="250" w:lineRule="exact"/>
        <w:ind w:left="440"/>
      </w:pPr>
      <w:r>
        <w:t xml:space="preserve">Tato smlouva je uzavřena dnem jejího podpisu oběma smluvními stranami a účinnosti nabývá dnem </w:t>
      </w:r>
      <w:r>
        <w:rPr>
          <w:rStyle w:val="Bodytext210ptBold"/>
        </w:rPr>
        <w:t>01.01.2022.</w:t>
      </w:r>
    </w:p>
    <w:p w:rsidR="009A0021" w:rsidRDefault="008F64D4">
      <w:pPr>
        <w:pStyle w:val="Bodytext20"/>
        <w:framePr w:w="8491" w:h="3003" w:hRule="exact" w:wrap="none" w:vAnchor="page" w:hAnchor="page" w:x="1685" w:y="2709"/>
        <w:numPr>
          <w:ilvl w:val="0"/>
          <w:numId w:val="1"/>
        </w:numPr>
        <w:shd w:val="clear" w:color="auto" w:fill="auto"/>
        <w:tabs>
          <w:tab w:val="left" w:pos="398"/>
        </w:tabs>
        <w:spacing w:before="0" w:after="514" w:line="254" w:lineRule="exact"/>
        <w:ind w:left="440"/>
      </w:pPr>
      <w:r>
        <w:t>Tato smlouva je sepsána ve dvou vyhotoveních s tím, že každá ze smluvních stran obdrží po jednom vyhotovení.</w:t>
      </w:r>
    </w:p>
    <w:p w:rsidR="009A0021" w:rsidRDefault="008F64D4">
      <w:pPr>
        <w:pStyle w:val="Bodytext20"/>
        <w:framePr w:w="8491" w:h="3003" w:hRule="exact" w:wrap="none" w:vAnchor="page" w:hAnchor="page" w:x="1685" w:y="2709"/>
        <w:shd w:val="clear" w:color="auto" w:fill="auto"/>
        <w:tabs>
          <w:tab w:val="left" w:leader="dot" w:pos="2746"/>
          <w:tab w:val="left" w:leader="dot" w:pos="6965"/>
        </w:tabs>
        <w:spacing w:before="0" w:after="0"/>
        <w:ind w:firstLine="0"/>
        <w:jc w:val="both"/>
      </w:pPr>
      <w:r>
        <w:t>V Bruntále dne</w:t>
      </w:r>
      <w:r>
        <w:tab/>
        <w:t xml:space="preserve"> V Praze dne</w:t>
      </w:r>
      <w:r>
        <w:tab/>
      </w:r>
    </w:p>
    <w:p w:rsidR="009A0021" w:rsidRDefault="008F64D4">
      <w:pPr>
        <w:pStyle w:val="Bodytext20"/>
        <w:framePr w:w="1728" w:h="537" w:hRule="exact" w:wrap="none" w:vAnchor="page" w:hAnchor="page" w:x="2343" w:y="7648"/>
        <w:shd w:val="clear" w:color="auto" w:fill="auto"/>
        <w:spacing w:before="0" w:after="0" w:line="240" w:lineRule="exact"/>
        <w:ind w:firstLine="0"/>
        <w:jc w:val="center"/>
      </w:pPr>
      <w:r>
        <w:t>Ing. Petr Rys, MBA</w:t>
      </w:r>
      <w:r>
        <w:br/>
        <w:t>starosta města</w:t>
      </w:r>
    </w:p>
    <w:p w:rsidR="009A0021" w:rsidRDefault="00921F54">
      <w:pPr>
        <w:pStyle w:val="Bodytext20"/>
        <w:framePr w:w="8491" w:h="542" w:hRule="exact" w:wrap="none" w:vAnchor="page" w:hAnchor="page" w:x="1685" w:y="7634"/>
        <w:shd w:val="clear" w:color="auto" w:fill="auto"/>
        <w:spacing w:before="0" w:after="0" w:line="240" w:lineRule="exact"/>
        <w:ind w:left="5717" w:right="417" w:firstLine="0"/>
        <w:jc w:val="center"/>
      </w:pPr>
      <w:r>
        <w:t>xxxxxxxxxxxxx</w:t>
      </w:r>
      <w:r w:rsidR="008F64D4">
        <w:br/>
        <w:t>ředitelka</w:t>
      </w:r>
    </w:p>
    <w:p w:rsidR="009A0021" w:rsidRDefault="008F64D4">
      <w:pPr>
        <w:pStyle w:val="Headerorfooter10"/>
        <w:framePr w:wrap="none" w:vAnchor="page" w:hAnchor="page" w:x="9941" w:y="15013"/>
        <w:shd w:val="clear" w:color="auto" w:fill="auto"/>
      </w:pPr>
      <w:r>
        <w:t>2</w:t>
      </w:r>
    </w:p>
    <w:p w:rsidR="009A0021" w:rsidRDefault="009A0021">
      <w:pPr>
        <w:rPr>
          <w:sz w:val="2"/>
          <w:szCs w:val="2"/>
        </w:rPr>
      </w:pPr>
    </w:p>
    <w:sectPr w:rsidR="009A002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96C" w:rsidRDefault="008F64D4">
      <w:r>
        <w:separator/>
      </w:r>
    </w:p>
  </w:endnote>
  <w:endnote w:type="continuationSeparator" w:id="0">
    <w:p w:rsidR="00CE396C" w:rsidRDefault="008F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021" w:rsidRDefault="009A0021"/>
  </w:footnote>
  <w:footnote w:type="continuationSeparator" w:id="0">
    <w:p w:rsidR="009A0021" w:rsidRDefault="009A00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21631"/>
    <w:multiLevelType w:val="multilevel"/>
    <w:tmpl w:val="F080F1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21"/>
    <w:rsid w:val="008F64D4"/>
    <w:rsid w:val="00921F54"/>
    <w:rsid w:val="009A0021"/>
    <w:rsid w:val="00C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  <w14:docId w14:val="04E7A860"/>
  <w15:docId w15:val="{FAED8AC6-EFB9-4592-8E34-D9AFE4BE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0ptBold">
    <w:name w:val="Body text|2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2">
    <w:name w:val="Heading #3|2_"/>
    <w:basedOn w:val="Standardnpsmoodstavce"/>
    <w:link w:val="Heading320"/>
    <w:rPr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Courier New" w:eastAsia="Courier New" w:hAnsi="Courier New" w:cs="Courier Ne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280" w:line="355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80" w:after="280" w:line="212" w:lineRule="exact"/>
      <w:ind w:hanging="440"/>
    </w:pPr>
    <w:rPr>
      <w:rFonts w:ascii="Arial" w:eastAsia="Arial" w:hAnsi="Arial" w:cs="Arial"/>
      <w:sz w:val="19"/>
      <w:szCs w:val="19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before="720" w:line="254" w:lineRule="exact"/>
      <w:jc w:val="center"/>
      <w:outlineLvl w:val="2"/>
    </w:pPr>
    <w:rPr>
      <w:b/>
      <w:bCs/>
      <w:sz w:val="21"/>
      <w:szCs w:val="21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520" w:line="362" w:lineRule="exact"/>
      <w:jc w:val="center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8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26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line="334" w:lineRule="exac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35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pms.just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pms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Liščák Milan</dc:creator>
  <cp:lastModifiedBy>Liščák Milan</cp:lastModifiedBy>
  <cp:revision>2</cp:revision>
  <dcterms:created xsi:type="dcterms:W3CDTF">2022-01-03T13:52:00Z</dcterms:created>
  <dcterms:modified xsi:type="dcterms:W3CDTF">2022-01-03T13:52:00Z</dcterms:modified>
</cp:coreProperties>
</file>