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Dětřichovice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ID 1386 - kafilerní box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ID 1386 - ovčín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18 396,46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9323,00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6 973,09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722,52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11332,00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26 147,42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11332,00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26 147,42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26 147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 pachtovní smlouvy č. 394N21/26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03.01.2022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