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F50E" w14:textId="77777777" w:rsidR="00AE510E" w:rsidRDefault="00AE510E" w:rsidP="00AE510E">
      <w:pPr>
        <w:pStyle w:val="Nzev"/>
      </w:pPr>
      <w:r w:rsidRPr="002C47DA">
        <w:t>Objednávka služeb</w:t>
      </w:r>
    </w:p>
    <w:p w14:paraId="7DB3F7AB" w14:textId="77777777" w:rsidR="00AE510E" w:rsidRDefault="00AE510E" w:rsidP="00AE510E">
      <w:pPr>
        <w:pStyle w:val="Bezmezer"/>
        <w:rPr>
          <w:b w:val="0"/>
        </w:rPr>
      </w:pPr>
    </w:p>
    <w:p w14:paraId="7C31564D" w14:textId="77777777" w:rsidR="00AE510E" w:rsidRPr="002F62B2" w:rsidRDefault="00AE510E" w:rsidP="00AE510E">
      <w:pPr>
        <w:pStyle w:val="Bezmezer"/>
        <w:rPr>
          <w:b w:val="0"/>
          <w:sz w:val="16"/>
          <w:szCs w:val="16"/>
        </w:rPr>
      </w:pPr>
      <w:r w:rsidRPr="002F62B2">
        <w:rPr>
          <w:sz w:val="16"/>
          <w:szCs w:val="16"/>
        </w:rPr>
        <w:t>Dodavatel:</w:t>
      </w:r>
    </w:p>
    <w:p w14:paraId="0BC8B97E" w14:textId="77777777" w:rsidR="00AE510E" w:rsidRPr="00506F32" w:rsidRDefault="00AE510E" w:rsidP="00AE510E">
      <w:pPr>
        <w:pStyle w:val="Bezmezer"/>
        <w:rPr>
          <w:sz w:val="14"/>
          <w:szCs w:val="14"/>
        </w:rPr>
      </w:pPr>
    </w:p>
    <w:p w14:paraId="2E80D172" w14:textId="77777777" w:rsidR="00AE510E" w:rsidRPr="002F62B2" w:rsidRDefault="00AE510E" w:rsidP="00AE510E">
      <w:pPr>
        <w:pStyle w:val="Bezmezer"/>
        <w:rPr>
          <w:b w:val="0"/>
          <w:sz w:val="16"/>
          <w:szCs w:val="14"/>
        </w:rPr>
      </w:pPr>
      <w:r w:rsidRPr="002F62B2">
        <w:rPr>
          <w:rStyle w:val="Tab-BoltChar"/>
          <w:rFonts w:asciiTheme="minorHAnsi" w:hAnsiTheme="minorHAnsi"/>
          <w:sz w:val="16"/>
          <w:szCs w:val="14"/>
        </w:rPr>
        <w:t>LMC s.r.o</w:t>
      </w:r>
      <w:r w:rsidRPr="002F62B2">
        <w:rPr>
          <w:sz w:val="16"/>
          <w:szCs w:val="14"/>
        </w:rPr>
        <w:t>.</w:t>
      </w:r>
    </w:p>
    <w:p w14:paraId="1EEFBE82" w14:textId="77777777" w:rsidR="00AE510E" w:rsidRPr="00506F32" w:rsidRDefault="00AE510E" w:rsidP="00AE510E">
      <w:pPr>
        <w:pStyle w:val="Tabulka1"/>
        <w:rPr>
          <w:sz w:val="14"/>
          <w:szCs w:val="14"/>
        </w:rPr>
      </w:pPr>
      <w:r w:rsidRPr="00506F32">
        <w:rPr>
          <w:sz w:val="14"/>
          <w:szCs w:val="14"/>
        </w:rPr>
        <w:t>IČ:</w:t>
      </w:r>
      <w:r>
        <w:rPr>
          <w:sz w:val="14"/>
          <w:szCs w:val="14"/>
        </w:rPr>
        <w:t xml:space="preserve"> </w:t>
      </w:r>
      <w:r w:rsidRPr="00506F32">
        <w:rPr>
          <w:sz w:val="14"/>
          <w:szCs w:val="14"/>
        </w:rPr>
        <w:t>26441381</w:t>
      </w:r>
    </w:p>
    <w:p w14:paraId="6E6C4EA0" w14:textId="77777777" w:rsidR="00AE510E" w:rsidRPr="00506F32" w:rsidRDefault="00AE510E" w:rsidP="00AE510E">
      <w:pPr>
        <w:pStyle w:val="Bezmezer"/>
        <w:rPr>
          <w:b w:val="0"/>
          <w:sz w:val="14"/>
          <w:szCs w:val="14"/>
        </w:rPr>
      </w:pPr>
      <w:r w:rsidRPr="00506F32">
        <w:rPr>
          <w:b w:val="0"/>
          <w:sz w:val="14"/>
          <w:szCs w:val="14"/>
        </w:rPr>
        <w:t>DIČ:</w:t>
      </w:r>
      <w:r>
        <w:rPr>
          <w:b w:val="0"/>
          <w:sz w:val="14"/>
          <w:szCs w:val="14"/>
        </w:rPr>
        <w:t xml:space="preserve"> </w:t>
      </w:r>
      <w:r w:rsidRPr="00506F32">
        <w:rPr>
          <w:b w:val="0"/>
          <w:sz w:val="14"/>
          <w:szCs w:val="14"/>
        </w:rPr>
        <w:t>CZ26441381</w:t>
      </w:r>
    </w:p>
    <w:p w14:paraId="4C114251" w14:textId="77777777" w:rsidR="00AE510E" w:rsidRPr="00506F32" w:rsidRDefault="00AE510E" w:rsidP="00AE510E">
      <w:pPr>
        <w:pStyle w:val="Bezmezer"/>
        <w:rPr>
          <w:b w:val="0"/>
          <w:sz w:val="14"/>
          <w:szCs w:val="14"/>
        </w:rPr>
      </w:pPr>
      <w:r w:rsidRPr="00506F32">
        <w:rPr>
          <w:b w:val="0"/>
          <w:sz w:val="14"/>
          <w:szCs w:val="14"/>
        </w:rPr>
        <w:t>se sídlem:</w:t>
      </w:r>
      <w:r>
        <w:rPr>
          <w:b w:val="0"/>
          <w:sz w:val="14"/>
          <w:szCs w:val="14"/>
        </w:rPr>
        <w:t xml:space="preserve"> </w:t>
      </w:r>
      <w:proofErr w:type="spellStart"/>
      <w:r w:rsidRPr="00506F32">
        <w:rPr>
          <w:b w:val="0"/>
          <w:sz w:val="14"/>
          <w:szCs w:val="14"/>
        </w:rPr>
        <w:t>Lighthouse</w:t>
      </w:r>
      <w:proofErr w:type="spellEnd"/>
      <w:r w:rsidRPr="00506F32">
        <w:rPr>
          <w:b w:val="0"/>
          <w:sz w:val="14"/>
          <w:szCs w:val="14"/>
        </w:rPr>
        <w:t xml:space="preserve"> </w:t>
      </w:r>
      <w:proofErr w:type="spellStart"/>
      <w:r w:rsidRPr="00506F32">
        <w:rPr>
          <w:b w:val="0"/>
          <w:sz w:val="14"/>
          <w:szCs w:val="14"/>
        </w:rPr>
        <w:t>Towers</w:t>
      </w:r>
      <w:proofErr w:type="spellEnd"/>
      <w:r w:rsidRPr="00506F32">
        <w:rPr>
          <w:b w:val="0"/>
          <w:sz w:val="14"/>
          <w:szCs w:val="14"/>
        </w:rPr>
        <w:t>, Jankovcova 1569/2c, Praha 7, 170 00</w:t>
      </w:r>
    </w:p>
    <w:p w14:paraId="4D29F05F" w14:textId="77777777" w:rsidR="00AE510E" w:rsidRDefault="00AE510E" w:rsidP="00AE510E">
      <w:pPr>
        <w:pStyle w:val="Bezmezer"/>
        <w:rPr>
          <w:b w:val="0"/>
          <w:sz w:val="14"/>
          <w:szCs w:val="14"/>
        </w:rPr>
      </w:pPr>
      <w:r w:rsidRPr="00506F32">
        <w:rPr>
          <w:b w:val="0"/>
          <w:sz w:val="14"/>
          <w:szCs w:val="14"/>
        </w:rPr>
        <w:t>spisová značka:</w:t>
      </w:r>
      <w:r>
        <w:rPr>
          <w:b w:val="0"/>
          <w:sz w:val="14"/>
          <w:szCs w:val="14"/>
        </w:rPr>
        <w:t xml:space="preserve"> </w:t>
      </w:r>
      <w:r w:rsidRPr="00506F32">
        <w:rPr>
          <w:b w:val="0"/>
          <w:sz w:val="14"/>
          <w:szCs w:val="14"/>
        </w:rPr>
        <w:t>C 82484 vedená u Městského soudu v Praze</w:t>
      </w:r>
    </w:p>
    <w:p w14:paraId="5CF74946" w14:textId="77777777" w:rsidR="002B79ED" w:rsidRPr="00506F32" w:rsidRDefault="00CA3CE5" w:rsidP="00AE510E">
      <w:pPr>
        <w:pStyle w:val="Bezmezer"/>
        <w:rPr>
          <w:sz w:val="14"/>
          <w:szCs w:val="14"/>
        </w:rPr>
      </w:pPr>
      <w:r w:rsidRPr="009543AA">
        <w:rPr>
          <w:b w:val="0"/>
          <w:bCs/>
          <w:sz w:val="14"/>
          <w:szCs w:val="14"/>
        </w:rPr>
        <w:t>bankovní účet</w:t>
      </w:r>
      <w:r>
        <w:rPr>
          <w:b w:val="0"/>
          <w:bCs/>
          <w:sz w:val="14"/>
          <w:szCs w:val="14"/>
        </w:rPr>
        <w:t xml:space="preserve">: </w:t>
      </w:r>
      <w:r w:rsidRPr="009543AA">
        <w:rPr>
          <w:b w:val="0"/>
          <w:bCs/>
          <w:sz w:val="14"/>
          <w:szCs w:val="14"/>
        </w:rPr>
        <w:t>170158265/0300</w:t>
      </w:r>
    </w:p>
    <w:p w14:paraId="15C2D754" w14:textId="77777777" w:rsidR="00AE510E" w:rsidRPr="00506F32" w:rsidRDefault="00AE510E" w:rsidP="00AE510E">
      <w:pPr>
        <w:pStyle w:val="Bezmezer"/>
        <w:rPr>
          <w:sz w:val="14"/>
          <w:szCs w:val="14"/>
        </w:rPr>
      </w:pPr>
    </w:p>
    <w:p w14:paraId="6ECB5D45" w14:textId="77777777" w:rsidR="00AE510E" w:rsidRDefault="00AE510E" w:rsidP="00AE510E">
      <w:pPr>
        <w:pStyle w:val="Bezmezer"/>
        <w:rPr>
          <w:sz w:val="16"/>
          <w:szCs w:val="16"/>
        </w:rPr>
      </w:pPr>
      <w:r w:rsidRPr="002F62B2">
        <w:rPr>
          <w:sz w:val="16"/>
          <w:szCs w:val="16"/>
        </w:rPr>
        <w:t>Odběratel:</w:t>
      </w:r>
    </w:p>
    <w:p w14:paraId="0AC62345" w14:textId="77777777" w:rsidR="00AE510E" w:rsidRPr="002F62B2" w:rsidRDefault="00AE510E" w:rsidP="00AE510E">
      <w:pPr>
        <w:pStyle w:val="Bezmezer"/>
        <w:rPr>
          <w:sz w:val="16"/>
          <w:szCs w:val="16"/>
        </w:rPr>
      </w:pPr>
    </w:p>
    <w:p w14:paraId="6E43C3A3" w14:textId="77777777" w:rsidR="00AE510E" w:rsidRPr="005F17D4" w:rsidRDefault="00AE510E" w:rsidP="00AE510E">
      <w:pPr>
        <w:pStyle w:val="Bezmezer"/>
        <w:rPr>
          <w:bCs/>
          <w:sz w:val="16"/>
          <w:szCs w:val="16"/>
        </w:rPr>
      </w:pPr>
      <w:r w:rsidRPr="005F17D4">
        <w:rPr>
          <w:bCs/>
          <w:sz w:val="16"/>
          <w:szCs w:val="16"/>
        </w:rPr>
        <w:t>Pražská plynárenská, a.s.</w:t>
      </w:r>
    </w:p>
    <w:p w14:paraId="38B53F8C" w14:textId="77777777" w:rsidR="00AE510E" w:rsidRPr="00506F32" w:rsidRDefault="00AE510E" w:rsidP="00AE510E">
      <w:pPr>
        <w:pStyle w:val="Bezmezer"/>
        <w:rPr>
          <w:b w:val="0"/>
          <w:sz w:val="14"/>
          <w:szCs w:val="14"/>
        </w:rPr>
      </w:pPr>
      <w:r w:rsidRPr="00506F32">
        <w:rPr>
          <w:b w:val="0"/>
          <w:sz w:val="14"/>
          <w:szCs w:val="14"/>
        </w:rPr>
        <w:t>IČ:</w:t>
      </w:r>
      <w:r>
        <w:rPr>
          <w:b w:val="0"/>
          <w:sz w:val="14"/>
          <w:szCs w:val="14"/>
        </w:rPr>
        <w:t xml:space="preserve"> 60193492</w:t>
      </w:r>
    </w:p>
    <w:p w14:paraId="1C53B71A" w14:textId="77777777" w:rsidR="00AE510E" w:rsidRPr="00FE008C" w:rsidRDefault="00AE510E" w:rsidP="00AE510E">
      <w:pPr>
        <w:pStyle w:val="Bezmezer"/>
        <w:rPr>
          <w:b w:val="0"/>
          <w:sz w:val="14"/>
          <w:szCs w:val="14"/>
        </w:rPr>
      </w:pPr>
      <w:r w:rsidRPr="00506F32">
        <w:rPr>
          <w:b w:val="0"/>
          <w:sz w:val="14"/>
          <w:szCs w:val="14"/>
        </w:rPr>
        <w:t>DIČ:</w:t>
      </w:r>
      <w:r>
        <w:rPr>
          <w:b w:val="0"/>
          <w:sz w:val="14"/>
          <w:szCs w:val="14"/>
        </w:rPr>
        <w:t xml:space="preserve"> </w:t>
      </w:r>
      <w:r w:rsidRPr="00FE008C">
        <w:rPr>
          <w:b w:val="0"/>
          <w:sz w:val="14"/>
          <w:szCs w:val="14"/>
        </w:rPr>
        <w:t>CZ60193492</w:t>
      </w:r>
    </w:p>
    <w:p w14:paraId="52A420BC" w14:textId="77777777" w:rsidR="00AE510E" w:rsidRPr="00FE008C" w:rsidRDefault="00AE510E" w:rsidP="00AE510E">
      <w:pPr>
        <w:spacing w:after="0"/>
        <w:rPr>
          <w:sz w:val="14"/>
          <w:szCs w:val="14"/>
        </w:rPr>
      </w:pPr>
      <w:r w:rsidRPr="00FE008C">
        <w:rPr>
          <w:sz w:val="14"/>
          <w:szCs w:val="14"/>
        </w:rPr>
        <w:t>se sídlem: Národní 37/38, Praha, 11000</w:t>
      </w:r>
    </w:p>
    <w:p w14:paraId="7D88A04A" w14:textId="77777777" w:rsidR="00AE510E" w:rsidRPr="00FE008C" w:rsidRDefault="00AE510E" w:rsidP="00AE510E">
      <w:pPr>
        <w:pStyle w:val="Bezmezer"/>
        <w:rPr>
          <w:b w:val="0"/>
          <w:sz w:val="14"/>
          <w:szCs w:val="14"/>
        </w:rPr>
      </w:pPr>
      <w:r w:rsidRPr="00FE008C">
        <w:rPr>
          <w:b w:val="0"/>
          <w:sz w:val="14"/>
          <w:szCs w:val="14"/>
        </w:rPr>
        <w:t>spisová značka: B 2337 vedená u Městského soudu v Praze</w:t>
      </w:r>
    </w:p>
    <w:p w14:paraId="7D7A2878" w14:textId="77777777" w:rsidR="00AE510E" w:rsidRPr="00506F32" w:rsidRDefault="00AE510E" w:rsidP="00AE510E">
      <w:pPr>
        <w:pStyle w:val="Bezmezer"/>
        <w:rPr>
          <w:b w:val="0"/>
          <w:sz w:val="14"/>
          <w:szCs w:val="14"/>
        </w:rPr>
      </w:pPr>
      <w:r w:rsidRPr="00FE008C">
        <w:rPr>
          <w:b w:val="0"/>
          <w:sz w:val="14"/>
          <w:szCs w:val="14"/>
        </w:rPr>
        <w:t xml:space="preserve">email pro zasílání elektronických faktur: </w:t>
      </w:r>
      <w:r w:rsidR="005C39E4">
        <w:rPr>
          <w:b w:val="0"/>
          <w:noProof/>
          <w:color w:val="000000"/>
          <w:sz w:val="14"/>
          <w:szCs w:val="14"/>
          <w:highlight w:val="black"/>
        </w:rPr>
        <w:t>''''''''''''''''''''''''''''''''''''''</w:t>
      </w:r>
    </w:p>
    <w:p w14:paraId="526F91E2" w14:textId="77777777" w:rsidR="00AE510E" w:rsidRPr="00506F32" w:rsidRDefault="00AE510E" w:rsidP="00AE510E">
      <w:pPr>
        <w:pStyle w:val="Bezmezer"/>
        <w:rPr>
          <w:sz w:val="14"/>
          <w:szCs w:val="14"/>
        </w:rPr>
      </w:pPr>
    </w:p>
    <w:p w14:paraId="1D3C628C" w14:textId="77777777" w:rsidR="00AE510E" w:rsidRPr="002F62B2" w:rsidRDefault="00AE510E" w:rsidP="00AE510E">
      <w:pPr>
        <w:pStyle w:val="Bezmezer"/>
        <w:rPr>
          <w:b w:val="0"/>
          <w:sz w:val="16"/>
          <w:szCs w:val="16"/>
        </w:rPr>
      </w:pPr>
      <w:r w:rsidRPr="002F62B2">
        <w:rPr>
          <w:sz w:val="16"/>
          <w:szCs w:val="16"/>
        </w:rPr>
        <w:t>Osoba pověřená odběratelem k provedení objednávky:</w:t>
      </w:r>
    </w:p>
    <w:p w14:paraId="309D475D" w14:textId="77777777" w:rsidR="00AE510E" w:rsidRPr="00506F32" w:rsidRDefault="00AE510E" w:rsidP="00AE510E">
      <w:pPr>
        <w:pStyle w:val="Bezmezer"/>
        <w:rPr>
          <w:sz w:val="14"/>
          <w:szCs w:val="14"/>
        </w:rPr>
      </w:pPr>
    </w:p>
    <w:p w14:paraId="1CC77E99" w14:textId="77777777" w:rsidR="00AE510E" w:rsidRPr="00506F32" w:rsidRDefault="0048700A" w:rsidP="00AE510E">
      <w:pPr>
        <w:pStyle w:val="Bezmezer"/>
        <w:rPr>
          <w:rFonts w:asciiTheme="minorHAnsi" w:hAnsiTheme="minorHAnsi"/>
          <w:b w:val="0"/>
          <w:sz w:val="14"/>
          <w:szCs w:val="14"/>
        </w:rPr>
      </w:pPr>
      <w:r>
        <w:rPr>
          <w:b w:val="0"/>
          <w:sz w:val="14"/>
          <w:szCs w:val="14"/>
        </w:rPr>
        <w:t>Ing. Martin Pacovský, MBA, předseda představenstva a Ing. Petr Kovařík, člen představenstva</w:t>
      </w:r>
    </w:p>
    <w:p w14:paraId="2C5075D2" w14:textId="77777777" w:rsidR="00AE510E" w:rsidRPr="00506F32" w:rsidRDefault="00AE510E" w:rsidP="00AE510E">
      <w:pPr>
        <w:rPr>
          <w:sz w:val="14"/>
          <w:szCs w:val="14"/>
        </w:rPr>
      </w:pPr>
      <w:r w:rsidRPr="00506F32">
        <w:rPr>
          <w:sz w:val="14"/>
          <w:szCs w:val="14"/>
        </w:rPr>
        <w:t>Prohlašuji, že jsem dle svého pracovního zařazení oprávněn/a učinit za odběratele tuto objednávku.</w:t>
      </w:r>
    </w:p>
    <w:p w14:paraId="25C4C2A5" w14:textId="77777777" w:rsidR="00AE510E" w:rsidRPr="00B52DD5" w:rsidRDefault="00AE510E" w:rsidP="00AE510E">
      <w:pPr>
        <w:pStyle w:val="Bezmezer"/>
        <w:rPr>
          <w:sz w:val="16"/>
          <w:szCs w:val="16"/>
        </w:rPr>
      </w:pPr>
      <w:r w:rsidRPr="00B52DD5">
        <w:rPr>
          <w:sz w:val="16"/>
          <w:szCs w:val="16"/>
        </w:rPr>
        <w:t>Předmět objednávky:</w:t>
      </w:r>
    </w:p>
    <w:p w14:paraId="086C071E" w14:textId="77777777" w:rsidR="00AE510E" w:rsidRPr="00D45336" w:rsidRDefault="00AE510E" w:rsidP="00AE510E">
      <w:pPr>
        <w:pStyle w:val="Bezmezer"/>
        <w:rPr>
          <w:sz w:val="14"/>
          <w:szCs w:val="14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  <w:tblCaption w:val="QuoteDetail"/>
        <w:tblDescription w:val="QuoteDetail"/>
      </w:tblPr>
      <w:tblGrid>
        <w:gridCol w:w="3114"/>
        <w:gridCol w:w="2268"/>
        <w:gridCol w:w="1134"/>
        <w:gridCol w:w="1276"/>
        <w:gridCol w:w="1842"/>
      </w:tblGrid>
      <w:tr w:rsidR="00AE510E" w:rsidRPr="00D45336" w14:paraId="08441E89" w14:textId="77777777" w:rsidTr="0025629A">
        <w:tc>
          <w:tcPr>
            <w:tcW w:w="3114" w:type="dxa"/>
            <w:tcBorders>
              <w:bottom w:val="single" w:sz="4" w:space="0" w:color="auto"/>
            </w:tcBorders>
            <w:shd w:val="clear" w:color="auto" w:fill="3587CB"/>
          </w:tcPr>
          <w:p w14:paraId="3359AED7" w14:textId="77777777" w:rsidR="00AE510E" w:rsidRPr="00D45336" w:rsidRDefault="00AE510E" w:rsidP="0025629A">
            <w:pPr>
              <w:pStyle w:val="Tabulka3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Název služby</w:t>
            </w:r>
          </w:p>
        </w:tc>
        <w:tc>
          <w:tcPr>
            <w:tcW w:w="2268" w:type="dxa"/>
            <w:shd w:val="clear" w:color="auto" w:fill="3587CB"/>
          </w:tcPr>
          <w:p w14:paraId="129536A4" w14:textId="77777777" w:rsidR="00AE510E" w:rsidRPr="00D45336" w:rsidRDefault="00AE510E" w:rsidP="0025629A">
            <w:pPr>
              <w:pStyle w:val="Tabulka3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Doba poskytování služby</w:t>
            </w:r>
          </w:p>
        </w:tc>
        <w:tc>
          <w:tcPr>
            <w:tcW w:w="1134" w:type="dxa"/>
            <w:shd w:val="clear" w:color="auto" w:fill="3587CB"/>
          </w:tcPr>
          <w:p w14:paraId="015DDE77" w14:textId="77777777" w:rsidR="00AE510E" w:rsidRPr="00D45336" w:rsidRDefault="00AE510E" w:rsidP="0025629A">
            <w:pPr>
              <w:pStyle w:val="Tabulka3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Počet kusů</w:t>
            </w:r>
          </w:p>
        </w:tc>
        <w:tc>
          <w:tcPr>
            <w:tcW w:w="1276" w:type="dxa"/>
            <w:shd w:val="clear" w:color="auto" w:fill="3587CB"/>
          </w:tcPr>
          <w:p w14:paraId="092C2724" w14:textId="77777777" w:rsidR="00AE510E" w:rsidRPr="00D45336" w:rsidRDefault="00AE510E" w:rsidP="0025629A">
            <w:pPr>
              <w:pStyle w:val="Tabulka3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Cena za kus</w:t>
            </w:r>
          </w:p>
        </w:tc>
        <w:tc>
          <w:tcPr>
            <w:tcW w:w="1842" w:type="dxa"/>
            <w:shd w:val="clear" w:color="auto" w:fill="3587CB"/>
          </w:tcPr>
          <w:p w14:paraId="7DE6547C" w14:textId="77777777" w:rsidR="00AE510E" w:rsidRPr="00D45336" w:rsidRDefault="00AE510E" w:rsidP="0025629A">
            <w:pPr>
              <w:pStyle w:val="Tabulka3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Cena za služby celkem</w:t>
            </w:r>
          </w:p>
        </w:tc>
      </w:tr>
      <w:tr w:rsidR="00AE510E" w:rsidRPr="00D45336" w14:paraId="76A78BD6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385424D8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Teamio</w:t>
            </w:r>
            <w:proofErr w:type="spellEnd"/>
            <w:r>
              <w:rPr>
                <w:sz w:val="14"/>
                <w:szCs w:val="14"/>
              </w:rPr>
              <w:t xml:space="preserve"> - Adresnost</w:t>
            </w:r>
            <w:proofErr w:type="gramEnd"/>
            <w:r>
              <w:rPr>
                <w:sz w:val="14"/>
                <w:szCs w:val="14"/>
              </w:rPr>
              <w:t xml:space="preserve"> zpráv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0F16395B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62A30517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23072391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</w:t>
            </w:r>
            <w:r w:rsidR="00AE510E">
              <w:rPr>
                <w:sz w:val="14"/>
                <w:szCs w:val="14"/>
              </w:rPr>
              <w:t>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63EC2DD7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4801750E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14AC7ED1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Karierní stránky Standard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3889C4F5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1855CB37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2E61B926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7608BB2C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5C8E9933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7AF46D7A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Teamio</w:t>
            </w:r>
            <w:proofErr w:type="spellEnd"/>
            <w:r>
              <w:rPr>
                <w:sz w:val="14"/>
                <w:szCs w:val="14"/>
              </w:rPr>
              <w:t xml:space="preserve"> - </w:t>
            </w:r>
            <w:proofErr w:type="spellStart"/>
            <w:r>
              <w:rPr>
                <w:sz w:val="14"/>
                <w:szCs w:val="14"/>
              </w:rPr>
              <w:t>Flexidotazníky</w:t>
            </w:r>
            <w:proofErr w:type="spellEnd"/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0E18E7E5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6C84F85B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4438B5CB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4EA2F49A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0EA5E42B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659830E3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Zvýraznění společnosti v regionální sekci prace.cz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1A985BDE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62092099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13347C54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5F9267D3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4F0D60F1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0D2F0949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Teamio</w:t>
            </w:r>
            <w:proofErr w:type="spellEnd"/>
            <w:r>
              <w:rPr>
                <w:sz w:val="14"/>
                <w:szCs w:val="14"/>
              </w:rPr>
              <w:t xml:space="preserve"> - Design</w:t>
            </w:r>
            <w:proofErr w:type="gramEnd"/>
            <w:r>
              <w:rPr>
                <w:sz w:val="14"/>
                <w:szCs w:val="14"/>
              </w:rPr>
              <w:t xml:space="preserve"> zpráv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6083E9D1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3FADEEE3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0EB24CE4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693C72CF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7884BB7E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4F4CCD0D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Zákaznický projekt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50633AD9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09D5697B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5B3C5492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34854A6B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6ED78242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1719BBB3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Teamio</w:t>
            </w:r>
            <w:proofErr w:type="spellEnd"/>
            <w:r>
              <w:rPr>
                <w:sz w:val="14"/>
                <w:szCs w:val="14"/>
              </w:rPr>
              <w:t xml:space="preserve"> PRO 50+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51427D4B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7ECD9A15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309D10CA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1499E449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5D235054" w14:textId="77777777" w:rsidTr="0025629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3587CB"/>
          </w:tcPr>
          <w:p w14:paraId="5CAD1197" w14:textId="77777777" w:rsidR="00AE510E" w:rsidRPr="00D45336" w:rsidRDefault="00AE510E" w:rsidP="00B7613F">
            <w:pPr>
              <w:pStyle w:val="Tabulka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Kreditní předplatné </w:t>
            </w:r>
            <w:proofErr w:type="gramStart"/>
            <w:r>
              <w:rPr>
                <w:sz w:val="14"/>
                <w:szCs w:val="14"/>
              </w:rPr>
              <w:t>inzerce - PREMIUM</w:t>
            </w:r>
            <w:proofErr w:type="gramEnd"/>
            <w:r>
              <w:rPr>
                <w:sz w:val="14"/>
                <w:szCs w:val="14"/>
              </w:rPr>
              <w:t xml:space="preserve"> 500+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1EAF3"/>
          </w:tcPr>
          <w:p w14:paraId="7688B22E" w14:textId="77777777" w:rsidR="00AE510E" w:rsidRPr="00D45336" w:rsidRDefault="00AE510E" w:rsidP="0025629A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29.12.2021</w:t>
            </w:r>
            <w:r w:rsidRPr="00D45336"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</w:rPr>
              <w:t>28.12.2022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1EAF3"/>
          </w:tcPr>
          <w:p w14:paraId="7528973A" w14:textId="77777777" w:rsidR="00AE510E" w:rsidRPr="00D45336" w:rsidRDefault="00AE510E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1EAF3"/>
          </w:tcPr>
          <w:p w14:paraId="313E8A7A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</w:t>
            </w:r>
            <w:r w:rsidR="00AE510E">
              <w:rPr>
                <w:sz w:val="14"/>
                <w:szCs w:val="14"/>
              </w:rPr>
              <w:t>,00 Kč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1EAF3"/>
          </w:tcPr>
          <w:p w14:paraId="47532E48" w14:textId="77777777" w:rsidR="00AE510E" w:rsidRPr="00D45336" w:rsidRDefault="005C39E4" w:rsidP="00B7613F">
            <w:pPr>
              <w:pStyle w:val="Tab-pr-cer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</w:tbl>
    <w:p w14:paraId="2ECD8DFE" w14:textId="77777777" w:rsidR="00AE510E" w:rsidRPr="00D45336" w:rsidRDefault="00AE510E" w:rsidP="00AE510E">
      <w:pPr>
        <w:pStyle w:val="Bezmezer"/>
        <w:rPr>
          <w:sz w:val="14"/>
          <w:szCs w:val="14"/>
        </w:rPr>
      </w:pPr>
    </w:p>
    <w:tbl>
      <w:tblPr>
        <w:tblStyle w:val="Mkatabulky"/>
        <w:tblW w:w="9634" w:type="dxa"/>
        <w:shd w:val="clear" w:color="auto" w:fill="E9F2F7"/>
        <w:tblLayout w:type="fixed"/>
        <w:tblLook w:val="04A0" w:firstRow="1" w:lastRow="0" w:firstColumn="1" w:lastColumn="0" w:noHBand="0" w:noVBand="1"/>
        <w:tblCaption w:val="Quote"/>
        <w:tblDescription w:val="Quote"/>
      </w:tblPr>
      <w:tblGrid>
        <w:gridCol w:w="7792"/>
        <w:gridCol w:w="1842"/>
      </w:tblGrid>
      <w:tr w:rsidR="00AE510E" w:rsidRPr="00D45336" w14:paraId="33B9DA48" w14:textId="77777777" w:rsidTr="0025629A">
        <w:tc>
          <w:tcPr>
            <w:tcW w:w="7792" w:type="dxa"/>
            <w:shd w:val="clear" w:color="auto" w:fill="E9F2F7"/>
          </w:tcPr>
          <w:p w14:paraId="1ECD1D32" w14:textId="77777777" w:rsidR="00AE510E" w:rsidRPr="00D45336" w:rsidRDefault="00AE510E" w:rsidP="0025629A">
            <w:pPr>
              <w:pStyle w:val="Tabulka2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Celková cena za služby v oblasti inzerce</w:t>
            </w:r>
          </w:p>
        </w:tc>
        <w:tc>
          <w:tcPr>
            <w:tcW w:w="1842" w:type="dxa"/>
            <w:shd w:val="clear" w:color="auto" w:fill="E9F2F7"/>
          </w:tcPr>
          <w:p w14:paraId="3DE5CB6D" w14:textId="77777777" w:rsidR="00AE510E" w:rsidRPr="00D45336" w:rsidRDefault="005C39E4" w:rsidP="0033522F">
            <w:pPr>
              <w:pStyle w:val="Tabulka2"/>
              <w:jc w:val="right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'''''''''''''''''''''</w:t>
            </w:r>
            <w:r w:rsidR="00F2050F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6A361D3E" w14:textId="77777777" w:rsidTr="0025629A">
        <w:tc>
          <w:tcPr>
            <w:tcW w:w="7792" w:type="dxa"/>
            <w:shd w:val="clear" w:color="auto" w:fill="E9F2F7"/>
          </w:tcPr>
          <w:p w14:paraId="7BF7D325" w14:textId="77777777" w:rsidR="00AE510E" w:rsidRPr="00D45336" w:rsidRDefault="00AE510E" w:rsidP="0025629A">
            <w:pPr>
              <w:pStyle w:val="Tabulka2"/>
              <w:rPr>
                <w:sz w:val="14"/>
                <w:szCs w:val="14"/>
              </w:rPr>
            </w:pPr>
            <w:r w:rsidRPr="00D45336">
              <w:rPr>
                <w:sz w:val="14"/>
                <w:szCs w:val="14"/>
              </w:rPr>
              <w:t>Bonusová sleva</w:t>
            </w:r>
            <w:r w:rsidR="00FE008C">
              <w:rPr>
                <w:sz w:val="14"/>
                <w:szCs w:val="14"/>
              </w:rPr>
              <w:t xml:space="preserve"> </w:t>
            </w:r>
            <w:r w:rsidR="005C39E4">
              <w:rPr>
                <w:noProof/>
                <w:color w:val="000000"/>
                <w:sz w:val="14"/>
                <w:szCs w:val="14"/>
                <w:highlight w:val="black"/>
              </w:rPr>
              <w:t>'''''''' '''''''''''' ''' '''''' '''''''''''''''''</w:t>
            </w:r>
          </w:p>
        </w:tc>
        <w:tc>
          <w:tcPr>
            <w:tcW w:w="1842" w:type="dxa"/>
            <w:shd w:val="clear" w:color="auto" w:fill="E9F2F7"/>
          </w:tcPr>
          <w:p w14:paraId="6D6C2E38" w14:textId="77777777" w:rsidR="00AE510E" w:rsidRPr="00D45336" w:rsidRDefault="005C39E4" w:rsidP="00B7613F">
            <w:pPr>
              <w:pStyle w:val="Tabulka2"/>
              <w:jc w:val="right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 '''''''''''''''''''</w:t>
            </w:r>
            <w:r w:rsidR="00F2050F">
              <w:rPr>
                <w:sz w:val="14"/>
                <w:szCs w:val="14"/>
              </w:rPr>
              <w:t xml:space="preserve"> Kč</w:t>
            </w:r>
          </w:p>
        </w:tc>
      </w:tr>
      <w:tr w:rsidR="00AE510E" w:rsidRPr="00D45336" w14:paraId="045ED187" w14:textId="77777777" w:rsidTr="0025629A">
        <w:tc>
          <w:tcPr>
            <w:tcW w:w="7792" w:type="dxa"/>
            <w:shd w:val="clear" w:color="auto" w:fill="E9F2F7"/>
          </w:tcPr>
          <w:p w14:paraId="390CB9F3" w14:textId="77777777" w:rsidR="00AE510E" w:rsidRPr="00D45336" w:rsidRDefault="00AE510E" w:rsidP="0025629A">
            <w:pPr>
              <w:pStyle w:val="Tabulka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Výsledná cena po slevě </w:t>
            </w:r>
          </w:p>
        </w:tc>
        <w:tc>
          <w:tcPr>
            <w:tcW w:w="1842" w:type="dxa"/>
            <w:shd w:val="clear" w:color="auto" w:fill="E9F2F7"/>
          </w:tcPr>
          <w:p w14:paraId="384684BB" w14:textId="77777777" w:rsidR="00AE510E" w:rsidRDefault="005C39E4" w:rsidP="0025629A">
            <w:pPr>
              <w:pStyle w:val="Tabulka2"/>
              <w:jc w:val="right"/>
              <w:rPr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  <w:highlight w:val="black"/>
              </w:rPr>
              <w:t>'''''''''''''''''''''''</w:t>
            </w:r>
            <w:r w:rsidR="00AE510E">
              <w:rPr>
                <w:sz w:val="14"/>
                <w:szCs w:val="14"/>
              </w:rPr>
              <w:t xml:space="preserve"> Kč</w:t>
            </w:r>
          </w:p>
        </w:tc>
      </w:tr>
    </w:tbl>
    <w:p w14:paraId="4498E87B" w14:textId="77777777" w:rsidR="00AE510E" w:rsidRPr="00D45336" w:rsidRDefault="00AE510E" w:rsidP="00AE510E">
      <w:pPr>
        <w:rPr>
          <w:sz w:val="14"/>
          <w:szCs w:val="14"/>
        </w:rPr>
      </w:pPr>
      <w:r w:rsidRPr="00D45336">
        <w:rPr>
          <w:sz w:val="14"/>
          <w:szCs w:val="14"/>
        </w:rPr>
        <w:t>Odběratel bere na vědomí, že k ceně bude účtováno DPH dle platných předpisů.</w:t>
      </w:r>
    </w:p>
    <w:p w14:paraId="391B989E" w14:textId="77777777" w:rsidR="00AE510E" w:rsidRPr="002E4E3E" w:rsidRDefault="00AE510E" w:rsidP="00AE510E">
      <w:pPr>
        <w:pStyle w:val="Tab-tlusty"/>
        <w:rPr>
          <w:sz w:val="16"/>
          <w:szCs w:val="16"/>
        </w:rPr>
      </w:pPr>
      <w:r w:rsidRPr="002E4E3E">
        <w:rPr>
          <w:sz w:val="16"/>
          <w:szCs w:val="16"/>
        </w:rPr>
        <w:t>Platební podmínky:</w:t>
      </w:r>
    </w:p>
    <w:p w14:paraId="72BAA862" w14:textId="77777777" w:rsidR="00AE510E" w:rsidRPr="006314B2" w:rsidRDefault="00AE510E" w:rsidP="00AE510E">
      <w:pPr>
        <w:pStyle w:val="Bezmezer"/>
        <w:rPr>
          <w:b w:val="0"/>
          <w:sz w:val="14"/>
          <w:szCs w:val="14"/>
        </w:rPr>
      </w:pPr>
    </w:p>
    <w:p w14:paraId="7DDAA046" w14:textId="77777777" w:rsidR="00AE510E" w:rsidRDefault="00AE510E" w:rsidP="00AE510E">
      <w:pPr>
        <w:pStyle w:val="Bezmezer"/>
        <w:spacing w:after="120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>Cena za poskytování služby (</w:t>
      </w:r>
      <w:r w:rsidRPr="00FE008C">
        <w:rPr>
          <w:b w:val="0"/>
          <w:sz w:val="14"/>
          <w:szCs w:val="14"/>
        </w:rPr>
        <w:t xml:space="preserve">dále jen „cena“) je splatná na základě daňového </w:t>
      </w:r>
      <w:proofErr w:type="gramStart"/>
      <w:r w:rsidRPr="00FE008C">
        <w:rPr>
          <w:b w:val="0"/>
          <w:sz w:val="14"/>
          <w:szCs w:val="14"/>
        </w:rPr>
        <w:t>dokladu - faktury</w:t>
      </w:r>
      <w:proofErr w:type="gramEnd"/>
      <w:r w:rsidRPr="00FE008C">
        <w:rPr>
          <w:b w:val="0"/>
          <w:sz w:val="14"/>
          <w:szCs w:val="14"/>
        </w:rPr>
        <w:t xml:space="preserve">, která bude ze strany LMC vystavena nejpozději </w:t>
      </w:r>
      <w:r w:rsidR="005C39E4">
        <w:rPr>
          <w:b w:val="0"/>
          <w:noProof/>
          <w:color w:val="000000"/>
          <w:sz w:val="14"/>
          <w:szCs w:val="14"/>
          <w:highlight w:val="black"/>
        </w:rPr>
        <w:t>''''' '''''</w:t>
      </w:r>
      <w:r w:rsidRPr="00FE008C">
        <w:rPr>
          <w:b w:val="0"/>
          <w:sz w:val="14"/>
          <w:szCs w:val="14"/>
        </w:rPr>
        <w:t xml:space="preserve"> kalendářních dnů ode dne zahájení služeb se splatností </w:t>
      </w:r>
      <w:r w:rsidR="005C39E4">
        <w:rPr>
          <w:b w:val="0"/>
          <w:noProof/>
          <w:color w:val="000000"/>
          <w:sz w:val="14"/>
          <w:szCs w:val="14"/>
          <w:highlight w:val="black"/>
        </w:rPr>
        <w:t xml:space="preserve">''''' </w:t>
      </w:r>
      <w:r w:rsidRPr="00FE008C">
        <w:rPr>
          <w:b w:val="0"/>
          <w:sz w:val="14"/>
          <w:szCs w:val="14"/>
        </w:rPr>
        <w:t>kalendářních</w:t>
      </w:r>
      <w:r w:rsidRPr="006314B2">
        <w:rPr>
          <w:b w:val="0"/>
          <w:sz w:val="14"/>
          <w:szCs w:val="14"/>
        </w:rPr>
        <w:t xml:space="preserve"> dnů ode dne vystavení faktury.</w:t>
      </w:r>
      <w:r w:rsidR="0074284D">
        <w:rPr>
          <w:b w:val="0"/>
          <w:sz w:val="14"/>
          <w:szCs w:val="14"/>
        </w:rPr>
        <w:t xml:space="preserve"> </w:t>
      </w:r>
      <w:r w:rsidR="0074284D" w:rsidRPr="0074284D">
        <w:rPr>
          <w:b w:val="0"/>
          <w:sz w:val="14"/>
          <w:szCs w:val="14"/>
        </w:rPr>
        <w:t>T</w:t>
      </w:r>
      <w:r w:rsidR="0074284D">
        <w:rPr>
          <w:b w:val="0"/>
          <w:sz w:val="14"/>
          <w:szCs w:val="14"/>
        </w:rPr>
        <w:t>ato faktura</w:t>
      </w:r>
      <w:r w:rsidR="0074284D" w:rsidRPr="0074284D">
        <w:rPr>
          <w:b w:val="0"/>
          <w:sz w:val="14"/>
          <w:szCs w:val="14"/>
        </w:rPr>
        <w:t xml:space="preserve"> bud</w:t>
      </w:r>
      <w:r w:rsidR="0074284D">
        <w:rPr>
          <w:b w:val="0"/>
          <w:sz w:val="14"/>
          <w:szCs w:val="14"/>
        </w:rPr>
        <w:t>e</w:t>
      </w:r>
      <w:r w:rsidR="0074284D" w:rsidRPr="0074284D">
        <w:rPr>
          <w:b w:val="0"/>
          <w:sz w:val="14"/>
          <w:szCs w:val="14"/>
        </w:rPr>
        <w:t xml:space="preserve"> mít náležitosti daňového dokladu dle § 29 zákona číslo 235/2004 Sb., o dani z přidané hodnoty, ve znění pozdějších předpisů (dále jen „ZDPH“).</w:t>
      </w:r>
    </w:p>
    <w:p w14:paraId="47439431" w14:textId="77777777" w:rsidR="00D250CD" w:rsidRPr="006314B2" w:rsidRDefault="00A92177" w:rsidP="00AE510E">
      <w:pPr>
        <w:pStyle w:val="Bezmezer"/>
        <w:spacing w:after="120"/>
        <w:rPr>
          <w:b w:val="0"/>
          <w:sz w:val="14"/>
          <w:szCs w:val="14"/>
        </w:rPr>
      </w:pPr>
      <w:r w:rsidRPr="00A92177">
        <w:rPr>
          <w:b w:val="0"/>
          <w:sz w:val="14"/>
          <w:szCs w:val="14"/>
        </w:rPr>
        <w:t xml:space="preserve">Nebude-li faktura obsahovat některou povinnou nebo dohodnutou náležitost nebo bude chybně vyúčtována cena (odměna) nebo DPH, je </w:t>
      </w:r>
      <w:r>
        <w:rPr>
          <w:b w:val="0"/>
          <w:sz w:val="14"/>
          <w:szCs w:val="14"/>
        </w:rPr>
        <w:t>Odběratel</w:t>
      </w:r>
      <w:r w:rsidRPr="00A92177">
        <w:rPr>
          <w:b w:val="0"/>
          <w:sz w:val="14"/>
          <w:szCs w:val="14"/>
        </w:rPr>
        <w:t xml:space="preserve"> oprávněn fakturu před uplynutím lhůty splatnosti vrátit </w:t>
      </w:r>
      <w:r w:rsidR="00966331">
        <w:rPr>
          <w:b w:val="0"/>
          <w:sz w:val="14"/>
          <w:szCs w:val="14"/>
        </w:rPr>
        <w:t xml:space="preserve">Dodavateli </w:t>
      </w:r>
      <w:r w:rsidRPr="00A92177">
        <w:rPr>
          <w:b w:val="0"/>
          <w:sz w:val="14"/>
          <w:szCs w:val="14"/>
        </w:rPr>
        <w:t xml:space="preserve">k provedení opravy s vyznačením důvodu vrácení. </w:t>
      </w:r>
      <w:r w:rsidR="00966331">
        <w:rPr>
          <w:b w:val="0"/>
          <w:sz w:val="14"/>
          <w:szCs w:val="14"/>
        </w:rPr>
        <w:t>Dodavatel</w:t>
      </w:r>
      <w:r w:rsidRPr="00A92177">
        <w:rPr>
          <w:b w:val="0"/>
          <w:sz w:val="14"/>
          <w:szCs w:val="14"/>
        </w:rPr>
        <w:t xml:space="preserve"> provede opravu vystavením nové faktury. Vrátí-li </w:t>
      </w:r>
      <w:r w:rsidR="00966331">
        <w:rPr>
          <w:b w:val="0"/>
          <w:sz w:val="14"/>
          <w:szCs w:val="14"/>
        </w:rPr>
        <w:t xml:space="preserve">Odběratel </w:t>
      </w:r>
      <w:r w:rsidRPr="00A92177">
        <w:rPr>
          <w:b w:val="0"/>
          <w:sz w:val="14"/>
          <w:szCs w:val="14"/>
        </w:rPr>
        <w:t xml:space="preserve">vadný daňový doklad zhotoviteli přestává běžet původní lhůta </w:t>
      </w:r>
      <w:r w:rsidR="00966331">
        <w:rPr>
          <w:b w:val="0"/>
          <w:sz w:val="14"/>
          <w:szCs w:val="14"/>
        </w:rPr>
        <w:t>splatnosti</w:t>
      </w:r>
      <w:r w:rsidRPr="00A92177">
        <w:rPr>
          <w:b w:val="0"/>
          <w:sz w:val="14"/>
          <w:szCs w:val="14"/>
        </w:rPr>
        <w:t xml:space="preserve"> a celá lhůta </w:t>
      </w:r>
      <w:r w:rsidR="00966331">
        <w:rPr>
          <w:b w:val="0"/>
          <w:sz w:val="14"/>
          <w:szCs w:val="14"/>
        </w:rPr>
        <w:t>splatnosti</w:t>
      </w:r>
      <w:r w:rsidRPr="00A92177">
        <w:rPr>
          <w:b w:val="0"/>
          <w:sz w:val="14"/>
          <w:szCs w:val="14"/>
        </w:rPr>
        <w:t xml:space="preserve"> běží opět ode dne doručení nově vyhotoveného daňového dokladu </w:t>
      </w:r>
      <w:r w:rsidR="00072169">
        <w:rPr>
          <w:b w:val="0"/>
          <w:sz w:val="14"/>
          <w:szCs w:val="14"/>
        </w:rPr>
        <w:t>Odběrateli</w:t>
      </w:r>
      <w:r w:rsidRPr="00A92177">
        <w:rPr>
          <w:b w:val="0"/>
          <w:sz w:val="14"/>
          <w:szCs w:val="14"/>
        </w:rPr>
        <w:t>.</w:t>
      </w:r>
    </w:p>
    <w:p w14:paraId="0698F1E6" w14:textId="77777777" w:rsidR="00AE510E" w:rsidRPr="006314B2" w:rsidRDefault="00AE510E" w:rsidP="00AE510E">
      <w:pPr>
        <w:pStyle w:val="Bezmezer"/>
        <w:spacing w:after="120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>Odběratel svým podpisem potvrzuje správnost fakturačních údajů v záhlaví této objednávky.</w:t>
      </w:r>
    </w:p>
    <w:p w14:paraId="3484ACB8" w14:textId="77777777" w:rsidR="00AE510E" w:rsidRPr="006314B2" w:rsidRDefault="00AE510E" w:rsidP="00AE510E">
      <w:pPr>
        <w:pStyle w:val="Bezmezer"/>
        <w:spacing w:after="120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>Odběratel se zavazuje v případě prodlení s </w:t>
      </w:r>
      <w:proofErr w:type="gramStart"/>
      <w:r w:rsidRPr="006314B2">
        <w:rPr>
          <w:b w:val="0"/>
          <w:sz w:val="14"/>
          <w:szCs w:val="14"/>
        </w:rPr>
        <w:t>úhradou  ceny</w:t>
      </w:r>
      <w:proofErr w:type="gramEnd"/>
      <w:r w:rsidRPr="006314B2">
        <w:rPr>
          <w:b w:val="0"/>
          <w:sz w:val="14"/>
          <w:szCs w:val="14"/>
        </w:rPr>
        <w:t xml:space="preserve"> zaplatit smluvní pokutu ve </w:t>
      </w:r>
      <w:r w:rsidR="005C39E4">
        <w:rPr>
          <w:b w:val="0"/>
          <w:noProof/>
          <w:color w:val="000000"/>
          <w:sz w:val="14"/>
          <w:szCs w:val="14"/>
          <w:highlight w:val="black"/>
        </w:rPr>
        <w:t>''''''' ''''''''</w:t>
      </w:r>
      <w:r w:rsidRPr="006314B2">
        <w:rPr>
          <w:b w:val="0"/>
          <w:sz w:val="14"/>
          <w:szCs w:val="14"/>
        </w:rPr>
        <w:t xml:space="preserve"> denně z dlužné částky za každý započatý den prodlení, přičemž smluvní pokuta bude hrazena vedle úroku z prodlení v zákonné výši.</w:t>
      </w:r>
    </w:p>
    <w:p w14:paraId="60E2D01B" w14:textId="77777777" w:rsidR="00AE510E" w:rsidRPr="006314B2" w:rsidRDefault="00AE510E" w:rsidP="00AE510E">
      <w:pPr>
        <w:pStyle w:val="Bezmezer"/>
        <w:spacing w:after="120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 xml:space="preserve">V případě, že je odběratel v prodlení s úhradou ceny nebo její jakékoli části po dobu delší než </w:t>
      </w:r>
      <w:r w:rsidR="005C39E4">
        <w:rPr>
          <w:b w:val="0"/>
          <w:noProof/>
          <w:color w:val="000000"/>
          <w:sz w:val="14"/>
          <w:szCs w:val="14"/>
          <w:highlight w:val="black"/>
        </w:rPr>
        <w:t>''''</w:t>
      </w:r>
      <w:r w:rsidRPr="006314B2">
        <w:rPr>
          <w:b w:val="0"/>
          <w:sz w:val="14"/>
          <w:szCs w:val="14"/>
        </w:rPr>
        <w:t xml:space="preserve"> kalendářních dnů, je LMC oprávněna přerušit poskytování služeb do doby, než bude cena odběratelem v plné výši uhrazena. Poskytování Služeb bude obnoveno bezodkladně po připsání dlužné částky na účet LMC. Odběratel nemá nárok na prodloužení doby poskytování služby o dobu, po kterou byly služby přerušeny.</w:t>
      </w:r>
    </w:p>
    <w:p w14:paraId="78567DA9" w14:textId="77777777" w:rsidR="00AE510E" w:rsidRDefault="00AE510E" w:rsidP="00AE510E">
      <w:pPr>
        <w:pStyle w:val="Bezmezer"/>
        <w:spacing w:after="120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>Klient nemá nárok na vrácení ceny či její části v případě nevyužívání Služeb ani v případě nevyčerpání Služeb ve sjednaném rozsahu, pokud dále není uvedeno jinak.</w:t>
      </w:r>
    </w:p>
    <w:p w14:paraId="291FC524" w14:textId="77777777" w:rsidR="00072169" w:rsidRPr="006314B2" w:rsidRDefault="00CD2FB7" w:rsidP="00AE510E">
      <w:pPr>
        <w:pStyle w:val="Bezmezer"/>
        <w:spacing w:after="120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Dodavatel</w:t>
      </w:r>
      <w:r w:rsidRPr="00CD2FB7">
        <w:rPr>
          <w:b w:val="0"/>
          <w:sz w:val="14"/>
          <w:szCs w:val="14"/>
        </w:rPr>
        <w:t xml:space="preserve">, který je plátcem DPH, se jako poskytovatel zdanitelného plnění zavazuje, že povinnosti plynoucí mu ze ZDPH, bude plnit řádně a včas. Zejména se zavazuje, že nebude úmyslně vystavovat </w:t>
      </w:r>
      <w:r w:rsidR="00C17FD4">
        <w:rPr>
          <w:b w:val="0"/>
          <w:sz w:val="14"/>
          <w:szCs w:val="14"/>
        </w:rPr>
        <w:t>Odběratele</w:t>
      </w:r>
      <w:r w:rsidRPr="00CD2FB7">
        <w:rPr>
          <w:b w:val="0"/>
          <w:sz w:val="14"/>
          <w:szCs w:val="14"/>
        </w:rPr>
        <w:t xml:space="preserve"> riziku plnění z titulu ručení za nezaplacenou daň dle § 109 ZDPH. Pokud okolnosti budou nasvědčovat tomu, že by mohla </w:t>
      </w:r>
      <w:r w:rsidR="00C17FD4">
        <w:rPr>
          <w:b w:val="0"/>
          <w:sz w:val="14"/>
          <w:szCs w:val="14"/>
        </w:rPr>
        <w:t>Odběrateli</w:t>
      </w:r>
      <w:r w:rsidRPr="00CD2FB7">
        <w:rPr>
          <w:b w:val="0"/>
          <w:sz w:val="14"/>
          <w:szCs w:val="14"/>
        </w:rPr>
        <w:t xml:space="preserve"> ve vztahu ke zdanitelným plněním poskytnutým </w:t>
      </w:r>
      <w:r w:rsidR="00CB1859">
        <w:rPr>
          <w:b w:val="0"/>
          <w:sz w:val="14"/>
          <w:szCs w:val="14"/>
        </w:rPr>
        <w:t>Dodavatelem</w:t>
      </w:r>
      <w:r w:rsidRPr="00CD2FB7">
        <w:rPr>
          <w:b w:val="0"/>
          <w:sz w:val="14"/>
          <w:szCs w:val="14"/>
        </w:rPr>
        <w:t xml:space="preserve"> na základě této </w:t>
      </w:r>
      <w:r w:rsidR="00CB1859">
        <w:rPr>
          <w:b w:val="0"/>
          <w:sz w:val="14"/>
          <w:szCs w:val="14"/>
        </w:rPr>
        <w:t>objednávky</w:t>
      </w:r>
      <w:r w:rsidRPr="00CD2FB7">
        <w:rPr>
          <w:b w:val="0"/>
          <w:sz w:val="14"/>
          <w:szCs w:val="14"/>
        </w:rPr>
        <w:t xml:space="preserve"> vzniknout ručitelská povinnost ve smyslu § 109 ZDPH, vyhrazuje si </w:t>
      </w:r>
      <w:r w:rsidR="00516EE7">
        <w:rPr>
          <w:b w:val="0"/>
          <w:sz w:val="14"/>
          <w:szCs w:val="14"/>
        </w:rPr>
        <w:t>Odběratel</w:t>
      </w:r>
      <w:r w:rsidRPr="00CD2FB7">
        <w:rPr>
          <w:b w:val="0"/>
          <w:sz w:val="14"/>
          <w:szCs w:val="14"/>
        </w:rPr>
        <w:t xml:space="preserve"> právo uhradit daň z těchto zdanitelných plnění místně příslušnému správci daně </w:t>
      </w:r>
      <w:r w:rsidR="00516EE7">
        <w:rPr>
          <w:b w:val="0"/>
          <w:sz w:val="14"/>
          <w:szCs w:val="14"/>
        </w:rPr>
        <w:t>Dodavatele</w:t>
      </w:r>
      <w:r w:rsidRPr="00CD2FB7">
        <w:rPr>
          <w:b w:val="0"/>
          <w:sz w:val="14"/>
          <w:szCs w:val="14"/>
        </w:rPr>
        <w:t xml:space="preserve"> postupem podle § 109a ZDPH. Výše uvedené právo platí i v případě, že </w:t>
      </w:r>
      <w:r w:rsidR="00516EE7">
        <w:rPr>
          <w:b w:val="0"/>
          <w:sz w:val="14"/>
          <w:szCs w:val="14"/>
        </w:rPr>
        <w:t>Dodavatel</w:t>
      </w:r>
      <w:r w:rsidRPr="00CD2FB7">
        <w:rPr>
          <w:b w:val="0"/>
          <w:sz w:val="14"/>
          <w:szCs w:val="14"/>
        </w:rPr>
        <w:t xml:space="preserve"> bude vyžadovat úhradu na bankovní účet nezveřejněný správcem daně způsobem umožňující dálkový přístup, a to i když úplata nebude dosahovat výše stanovené v § 109 odst. 2 písm. c) ZDPH. </w:t>
      </w:r>
      <w:r w:rsidR="00304CF7">
        <w:rPr>
          <w:b w:val="0"/>
          <w:sz w:val="14"/>
          <w:szCs w:val="14"/>
        </w:rPr>
        <w:t>Dodavatel</w:t>
      </w:r>
      <w:r w:rsidRPr="00CD2FB7">
        <w:rPr>
          <w:b w:val="0"/>
          <w:sz w:val="14"/>
          <w:szCs w:val="14"/>
        </w:rPr>
        <w:t xml:space="preserve"> bude o tuto daň snížena úhrada, resp. aplikací výše uvedeného postupu zaniká závazek </w:t>
      </w:r>
      <w:r w:rsidR="00304CF7">
        <w:rPr>
          <w:b w:val="0"/>
          <w:sz w:val="14"/>
          <w:szCs w:val="14"/>
        </w:rPr>
        <w:t>Odběrateli</w:t>
      </w:r>
      <w:r w:rsidRPr="00CD2FB7">
        <w:rPr>
          <w:b w:val="0"/>
          <w:sz w:val="14"/>
          <w:szCs w:val="14"/>
        </w:rPr>
        <w:t xml:space="preserve"> k úhradě úplaty ve výši odpovídající DPH uhrazené za </w:t>
      </w:r>
      <w:r w:rsidR="00304CF7">
        <w:rPr>
          <w:b w:val="0"/>
          <w:sz w:val="14"/>
          <w:szCs w:val="14"/>
        </w:rPr>
        <w:t>Dodavatele</w:t>
      </w:r>
      <w:r w:rsidRPr="00CD2FB7">
        <w:rPr>
          <w:b w:val="0"/>
          <w:sz w:val="14"/>
          <w:szCs w:val="14"/>
        </w:rPr>
        <w:t xml:space="preserve">. Uplatnění tohoto postupu úhrady daně se </w:t>
      </w:r>
      <w:r w:rsidR="00146D5B">
        <w:rPr>
          <w:b w:val="0"/>
          <w:sz w:val="14"/>
          <w:szCs w:val="14"/>
        </w:rPr>
        <w:t>Odběratel</w:t>
      </w:r>
      <w:r w:rsidRPr="00CD2FB7">
        <w:rPr>
          <w:b w:val="0"/>
          <w:sz w:val="14"/>
          <w:szCs w:val="14"/>
        </w:rPr>
        <w:t xml:space="preserve"> zavazuje </w:t>
      </w:r>
      <w:r w:rsidR="00146D5B">
        <w:rPr>
          <w:b w:val="0"/>
          <w:sz w:val="14"/>
          <w:szCs w:val="14"/>
        </w:rPr>
        <w:t>Dodavatelovi</w:t>
      </w:r>
      <w:r w:rsidRPr="00CD2FB7">
        <w:rPr>
          <w:b w:val="0"/>
          <w:sz w:val="14"/>
          <w:szCs w:val="14"/>
        </w:rPr>
        <w:t xml:space="preserve"> neprodleně oznámit.</w:t>
      </w:r>
    </w:p>
    <w:p w14:paraId="42DABC96" w14:textId="77777777" w:rsidR="00AE510E" w:rsidRPr="006314B2" w:rsidRDefault="00AE510E" w:rsidP="00AE510E">
      <w:pPr>
        <w:pStyle w:val="Bezmezer"/>
        <w:spacing w:after="120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 xml:space="preserve">Odesláním této objednávky odběratel souhlasí se Všeobecnými obchodními podmínkami společnosti LMC a podmínkami užívání elektronických systémů společnosti LMC, které jsou uvedeny na internetové adrese </w:t>
      </w:r>
      <w:r w:rsidRPr="005C39E4">
        <w:rPr>
          <w:b w:val="0"/>
          <w:sz w:val="14"/>
          <w:szCs w:val="14"/>
        </w:rPr>
        <w:t>https://www.lmc.eu/cs/vseobecne-obchodni-podminky/</w:t>
      </w:r>
      <w:r>
        <w:rPr>
          <w:b w:val="0"/>
          <w:sz w:val="14"/>
          <w:szCs w:val="14"/>
        </w:rPr>
        <w:t xml:space="preserve"> </w:t>
      </w:r>
      <w:r w:rsidRPr="006314B2">
        <w:rPr>
          <w:b w:val="0"/>
          <w:sz w:val="14"/>
          <w:szCs w:val="14"/>
        </w:rPr>
        <w:t xml:space="preserve">účinnými ke dni odeslání objednávky. Odběratel bere na vědomí, že Všeobecné obchodní podmínky jsou zveřejněny na internetových stránkách dodavatele a prohlašuje, že je s nimi seznámen. Smluvní strany výslovně prohlašují, že na smluvní vztah se vztahují pouze tyto Všeobecné obchodní podmínky a že ze strany klienta nebylo ve smyslu § 1751 odst. 2 občanského zákoníku na žádné obchodní </w:t>
      </w:r>
      <w:r w:rsidRPr="006314B2">
        <w:rPr>
          <w:b w:val="0"/>
          <w:sz w:val="14"/>
          <w:szCs w:val="14"/>
        </w:rPr>
        <w:lastRenderedPageBreak/>
        <w:t>podmínky odkázáno.</w:t>
      </w:r>
    </w:p>
    <w:p w14:paraId="5C819D68" w14:textId="77777777" w:rsidR="00AE510E" w:rsidRPr="006314B2" w:rsidRDefault="00AE510E" w:rsidP="00AE510E">
      <w:pPr>
        <w:pStyle w:val="Bezmezer"/>
        <w:rPr>
          <w:b w:val="0"/>
          <w:sz w:val="14"/>
          <w:szCs w:val="14"/>
        </w:rPr>
      </w:pPr>
    </w:p>
    <w:p w14:paraId="73809397" w14:textId="77777777" w:rsidR="00AE510E" w:rsidRPr="006314B2" w:rsidRDefault="00AE510E" w:rsidP="00AE510E">
      <w:pPr>
        <w:pStyle w:val="Bezmezer"/>
        <w:rPr>
          <w:b w:val="0"/>
          <w:sz w:val="14"/>
          <w:szCs w:val="14"/>
        </w:rPr>
      </w:pPr>
    </w:p>
    <w:p w14:paraId="26AB0EE1" w14:textId="77777777" w:rsidR="00AE510E" w:rsidRPr="006314B2" w:rsidRDefault="00AE510E" w:rsidP="00AE510E">
      <w:pPr>
        <w:pStyle w:val="Bezmezer"/>
        <w:rPr>
          <w:b w:val="0"/>
          <w:sz w:val="14"/>
          <w:szCs w:val="14"/>
        </w:rPr>
      </w:pPr>
    </w:p>
    <w:p w14:paraId="0B668D81" w14:textId="77777777" w:rsidR="00AE510E" w:rsidRPr="006314B2" w:rsidRDefault="00AE510E" w:rsidP="00AE510E">
      <w:pPr>
        <w:pStyle w:val="Bezmezer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>Dne .........................</w:t>
      </w:r>
      <w:r w:rsidRPr="006314B2">
        <w:rPr>
          <w:sz w:val="14"/>
          <w:szCs w:val="14"/>
        </w:rPr>
        <w:tab/>
      </w:r>
      <w:r w:rsidRPr="006314B2">
        <w:rPr>
          <w:b w:val="0"/>
          <w:sz w:val="14"/>
          <w:szCs w:val="14"/>
        </w:rPr>
        <w:tab/>
      </w:r>
      <w:r>
        <w:rPr>
          <w:b w:val="0"/>
          <w:sz w:val="14"/>
          <w:szCs w:val="14"/>
        </w:rPr>
        <w:tab/>
      </w:r>
      <w:r>
        <w:rPr>
          <w:b w:val="0"/>
          <w:sz w:val="14"/>
          <w:szCs w:val="14"/>
        </w:rPr>
        <w:tab/>
      </w:r>
      <w:r w:rsidRPr="006314B2">
        <w:rPr>
          <w:b w:val="0"/>
          <w:sz w:val="14"/>
          <w:szCs w:val="14"/>
        </w:rPr>
        <w:tab/>
        <w:t xml:space="preserve">   </w:t>
      </w:r>
      <w:r w:rsidR="002814C9">
        <w:rPr>
          <w:b w:val="0"/>
          <w:sz w:val="14"/>
          <w:szCs w:val="14"/>
        </w:rPr>
        <w:tab/>
      </w:r>
      <w:r w:rsidR="002814C9">
        <w:rPr>
          <w:b w:val="0"/>
          <w:sz w:val="14"/>
          <w:szCs w:val="14"/>
        </w:rPr>
        <w:tab/>
      </w:r>
      <w:r w:rsidR="002814C9">
        <w:rPr>
          <w:b w:val="0"/>
          <w:sz w:val="14"/>
          <w:szCs w:val="14"/>
        </w:rPr>
        <w:tab/>
      </w:r>
      <w:r w:rsidRPr="006314B2">
        <w:rPr>
          <w:b w:val="0"/>
          <w:sz w:val="14"/>
          <w:szCs w:val="14"/>
        </w:rPr>
        <w:t>.................................................................</w:t>
      </w:r>
    </w:p>
    <w:p w14:paraId="784F5771" w14:textId="77777777" w:rsidR="002814C9" w:rsidRDefault="0048700A" w:rsidP="002814C9">
      <w:pPr>
        <w:pStyle w:val="Bezmezer"/>
        <w:ind w:left="5664" w:firstLine="708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Ing. Martin Pacovský, MBA, předseda představenstva</w:t>
      </w:r>
    </w:p>
    <w:p w14:paraId="16DA7221" w14:textId="77777777" w:rsidR="002814C9" w:rsidRDefault="002814C9" w:rsidP="0048700A">
      <w:pPr>
        <w:pStyle w:val="Bezmezer"/>
        <w:ind w:left="3540" w:firstLine="708"/>
        <w:rPr>
          <w:b w:val="0"/>
          <w:sz w:val="14"/>
          <w:szCs w:val="14"/>
        </w:rPr>
      </w:pPr>
    </w:p>
    <w:p w14:paraId="55591B01" w14:textId="77777777" w:rsidR="002814C9" w:rsidRDefault="002814C9" w:rsidP="0048700A">
      <w:pPr>
        <w:pStyle w:val="Bezmezer"/>
        <w:ind w:left="3540" w:firstLine="708"/>
        <w:rPr>
          <w:b w:val="0"/>
          <w:sz w:val="14"/>
          <w:szCs w:val="14"/>
        </w:rPr>
      </w:pPr>
    </w:p>
    <w:p w14:paraId="566DC5FC" w14:textId="77777777" w:rsidR="002814C9" w:rsidRDefault="002814C9" w:rsidP="0048700A">
      <w:pPr>
        <w:pStyle w:val="Bezmezer"/>
        <w:ind w:left="3540" w:firstLine="708"/>
        <w:rPr>
          <w:b w:val="0"/>
          <w:sz w:val="14"/>
          <w:szCs w:val="14"/>
        </w:rPr>
      </w:pPr>
    </w:p>
    <w:p w14:paraId="4C513F78" w14:textId="77777777" w:rsidR="002814C9" w:rsidRDefault="002814C9" w:rsidP="0048700A">
      <w:pPr>
        <w:pStyle w:val="Bezmezer"/>
        <w:ind w:left="3540" w:firstLine="708"/>
        <w:rPr>
          <w:b w:val="0"/>
          <w:sz w:val="14"/>
          <w:szCs w:val="14"/>
        </w:rPr>
      </w:pPr>
    </w:p>
    <w:p w14:paraId="63FCC026" w14:textId="77777777" w:rsidR="002814C9" w:rsidRDefault="002814C9" w:rsidP="002814C9">
      <w:pPr>
        <w:pStyle w:val="Bezmezer"/>
        <w:ind w:left="5664" w:firstLine="708"/>
        <w:rPr>
          <w:b w:val="0"/>
          <w:sz w:val="14"/>
          <w:szCs w:val="14"/>
        </w:rPr>
      </w:pPr>
      <w:r w:rsidRPr="006314B2">
        <w:rPr>
          <w:b w:val="0"/>
          <w:sz w:val="14"/>
          <w:szCs w:val="14"/>
        </w:rPr>
        <w:t>.................................................................</w:t>
      </w:r>
    </w:p>
    <w:p w14:paraId="72645EAC" w14:textId="77777777" w:rsidR="0048700A" w:rsidRPr="00506F32" w:rsidRDefault="0048700A" w:rsidP="002814C9">
      <w:pPr>
        <w:pStyle w:val="Bezmezer"/>
        <w:ind w:left="5664" w:firstLine="708"/>
        <w:rPr>
          <w:rFonts w:asciiTheme="minorHAnsi" w:hAnsiTheme="minorHAnsi"/>
          <w:b w:val="0"/>
          <w:sz w:val="14"/>
          <w:szCs w:val="14"/>
        </w:rPr>
      </w:pPr>
      <w:r>
        <w:rPr>
          <w:b w:val="0"/>
          <w:sz w:val="14"/>
          <w:szCs w:val="14"/>
        </w:rPr>
        <w:t>Ing. Petr Kovařík, člen představenstva</w:t>
      </w:r>
    </w:p>
    <w:p w14:paraId="0F90E9C5" w14:textId="77777777" w:rsidR="002814C9" w:rsidRDefault="00AE510E" w:rsidP="0048700A">
      <w:pPr>
        <w:pStyle w:val="Bezmezer"/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 w:rsidR="0048700A">
        <w:rPr>
          <w:sz w:val="14"/>
          <w:szCs w:val="14"/>
        </w:rPr>
        <w:tab/>
      </w:r>
      <w:r>
        <w:rPr>
          <w:sz w:val="14"/>
          <w:szCs w:val="14"/>
        </w:rPr>
        <w:t xml:space="preserve">   </w:t>
      </w:r>
    </w:p>
    <w:p w14:paraId="4564D2A7" w14:textId="77777777" w:rsidR="0055490F" w:rsidRDefault="00AE510E" w:rsidP="002814C9">
      <w:pPr>
        <w:pStyle w:val="Bezmezer"/>
        <w:ind w:left="5664" w:firstLine="708"/>
      </w:pPr>
      <w:r w:rsidRPr="006314B2">
        <w:rPr>
          <w:sz w:val="14"/>
          <w:szCs w:val="14"/>
        </w:rPr>
        <w:t>Razítko a podpis</w:t>
      </w:r>
    </w:p>
    <w:sectPr w:rsidR="00554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C757" w14:textId="77777777" w:rsidR="00191F54" w:rsidRDefault="00191F54" w:rsidP="00AE510E">
      <w:pPr>
        <w:spacing w:after="0" w:line="240" w:lineRule="auto"/>
      </w:pPr>
      <w:r>
        <w:separator/>
      </w:r>
    </w:p>
  </w:endnote>
  <w:endnote w:type="continuationSeparator" w:id="0">
    <w:p w14:paraId="605394C0" w14:textId="77777777" w:rsidR="00191F54" w:rsidRDefault="00191F54" w:rsidP="00AE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A312" w14:textId="77777777" w:rsidR="005C39E4" w:rsidRDefault="005C39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FDF4" w14:textId="77777777" w:rsidR="00AE510E" w:rsidRPr="005C39E4" w:rsidRDefault="00AE510E" w:rsidP="005C39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27A0" w14:textId="77777777" w:rsidR="005C39E4" w:rsidRDefault="005C39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FEB6" w14:textId="77777777" w:rsidR="00191F54" w:rsidRDefault="00191F54" w:rsidP="00AE510E">
      <w:pPr>
        <w:spacing w:after="0" w:line="240" w:lineRule="auto"/>
      </w:pPr>
      <w:r>
        <w:separator/>
      </w:r>
    </w:p>
  </w:footnote>
  <w:footnote w:type="continuationSeparator" w:id="0">
    <w:p w14:paraId="1732DD51" w14:textId="77777777" w:rsidR="00191F54" w:rsidRDefault="00191F54" w:rsidP="00AE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1576" w14:textId="77777777" w:rsidR="005C39E4" w:rsidRDefault="005C39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35B9" w14:textId="77777777" w:rsidR="005C39E4" w:rsidRDefault="005C39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69A1" w14:textId="77777777" w:rsidR="005C39E4" w:rsidRDefault="005C39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3C39"/>
    <w:multiLevelType w:val="hybridMultilevel"/>
    <w:tmpl w:val="475CE522"/>
    <w:lvl w:ilvl="0" w:tplc="3EBADB8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0E"/>
    <w:rsid w:val="00072169"/>
    <w:rsid w:val="001431A7"/>
    <w:rsid w:val="00146D5B"/>
    <w:rsid w:val="00191F54"/>
    <w:rsid w:val="002814C9"/>
    <w:rsid w:val="002B21EA"/>
    <w:rsid w:val="002B79ED"/>
    <w:rsid w:val="00304CF7"/>
    <w:rsid w:val="00321ADB"/>
    <w:rsid w:val="0033522F"/>
    <w:rsid w:val="00482606"/>
    <w:rsid w:val="0048700A"/>
    <w:rsid w:val="00516EE7"/>
    <w:rsid w:val="005C39E4"/>
    <w:rsid w:val="00617671"/>
    <w:rsid w:val="0074284D"/>
    <w:rsid w:val="007527CE"/>
    <w:rsid w:val="00852ED0"/>
    <w:rsid w:val="008C1BF5"/>
    <w:rsid w:val="00966331"/>
    <w:rsid w:val="00985252"/>
    <w:rsid w:val="00A92177"/>
    <w:rsid w:val="00AE510E"/>
    <w:rsid w:val="00B334A6"/>
    <w:rsid w:val="00B7613F"/>
    <w:rsid w:val="00B77EA3"/>
    <w:rsid w:val="00C17FD4"/>
    <w:rsid w:val="00CA3CE5"/>
    <w:rsid w:val="00CB1859"/>
    <w:rsid w:val="00CD26A5"/>
    <w:rsid w:val="00CD2FB7"/>
    <w:rsid w:val="00D250CD"/>
    <w:rsid w:val="00D90818"/>
    <w:rsid w:val="00DA2856"/>
    <w:rsid w:val="00F2050F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56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10E"/>
  </w:style>
  <w:style w:type="paragraph" w:styleId="Zpat">
    <w:name w:val="footer"/>
    <w:basedOn w:val="Normln"/>
    <w:link w:val="ZpatChar"/>
    <w:uiPriority w:val="99"/>
    <w:unhideWhenUsed/>
    <w:rsid w:val="00AE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10E"/>
  </w:style>
  <w:style w:type="paragraph" w:styleId="Bezmezer">
    <w:name w:val="No Spacing"/>
    <w:link w:val="BezmezerChar"/>
    <w:uiPriority w:val="1"/>
    <w:qFormat/>
    <w:rsid w:val="00AE510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b/>
      <w:kern w:val="3"/>
      <w:sz w:val="20"/>
      <w:szCs w:val="24"/>
      <w:lang w:eastAsia="en-US"/>
    </w:rPr>
  </w:style>
  <w:style w:type="paragraph" w:customStyle="1" w:styleId="Tabulka1">
    <w:name w:val="Tabulka 1"/>
    <w:basedOn w:val="Bezmezer"/>
    <w:link w:val="Tabulka1Char"/>
    <w:qFormat/>
    <w:rsid w:val="00AE510E"/>
    <w:rPr>
      <w:b w:val="0"/>
    </w:rPr>
  </w:style>
  <w:style w:type="character" w:customStyle="1" w:styleId="BezmezerChar">
    <w:name w:val="Bez mezer Char"/>
    <w:basedOn w:val="Standardnpsmoodstavce"/>
    <w:link w:val="Bezmezer"/>
    <w:uiPriority w:val="1"/>
    <w:rsid w:val="00AE510E"/>
    <w:rPr>
      <w:rFonts w:ascii="Calibri" w:eastAsia="Arial Unicode MS" w:hAnsi="Calibri" w:cs="Tahoma"/>
      <w:b/>
      <w:kern w:val="3"/>
      <w:sz w:val="20"/>
      <w:szCs w:val="24"/>
      <w:lang w:eastAsia="en-US"/>
    </w:rPr>
  </w:style>
  <w:style w:type="character" w:customStyle="1" w:styleId="Tabulka1Char">
    <w:name w:val="Tabulka 1 Char"/>
    <w:basedOn w:val="BezmezerChar"/>
    <w:link w:val="Tabulka1"/>
    <w:rsid w:val="00AE510E"/>
    <w:rPr>
      <w:rFonts w:ascii="Calibri" w:eastAsia="Arial Unicode MS" w:hAnsi="Calibri" w:cs="Tahoma"/>
      <w:b w:val="0"/>
      <w:kern w:val="3"/>
      <w:sz w:val="20"/>
      <w:szCs w:val="24"/>
      <w:lang w:eastAsia="en-US"/>
    </w:rPr>
  </w:style>
  <w:style w:type="paragraph" w:customStyle="1" w:styleId="Tab-Bolt">
    <w:name w:val="Tab-Bolt"/>
    <w:basedOn w:val="Bezmezer"/>
    <w:link w:val="Tab-BoltChar"/>
    <w:rsid w:val="00AE510E"/>
    <w:rPr>
      <w:b w:val="0"/>
    </w:rPr>
  </w:style>
  <w:style w:type="character" w:customStyle="1" w:styleId="Tab-BoltChar">
    <w:name w:val="Tab-Bolt Char"/>
    <w:basedOn w:val="BezmezerChar"/>
    <w:link w:val="Tab-Bolt"/>
    <w:rsid w:val="00AE510E"/>
    <w:rPr>
      <w:rFonts w:ascii="Calibri" w:eastAsia="Arial Unicode MS" w:hAnsi="Calibri" w:cs="Tahoma"/>
      <w:b w:val="0"/>
      <w:kern w:val="3"/>
      <w:sz w:val="20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E510E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AE510E"/>
    <w:rPr>
      <w:rFonts w:ascii="Calibri" w:eastAsiaTheme="majorEastAsia" w:hAnsi="Calibri" w:cstheme="majorBidi"/>
      <w:b/>
      <w:spacing w:val="-10"/>
      <w:kern w:val="28"/>
      <w:sz w:val="32"/>
      <w:szCs w:val="56"/>
      <w:lang w:eastAsia="en-US"/>
    </w:rPr>
  </w:style>
  <w:style w:type="table" w:styleId="Mkatabulky">
    <w:name w:val="Table Grid"/>
    <w:basedOn w:val="Normlntabulka"/>
    <w:uiPriority w:val="59"/>
    <w:rsid w:val="00AE51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2">
    <w:name w:val="Tabulka2"/>
    <w:basedOn w:val="Bezmezer"/>
    <w:link w:val="Tabulka2Char"/>
    <w:qFormat/>
    <w:rsid w:val="00AE510E"/>
    <w:rPr>
      <w:b w:val="0"/>
      <w:color w:val="2F5496" w:themeColor="accent1" w:themeShade="BF"/>
    </w:rPr>
  </w:style>
  <w:style w:type="paragraph" w:customStyle="1" w:styleId="Tabulka3">
    <w:name w:val="Tabulka3"/>
    <w:basedOn w:val="Tabulka1"/>
    <w:qFormat/>
    <w:rsid w:val="00AE510E"/>
    <w:rPr>
      <w:rFonts w:asciiTheme="minorHAnsi" w:hAnsiTheme="minorHAnsi"/>
      <w:b/>
      <w:color w:val="FFFFFF" w:themeColor="background1"/>
      <w:szCs w:val="22"/>
    </w:rPr>
  </w:style>
  <w:style w:type="character" w:customStyle="1" w:styleId="Tabulka2Char">
    <w:name w:val="Tabulka2 Char"/>
    <w:basedOn w:val="BezmezerChar"/>
    <w:link w:val="Tabulka2"/>
    <w:rsid w:val="00AE510E"/>
    <w:rPr>
      <w:rFonts w:ascii="Calibri" w:eastAsia="Arial Unicode MS" w:hAnsi="Calibri" w:cs="Tahoma"/>
      <w:b w:val="0"/>
      <w:color w:val="2F5496" w:themeColor="accent1" w:themeShade="BF"/>
      <w:kern w:val="3"/>
      <w:sz w:val="20"/>
      <w:szCs w:val="24"/>
      <w:lang w:eastAsia="en-US"/>
    </w:rPr>
  </w:style>
  <w:style w:type="paragraph" w:customStyle="1" w:styleId="Tab-pr-cer">
    <w:name w:val="Tab-pr-cer"/>
    <w:basedOn w:val="Tabulka1"/>
    <w:link w:val="Tab-pr-cerChar"/>
    <w:qFormat/>
    <w:rsid w:val="00AE510E"/>
    <w:pPr>
      <w:jc w:val="right"/>
    </w:pPr>
  </w:style>
  <w:style w:type="character" w:customStyle="1" w:styleId="Tab-pr-cerChar">
    <w:name w:val="Tab-pr-cer Char"/>
    <w:basedOn w:val="Tabulka1Char"/>
    <w:link w:val="Tab-pr-cer"/>
    <w:rsid w:val="00AE510E"/>
    <w:rPr>
      <w:rFonts w:ascii="Calibri" w:eastAsia="Arial Unicode MS" w:hAnsi="Calibri" w:cs="Tahoma"/>
      <w:b w:val="0"/>
      <w:kern w:val="3"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E510E"/>
    <w:rPr>
      <w:color w:val="0563C1" w:themeColor="hyperlink"/>
      <w:u w:val="single"/>
    </w:rPr>
  </w:style>
  <w:style w:type="paragraph" w:customStyle="1" w:styleId="Tab-tlusty">
    <w:name w:val="Tab-tlusty"/>
    <w:basedOn w:val="Bezmezer"/>
    <w:link w:val="Tab-tlustyChar"/>
    <w:qFormat/>
    <w:rsid w:val="00AE510E"/>
  </w:style>
  <w:style w:type="character" w:customStyle="1" w:styleId="Tab-tlustyChar">
    <w:name w:val="Tab-tlusty Char"/>
    <w:basedOn w:val="BezmezerChar"/>
    <w:link w:val="Tab-tlusty"/>
    <w:rsid w:val="00AE510E"/>
    <w:rPr>
      <w:rFonts w:ascii="Calibri" w:eastAsia="Arial Unicode MS" w:hAnsi="Calibri" w:cs="Tahoma"/>
      <w:b/>
      <w:kern w:val="3"/>
      <w:sz w:val="20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E510E"/>
    <w:rPr>
      <w:color w:val="808080"/>
    </w:rPr>
  </w:style>
  <w:style w:type="paragraph" w:styleId="Revize">
    <w:name w:val="Revision"/>
    <w:hidden/>
    <w:uiPriority w:val="99"/>
    <w:semiHidden/>
    <w:rsid w:val="007527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26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6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2022-01-03T08:39:00Z</dcterms:created>
  <dcterms:modified xsi:type="dcterms:W3CDTF">2022-01-03T08:39:00Z</dcterms:modified>
</cp:coreProperties>
</file>