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61834"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020B49DA" w14:textId="53B1173A"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061CE433"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1D6B2E41" w14:textId="1B40E004"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33DA4726" w14:textId="3ACB1066"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E42355">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14:paraId="57E85BB3" w14:textId="77777777" w:rsidR="00DC5978" w:rsidRPr="00D27771" w:rsidRDefault="00DC5978">
      <w:pPr>
        <w:widowControl/>
        <w:rPr>
          <w:rFonts w:ascii="Arial" w:hAnsi="Arial" w:cs="Arial"/>
        </w:rPr>
      </w:pPr>
    </w:p>
    <w:p w14:paraId="0812D0E3" w14:textId="77777777" w:rsidR="00DC5978" w:rsidRPr="00D27771" w:rsidRDefault="00887698">
      <w:pPr>
        <w:widowControl/>
        <w:rPr>
          <w:rFonts w:ascii="Arial" w:hAnsi="Arial" w:cs="Arial"/>
        </w:rPr>
      </w:pPr>
      <w:r w:rsidRPr="00D27771">
        <w:rPr>
          <w:rFonts w:ascii="Arial" w:hAnsi="Arial" w:cs="Arial"/>
        </w:rPr>
        <w:t>Mgr. Dana Lišková,</w:t>
      </w:r>
    </w:p>
    <w:p w14:paraId="54E45102" w14:textId="77777777" w:rsidR="00DC5978" w:rsidRPr="00D27771" w:rsidRDefault="00DC5978">
      <w:pPr>
        <w:widowControl/>
        <w:rPr>
          <w:rFonts w:ascii="Arial" w:hAnsi="Arial" w:cs="Arial"/>
        </w:rPr>
      </w:pPr>
    </w:p>
    <w:p w14:paraId="56048A93"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074502DF" w14:textId="77777777" w:rsidR="00AD4CDE" w:rsidRPr="00D27771" w:rsidRDefault="00AD4CDE">
      <w:pPr>
        <w:widowControl/>
        <w:rPr>
          <w:rFonts w:ascii="Arial" w:hAnsi="Arial" w:cs="Arial"/>
        </w:rPr>
      </w:pPr>
    </w:p>
    <w:p w14:paraId="7D8BD3D7" w14:textId="77777777" w:rsidR="00AD4CDE" w:rsidRPr="00D27771" w:rsidRDefault="00DC5978">
      <w:pPr>
        <w:widowControl/>
        <w:rPr>
          <w:rFonts w:ascii="Arial" w:hAnsi="Arial" w:cs="Arial"/>
          <w:b/>
        </w:rPr>
      </w:pPr>
      <w:r w:rsidRPr="00D27771">
        <w:rPr>
          <w:rFonts w:ascii="Arial" w:hAnsi="Arial" w:cs="Arial"/>
          <w:b/>
        </w:rPr>
        <w:t>a</w:t>
      </w:r>
    </w:p>
    <w:p w14:paraId="784ACD19" w14:textId="77777777" w:rsidR="00DC5978" w:rsidRPr="00D27771" w:rsidRDefault="00DC5978">
      <w:pPr>
        <w:widowControl/>
        <w:rPr>
          <w:rFonts w:ascii="Arial" w:hAnsi="Arial" w:cs="Arial"/>
          <w:b/>
        </w:rPr>
      </w:pPr>
    </w:p>
    <w:p w14:paraId="0995B18C" w14:textId="3B44396A" w:rsidR="00AD4CDE" w:rsidRPr="00D27771" w:rsidRDefault="00AD4CDE">
      <w:pPr>
        <w:widowControl/>
        <w:tabs>
          <w:tab w:val="left" w:pos="2835"/>
        </w:tabs>
        <w:rPr>
          <w:rFonts w:ascii="Arial" w:hAnsi="Arial" w:cs="Arial"/>
        </w:rPr>
      </w:pPr>
      <w:r w:rsidRPr="00D27771">
        <w:rPr>
          <w:rFonts w:ascii="Arial" w:hAnsi="Arial" w:cs="Arial"/>
        </w:rPr>
        <w:t>pan Staněk Bohuslav</w:t>
      </w:r>
      <w:r w:rsidRPr="00D27771">
        <w:rPr>
          <w:rFonts w:ascii="Arial" w:hAnsi="Arial" w:cs="Arial"/>
        </w:rPr>
        <w:tab/>
        <w:t>r.č. 55</w:t>
      </w:r>
      <w:r w:rsidR="00912011">
        <w:rPr>
          <w:rFonts w:ascii="Arial" w:hAnsi="Arial" w:cs="Arial"/>
        </w:rPr>
        <w:t>xxxxxxxxx</w:t>
      </w:r>
      <w:r w:rsidRPr="00D27771">
        <w:rPr>
          <w:rFonts w:ascii="Arial" w:hAnsi="Arial" w:cs="Arial"/>
        </w:rPr>
        <w:t xml:space="preserve">, trvale bytem </w:t>
      </w:r>
      <w:r w:rsidR="00912011">
        <w:rPr>
          <w:rFonts w:ascii="Arial" w:hAnsi="Arial" w:cs="Arial"/>
        </w:rPr>
        <w:t>xxxxxxxxx</w:t>
      </w:r>
      <w:r w:rsidR="00912011">
        <w:rPr>
          <w:rFonts w:ascii="Arial" w:hAnsi="Arial" w:cs="Arial"/>
        </w:rPr>
        <w:t>xxx</w:t>
      </w:r>
      <w:r w:rsidRPr="00D27771">
        <w:rPr>
          <w:rFonts w:ascii="Arial" w:hAnsi="Arial" w:cs="Arial"/>
        </w:rPr>
        <w:t>, Ostrava-Výškovice 70030</w:t>
      </w:r>
      <w:r w:rsidR="00E42355">
        <w:rPr>
          <w:rFonts w:ascii="Arial" w:hAnsi="Arial" w:cs="Arial"/>
        </w:rPr>
        <w:t xml:space="preserve">, dle plné moci </w:t>
      </w:r>
      <w:r w:rsidR="00912011">
        <w:rPr>
          <w:rFonts w:ascii="Arial" w:hAnsi="Arial" w:cs="Arial"/>
        </w:rPr>
        <w:t>xxxxxxxxx</w:t>
      </w:r>
      <w:r w:rsidR="00912011">
        <w:rPr>
          <w:rFonts w:ascii="Arial" w:hAnsi="Arial" w:cs="Arial"/>
        </w:rPr>
        <w:t>xx</w:t>
      </w:r>
      <w:r w:rsidRPr="00D27771">
        <w:rPr>
          <w:rFonts w:ascii="Arial" w:hAnsi="Arial" w:cs="Arial"/>
        </w:rPr>
        <w:t>,</w:t>
      </w:r>
    </w:p>
    <w:p w14:paraId="4EC90EBE"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247626C" w14:textId="734A1A3B"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57978314"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A8C78CB" w14:textId="77777777" w:rsidR="00AD4CDE" w:rsidRPr="00D27771" w:rsidRDefault="00AD4CDE">
      <w:pPr>
        <w:widowControl/>
        <w:tabs>
          <w:tab w:val="left" w:pos="2835"/>
        </w:tabs>
        <w:rPr>
          <w:rFonts w:ascii="Arial" w:hAnsi="Arial" w:cs="Arial"/>
        </w:rPr>
      </w:pPr>
    </w:p>
    <w:p w14:paraId="2A02FE7B"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4FE97C64" w14:textId="77777777" w:rsidR="00AD4CDE" w:rsidRPr="00D27771" w:rsidRDefault="00AD4CDE">
      <w:pPr>
        <w:widowControl/>
        <w:tabs>
          <w:tab w:val="left" w:pos="2835"/>
        </w:tabs>
        <w:rPr>
          <w:rFonts w:ascii="Arial" w:hAnsi="Arial" w:cs="Arial"/>
        </w:rPr>
      </w:pPr>
    </w:p>
    <w:p w14:paraId="4B55DBA6"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37D8488C" w14:textId="77777777" w:rsidR="00AD4CDE" w:rsidRPr="00D27771" w:rsidRDefault="00AD4CDE">
      <w:pPr>
        <w:widowControl/>
        <w:tabs>
          <w:tab w:val="left" w:pos="2835"/>
        </w:tabs>
        <w:rPr>
          <w:rFonts w:ascii="Arial" w:hAnsi="Arial" w:cs="Arial"/>
        </w:rPr>
      </w:pPr>
    </w:p>
    <w:p w14:paraId="7F63E325" w14:textId="31E28B0A" w:rsidR="00AD4CDE" w:rsidRDefault="00AD4CDE">
      <w:pPr>
        <w:widowControl/>
        <w:rPr>
          <w:rFonts w:ascii="Arial" w:hAnsi="Arial" w:cs="Arial"/>
        </w:rPr>
      </w:pPr>
    </w:p>
    <w:p w14:paraId="5AFCCAD5" w14:textId="77777777" w:rsidR="00E42355" w:rsidRPr="00D27771" w:rsidRDefault="00E42355">
      <w:pPr>
        <w:widowControl/>
        <w:rPr>
          <w:rFonts w:ascii="Arial" w:hAnsi="Arial" w:cs="Arial"/>
        </w:rPr>
      </w:pPr>
    </w:p>
    <w:p w14:paraId="360DFCCD" w14:textId="77777777" w:rsidR="00AD4CDE" w:rsidRPr="00D27771" w:rsidRDefault="00AD4CDE">
      <w:pPr>
        <w:widowControl/>
        <w:rPr>
          <w:rFonts w:ascii="Arial" w:hAnsi="Arial" w:cs="Arial"/>
        </w:rPr>
      </w:pPr>
    </w:p>
    <w:p w14:paraId="51A80FC6"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2PR21/55</w:t>
      </w:r>
    </w:p>
    <w:p w14:paraId="37720DD3" w14:textId="77777777" w:rsidR="00AD4CDE" w:rsidRPr="00D27771" w:rsidRDefault="00AD4CDE">
      <w:pPr>
        <w:pStyle w:val="para"/>
        <w:rPr>
          <w:rFonts w:ascii="Arial" w:hAnsi="Arial" w:cs="Arial"/>
          <w:sz w:val="20"/>
          <w:szCs w:val="20"/>
        </w:rPr>
      </w:pPr>
    </w:p>
    <w:p w14:paraId="2D892AE6" w14:textId="77777777" w:rsidR="00AD4CDE" w:rsidRPr="00D27771" w:rsidRDefault="00AD4CDE">
      <w:pPr>
        <w:pStyle w:val="para"/>
        <w:rPr>
          <w:rFonts w:ascii="Arial" w:hAnsi="Arial" w:cs="Arial"/>
          <w:sz w:val="20"/>
          <w:szCs w:val="20"/>
        </w:rPr>
      </w:pPr>
    </w:p>
    <w:p w14:paraId="023F8BD4"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5AE4086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924113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7B57718" w14:textId="1458E8AA"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Frýdek-Místek pro katastrální území Místek, obec Frýdek-Místek.</w:t>
      </w:r>
    </w:p>
    <w:p w14:paraId="07A6C75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2439EC3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D278F6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1B5870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C0A409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4402/1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1 401 m2</w:t>
      </w:r>
      <w:r w:rsidRPr="00835624">
        <w:rPr>
          <w:rFonts w:ascii="Arial" w:hAnsi="Arial" w:cs="Arial"/>
          <w:sz w:val="18"/>
        </w:rPr>
        <w:tab/>
        <w:t xml:space="preserve">24 588,00 Kč </w:t>
      </w:r>
    </w:p>
    <w:p w14:paraId="705C659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3B1A34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1 401 m2 </w:t>
      </w:r>
      <w:r w:rsidRPr="00835624">
        <w:rPr>
          <w:rFonts w:ascii="Arial" w:hAnsi="Arial" w:cs="Arial"/>
          <w:sz w:val="18"/>
        </w:rPr>
        <w:tab/>
        <w:t>24 588,00 Kč</w:t>
      </w:r>
    </w:p>
    <w:p w14:paraId="70D0A8F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D3778C4" w14:textId="77777777" w:rsidR="00AD4CDE" w:rsidRPr="00D27771" w:rsidRDefault="00AD4CDE">
      <w:pPr>
        <w:widowControl/>
        <w:tabs>
          <w:tab w:val="left" w:pos="2410"/>
          <w:tab w:val="left" w:pos="6804"/>
          <w:tab w:val="right" w:pos="9412"/>
        </w:tabs>
        <w:jc w:val="both"/>
        <w:rPr>
          <w:rFonts w:ascii="Arial" w:hAnsi="Arial" w:cs="Arial"/>
        </w:rPr>
      </w:pPr>
    </w:p>
    <w:p w14:paraId="5420FE39" w14:textId="76004FA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dle kupní smlouvy ze dne 17.3.1965 k nemovitosti zapsan</w:t>
      </w:r>
      <w:r w:rsidR="00C72CE3">
        <w:rPr>
          <w:rFonts w:ascii="Arial" w:hAnsi="Arial" w:cs="Arial"/>
        </w:rPr>
        <w:t>é</w:t>
      </w:r>
      <w:r w:rsidRPr="00D27771">
        <w:rPr>
          <w:rFonts w:ascii="Arial" w:hAnsi="Arial" w:cs="Arial"/>
        </w:rPr>
        <w:t xml:space="preserve"> v knihovní vložce </w:t>
      </w:r>
      <w:r w:rsidR="00C72CE3">
        <w:rPr>
          <w:rFonts w:ascii="Arial" w:hAnsi="Arial" w:cs="Arial"/>
        </w:rPr>
        <w:t xml:space="preserve">č. </w:t>
      </w:r>
      <w:r w:rsidRPr="00D27771">
        <w:rPr>
          <w:rFonts w:ascii="Arial" w:hAnsi="Arial" w:cs="Arial"/>
        </w:rPr>
        <w:t>1150 katastrální</w:t>
      </w:r>
      <w:r w:rsidR="00C72CE3">
        <w:rPr>
          <w:rFonts w:ascii="Arial" w:hAnsi="Arial" w:cs="Arial"/>
        </w:rPr>
        <w:t>ho</w:t>
      </w:r>
      <w:r w:rsidRPr="00D27771">
        <w:rPr>
          <w:rFonts w:ascii="Arial" w:hAnsi="Arial" w:cs="Arial"/>
        </w:rPr>
        <w:t xml:space="preserve"> území Místek.</w:t>
      </w:r>
    </w:p>
    <w:p w14:paraId="10C5B6D6" w14:textId="77777777" w:rsidR="00AD4CDE" w:rsidRPr="00D27771" w:rsidRDefault="00AD4CDE">
      <w:pPr>
        <w:widowControl/>
        <w:tabs>
          <w:tab w:val="left" w:pos="2410"/>
          <w:tab w:val="left" w:pos="6804"/>
          <w:tab w:val="right" w:pos="9412"/>
        </w:tabs>
        <w:jc w:val="both"/>
        <w:rPr>
          <w:rFonts w:ascii="Arial" w:hAnsi="Arial" w:cs="Arial"/>
        </w:rPr>
      </w:pPr>
    </w:p>
    <w:p w14:paraId="0F80A6DE" w14:textId="41618E7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912011">
        <w:rPr>
          <w:rFonts w:ascii="Arial" w:hAnsi="Arial" w:cs="Arial"/>
        </w:rPr>
        <w:t>xxxxxxxxx</w:t>
      </w:r>
      <w:r w:rsidR="00912011">
        <w:rPr>
          <w:rFonts w:ascii="Arial" w:hAnsi="Arial" w:cs="Arial"/>
        </w:rPr>
        <w:t xml:space="preserve">xxxxx </w:t>
      </w:r>
      <w:r w:rsidRPr="00D27771">
        <w:rPr>
          <w:rFonts w:ascii="Arial" w:hAnsi="Arial" w:cs="Arial"/>
        </w:rPr>
        <w:t xml:space="preserve">ze dne 29. 8. 2021, pod č.j. 6570/109/2021, podle vyhl.č. 182/1988 Sb., ve znění vyhl.č. 316/1990 Sb., celkovou částkou 6 174,90 Kč (slovy: šesttisícjednostosedmdesátčtyři koruny české devadesát haléřů). </w:t>
      </w:r>
    </w:p>
    <w:p w14:paraId="558E5196" w14:textId="77777777" w:rsidR="00AD4CDE" w:rsidRPr="00D27771" w:rsidRDefault="00AD4CDE">
      <w:pPr>
        <w:widowControl/>
        <w:tabs>
          <w:tab w:val="left" w:pos="2410"/>
          <w:tab w:val="left" w:pos="6804"/>
          <w:tab w:val="right" w:pos="9412"/>
        </w:tabs>
        <w:jc w:val="both"/>
        <w:rPr>
          <w:rFonts w:ascii="Arial" w:hAnsi="Arial" w:cs="Arial"/>
        </w:rPr>
      </w:pPr>
    </w:p>
    <w:p w14:paraId="4FDCD782" w14:textId="2EFE432B" w:rsidR="00AD4CDE" w:rsidRDefault="00AD4CDE">
      <w:pPr>
        <w:widowControl/>
        <w:jc w:val="both"/>
        <w:rPr>
          <w:rFonts w:ascii="Arial" w:hAnsi="Arial" w:cs="Arial"/>
        </w:rPr>
      </w:pPr>
    </w:p>
    <w:p w14:paraId="6B6390C6" w14:textId="65B5F90F" w:rsidR="00E42355" w:rsidRDefault="00E42355">
      <w:pPr>
        <w:widowControl/>
        <w:jc w:val="both"/>
        <w:rPr>
          <w:rFonts w:ascii="Arial" w:hAnsi="Arial" w:cs="Arial"/>
        </w:rPr>
      </w:pPr>
    </w:p>
    <w:p w14:paraId="11209B7B" w14:textId="77777777" w:rsidR="00E42355" w:rsidRPr="00D27771" w:rsidRDefault="00E42355">
      <w:pPr>
        <w:widowControl/>
        <w:jc w:val="both"/>
        <w:rPr>
          <w:rFonts w:ascii="Arial" w:hAnsi="Arial" w:cs="Arial"/>
        </w:rPr>
      </w:pPr>
    </w:p>
    <w:p w14:paraId="6DB9893F"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01D32649" w14:textId="77777777" w:rsidR="00196594" w:rsidRPr="00D27771" w:rsidRDefault="00196594" w:rsidP="00E42355">
      <w:pPr>
        <w:pStyle w:val="para"/>
        <w:jc w:val="both"/>
        <w:rPr>
          <w:rFonts w:ascii="Arial" w:hAnsi="Arial" w:cs="Arial"/>
          <w:sz w:val="20"/>
          <w:szCs w:val="20"/>
        </w:rPr>
      </w:pPr>
    </w:p>
    <w:p w14:paraId="1C705D51" w14:textId="77777777" w:rsidR="00AD4CDE" w:rsidRPr="00D27771" w:rsidRDefault="00AD4CDE" w:rsidP="00E42355">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1DB8B902" w14:textId="77777777" w:rsidR="00AD4CDE" w:rsidRPr="00D27771" w:rsidRDefault="00AD4CDE" w:rsidP="00E42355">
      <w:pPr>
        <w:widowControl/>
        <w:jc w:val="both"/>
        <w:rPr>
          <w:rFonts w:ascii="Arial" w:hAnsi="Arial" w:cs="Arial"/>
        </w:rPr>
      </w:pPr>
      <w:r w:rsidRPr="00D27771">
        <w:rPr>
          <w:rFonts w:ascii="Arial" w:hAnsi="Arial" w:cs="Arial"/>
        </w:rPr>
        <w:t xml:space="preserve"> </w:t>
      </w:r>
    </w:p>
    <w:p w14:paraId="529E3E45" w14:textId="3EF7B0DE" w:rsidR="00AD4CDE" w:rsidRPr="00D27771" w:rsidRDefault="00AD4CDE" w:rsidP="00E42355">
      <w:pPr>
        <w:widowControl/>
        <w:jc w:val="both"/>
        <w:rPr>
          <w:rFonts w:ascii="Arial" w:hAnsi="Arial" w:cs="Arial"/>
        </w:rPr>
      </w:pPr>
      <w:r w:rsidRPr="00D27771">
        <w:rPr>
          <w:rFonts w:ascii="Arial" w:hAnsi="Arial" w:cs="Arial"/>
        </w:rPr>
        <w:t xml:space="preserve">- dědictvím nároku, ze dne 14. 10. 2020, ve výši </w:t>
      </w:r>
      <w:r w:rsidR="00912011">
        <w:rPr>
          <w:rFonts w:ascii="Arial" w:hAnsi="Arial" w:cs="Arial"/>
        </w:rPr>
        <w:t>xxxxxxxxx</w:t>
      </w:r>
      <w:r w:rsidR="00912011">
        <w:rPr>
          <w:rFonts w:ascii="Arial" w:hAnsi="Arial" w:cs="Arial"/>
        </w:rPr>
        <w:t xml:space="preserve">xxxx </w:t>
      </w:r>
      <w:r w:rsidRPr="00D27771">
        <w:rPr>
          <w:rFonts w:ascii="Arial" w:hAnsi="Arial" w:cs="Arial"/>
        </w:rPr>
        <w:t xml:space="preserve">Kč, mezi postupitelem Staňková Marie a nabyvatelem. </w:t>
      </w:r>
    </w:p>
    <w:p w14:paraId="1BC7ADEB" w14:textId="77777777" w:rsidR="00AD4CDE" w:rsidRPr="00D27771" w:rsidRDefault="00AD4CDE" w:rsidP="00E42355">
      <w:pPr>
        <w:widowControl/>
        <w:jc w:val="both"/>
        <w:rPr>
          <w:rFonts w:ascii="Arial" w:hAnsi="Arial" w:cs="Arial"/>
        </w:rPr>
      </w:pPr>
      <w:r w:rsidRPr="00D27771">
        <w:rPr>
          <w:rFonts w:ascii="Arial" w:hAnsi="Arial" w:cs="Arial"/>
        </w:rPr>
        <w:t xml:space="preserve">Postoupený nárok je doložen:  </w:t>
      </w:r>
    </w:p>
    <w:p w14:paraId="5667C379" w14:textId="77777777" w:rsidR="00AD4CDE" w:rsidRPr="00D27771" w:rsidRDefault="00AD4CDE" w:rsidP="00E42355">
      <w:pPr>
        <w:widowControl/>
        <w:jc w:val="both"/>
        <w:rPr>
          <w:rFonts w:ascii="Arial" w:hAnsi="Arial" w:cs="Arial"/>
        </w:rPr>
      </w:pPr>
      <w:r w:rsidRPr="00D27771">
        <w:rPr>
          <w:rFonts w:ascii="Arial" w:hAnsi="Arial" w:cs="Arial"/>
        </w:rPr>
        <w:t xml:space="preserve">- pravomocným rozhodnutím Okresního pozemkového úřadu Ostrava, č.j. PÚ/448/91-NM/5-3814/2010-MZE ze dne 25. 10. 2010, kterým oprávněné osobě Staňková Marie, nelze vydat pozemky nebo jejich části v katastrálním území Výškovice u Ostravy, obce Ostrava, okresu Ostrava. </w:t>
      </w:r>
    </w:p>
    <w:p w14:paraId="65C2CE26" w14:textId="77777777" w:rsidR="00AD4CDE" w:rsidRPr="00D27771" w:rsidRDefault="00AD4CDE" w:rsidP="00E42355">
      <w:pPr>
        <w:widowControl/>
        <w:jc w:val="both"/>
        <w:rPr>
          <w:rFonts w:ascii="Arial" w:hAnsi="Arial" w:cs="Arial"/>
        </w:rPr>
      </w:pPr>
      <w:r w:rsidRPr="00D27771">
        <w:rPr>
          <w:rFonts w:ascii="Arial" w:hAnsi="Arial" w:cs="Arial"/>
        </w:rPr>
        <w:t xml:space="preserve">Nevydané pozemky byly oceněny: </w:t>
      </w:r>
    </w:p>
    <w:p w14:paraId="7D6B75CC" w14:textId="0605154B" w:rsidR="00AD4CDE" w:rsidRPr="00D27771" w:rsidRDefault="00AD4CDE" w:rsidP="00E42355">
      <w:pPr>
        <w:widowControl/>
        <w:jc w:val="both"/>
        <w:rPr>
          <w:rFonts w:ascii="Arial" w:hAnsi="Arial" w:cs="Arial"/>
        </w:rPr>
      </w:pPr>
      <w:r w:rsidRPr="00D27771">
        <w:rPr>
          <w:rFonts w:ascii="Arial" w:hAnsi="Arial" w:cs="Arial"/>
        </w:rPr>
        <w:t xml:space="preserve"> -  znaleckým posudkem znalce </w:t>
      </w:r>
      <w:r w:rsidR="00912011">
        <w:rPr>
          <w:rFonts w:ascii="Arial" w:hAnsi="Arial" w:cs="Arial"/>
        </w:rPr>
        <w:t>xxxxxxxxx</w:t>
      </w:r>
      <w:r w:rsidR="00912011">
        <w:rPr>
          <w:rFonts w:ascii="Arial" w:hAnsi="Arial" w:cs="Arial"/>
        </w:rPr>
        <w:t>xxxxxx</w:t>
      </w:r>
      <w:r w:rsidRPr="00D27771">
        <w:rPr>
          <w:rFonts w:ascii="Arial" w:hAnsi="Arial" w:cs="Arial"/>
        </w:rPr>
        <w:t xml:space="preserve">, č.j.  5672-90/10, ze dne 23. 12. 2010, podle vyhl.č. 182/1988 Sb., ve znění vyhl.č. 316/1990 Sb., celkovou částkou </w:t>
      </w:r>
      <w:r w:rsidR="00912011">
        <w:rPr>
          <w:rFonts w:ascii="Arial" w:hAnsi="Arial" w:cs="Arial"/>
        </w:rPr>
        <w:t>xxxxxxxxx</w:t>
      </w:r>
      <w:r w:rsidR="00912011">
        <w:rPr>
          <w:rFonts w:ascii="Arial" w:hAnsi="Arial" w:cs="Arial"/>
        </w:rPr>
        <w:t>xxx</w:t>
      </w:r>
      <w:r w:rsidR="00912011" w:rsidRPr="00D27771">
        <w:rPr>
          <w:rFonts w:ascii="Arial" w:hAnsi="Arial" w:cs="Arial"/>
        </w:rPr>
        <w:t xml:space="preserve"> </w:t>
      </w:r>
      <w:r w:rsidRPr="00D27771">
        <w:rPr>
          <w:rFonts w:ascii="Arial" w:hAnsi="Arial" w:cs="Arial"/>
        </w:rPr>
        <w:t xml:space="preserve">Kč (slovy: </w:t>
      </w:r>
      <w:r w:rsidR="00912011">
        <w:rPr>
          <w:rFonts w:ascii="Arial" w:hAnsi="Arial" w:cs="Arial"/>
        </w:rPr>
        <w:t>xxxxxxxxx</w:t>
      </w:r>
      <w:r w:rsidR="00912011" w:rsidRPr="00D27771">
        <w:rPr>
          <w:rFonts w:ascii="Arial" w:hAnsi="Arial" w:cs="Arial"/>
        </w:rPr>
        <w:t xml:space="preserve"> </w:t>
      </w:r>
      <w:r w:rsidR="00912011">
        <w:rPr>
          <w:rFonts w:ascii="Arial" w:hAnsi="Arial" w:cs="Arial"/>
        </w:rPr>
        <w:t>xxxxxxxxx</w:t>
      </w:r>
      <w:r w:rsidR="00912011">
        <w:rPr>
          <w:rFonts w:ascii="Arial" w:hAnsi="Arial" w:cs="Arial"/>
        </w:rPr>
        <w:t>xxxxxxxxxxxxxxxxxxxxxxxxxxxx</w:t>
      </w:r>
      <w:r w:rsidR="00912011" w:rsidRPr="00D27771">
        <w:rPr>
          <w:rFonts w:ascii="Arial" w:hAnsi="Arial" w:cs="Arial"/>
        </w:rPr>
        <w:t xml:space="preserve"> </w:t>
      </w:r>
      <w:r w:rsidRPr="00D27771">
        <w:rPr>
          <w:rFonts w:ascii="Arial" w:hAnsi="Arial" w:cs="Arial"/>
        </w:rPr>
        <w:t xml:space="preserve">korun českých). </w:t>
      </w:r>
    </w:p>
    <w:p w14:paraId="1E9305D4" w14:textId="77777777" w:rsidR="00AD4CDE" w:rsidRPr="00D27771" w:rsidRDefault="00AD4CDE" w:rsidP="00E42355">
      <w:pPr>
        <w:widowControl/>
        <w:jc w:val="both"/>
        <w:rPr>
          <w:rFonts w:ascii="Arial" w:hAnsi="Arial" w:cs="Arial"/>
        </w:rPr>
      </w:pPr>
    </w:p>
    <w:p w14:paraId="09534D17" w14:textId="77777777" w:rsidR="00AD4CDE" w:rsidRPr="00D27771" w:rsidRDefault="00AD4CDE" w:rsidP="00E42355">
      <w:pPr>
        <w:widowControl/>
        <w:jc w:val="both"/>
        <w:rPr>
          <w:rFonts w:ascii="Arial" w:hAnsi="Arial" w:cs="Arial"/>
        </w:rPr>
      </w:pPr>
      <w:r w:rsidRPr="00D27771">
        <w:rPr>
          <w:rFonts w:ascii="Arial" w:hAnsi="Arial" w:cs="Arial"/>
        </w:rPr>
        <w:t xml:space="preserve">Z toho bude touto smlouvou vypořádáno 24 588,00 Kč. </w:t>
      </w:r>
    </w:p>
    <w:p w14:paraId="5BC1323C" w14:textId="77777777" w:rsidR="00AD4CDE" w:rsidRPr="00D27771" w:rsidRDefault="00AD4CDE" w:rsidP="00E42355">
      <w:pPr>
        <w:widowControl/>
        <w:jc w:val="both"/>
        <w:rPr>
          <w:rFonts w:ascii="Arial" w:hAnsi="Arial" w:cs="Arial"/>
        </w:rPr>
      </w:pPr>
    </w:p>
    <w:p w14:paraId="1DB1218F" w14:textId="77777777" w:rsidR="00AD4CDE" w:rsidRPr="00D27771" w:rsidRDefault="00AD4CDE" w:rsidP="00E42355">
      <w:pPr>
        <w:widowControl/>
        <w:jc w:val="both"/>
        <w:rPr>
          <w:rFonts w:ascii="Arial" w:hAnsi="Arial" w:cs="Arial"/>
        </w:rPr>
      </w:pPr>
    </w:p>
    <w:p w14:paraId="2F6124CC" w14:textId="77777777" w:rsidR="00AD4CDE" w:rsidRPr="00D27771" w:rsidRDefault="00AD4CDE" w:rsidP="00E42355">
      <w:pPr>
        <w:widowControl/>
        <w:jc w:val="both"/>
        <w:rPr>
          <w:rFonts w:ascii="Arial" w:hAnsi="Arial" w:cs="Arial"/>
          <w:color w:val="000000"/>
        </w:rPr>
      </w:pPr>
    </w:p>
    <w:p w14:paraId="71A762F6" w14:textId="1E6EF6BC" w:rsidR="00AD4CDE" w:rsidRPr="00D27771" w:rsidRDefault="00AD4CDE">
      <w:pPr>
        <w:widowControl/>
        <w:rPr>
          <w:rFonts w:ascii="Arial" w:hAnsi="Arial" w:cs="Arial"/>
        </w:rPr>
      </w:pPr>
    </w:p>
    <w:p w14:paraId="3D8C5E05"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4CFFB9F6"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098DEB89" w14:textId="77777777" w:rsidR="00AD4CDE" w:rsidRPr="00D27771" w:rsidRDefault="00AD4CDE">
      <w:pPr>
        <w:widowControl/>
        <w:jc w:val="right"/>
        <w:rPr>
          <w:rFonts w:ascii="Arial" w:hAnsi="Arial" w:cs="Arial"/>
          <w:b/>
          <w:bCs/>
        </w:rPr>
      </w:pPr>
    </w:p>
    <w:p w14:paraId="2491A017" w14:textId="21FC500F" w:rsidR="00AD4CDE" w:rsidRDefault="00AD4CDE" w:rsidP="00E42355">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14:paraId="674B91F1" w14:textId="77777777" w:rsidR="00E42355" w:rsidRDefault="00E42355" w:rsidP="00E42355">
      <w:pPr>
        <w:pStyle w:val="vniontext"/>
        <w:widowControl/>
        <w:ind w:firstLine="0"/>
        <w:rPr>
          <w:rFonts w:ascii="Arial" w:hAnsi="Arial" w:cs="Arial"/>
          <w:color w:val="000000"/>
          <w:sz w:val="20"/>
          <w:szCs w:val="20"/>
        </w:rPr>
      </w:pPr>
    </w:p>
    <w:p w14:paraId="01B76A7A" w14:textId="592AAD61" w:rsidR="00AD4CDE" w:rsidRDefault="00AD4CDE" w:rsidP="00E42355">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554A527B" w14:textId="1F4B1645" w:rsidR="00E42355" w:rsidRDefault="00E42355" w:rsidP="00E42355">
      <w:pPr>
        <w:pStyle w:val="vniontext"/>
        <w:widowControl/>
        <w:ind w:firstLine="0"/>
        <w:rPr>
          <w:rFonts w:ascii="Arial" w:hAnsi="Arial" w:cs="Arial"/>
          <w:sz w:val="20"/>
          <w:szCs w:val="20"/>
        </w:rPr>
      </w:pPr>
    </w:p>
    <w:p w14:paraId="1EA229E3" w14:textId="4E2DB49E" w:rsidR="00E42355" w:rsidRDefault="00E42355" w:rsidP="00E42355">
      <w:pPr>
        <w:pStyle w:val="vniontext"/>
        <w:widowControl/>
        <w:ind w:firstLine="0"/>
        <w:rPr>
          <w:rFonts w:ascii="Arial" w:hAnsi="Arial" w:cs="Arial"/>
          <w:sz w:val="20"/>
          <w:szCs w:val="20"/>
        </w:rPr>
      </w:pPr>
    </w:p>
    <w:p w14:paraId="4A76F25B" w14:textId="77777777" w:rsidR="00E42355" w:rsidRPr="00D27771" w:rsidRDefault="00E42355" w:rsidP="00E42355">
      <w:pPr>
        <w:pStyle w:val="vniontext"/>
        <w:widowControl/>
        <w:ind w:firstLine="0"/>
        <w:rPr>
          <w:rFonts w:ascii="Arial" w:hAnsi="Arial" w:cs="Arial"/>
          <w:sz w:val="20"/>
          <w:szCs w:val="20"/>
        </w:rPr>
      </w:pPr>
    </w:p>
    <w:p w14:paraId="747C6ECF" w14:textId="77777777" w:rsidR="00AD4CDE" w:rsidRPr="00D27771" w:rsidRDefault="00AD4CDE">
      <w:pPr>
        <w:pStyle w:val="para"/>
        <w:rPr>
          <w:rFonts w:ascii="Arial" w:hAnsi="Arial" w:cs="Arial"/>
          <w:color w:val="000000"/>
          <w:sz w:val="20"/>
          <w:szCs w:val="20"/>
        </w:rPr>
      </w:pPr>
    </w:p>
    <w:p w14:paraId="64B3E6A6" w14:textId="503C688C" w:rsidR="00AD4CDE"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8839462" w14:textId="77777777" w:rsidR="00E42355" w:rsidRPr="00D27771" w:rsidRDefault="00E42355">
      <w:pPr>
        <w:pStyle w:val="para"/>
        <w:rPr>
          <w:rFonts w:ascii="Arial" w:hAnsi="Arial" w:cs="Arial"/>
          <w:color w:val="000000"/>
          <w:sz w:val="20"/>
          <w:szCs w:val="20"/>
        </w:rPr>
      </w:pPr>
    </w:p>
    <w:p w14:paraId="6E7A0FED" w14:textId="2AE03F0E" w:rsidR="00AD2C21" w:rsidRDefault="00AD4CDE" w:rsidP="00AD2C21">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03E27804" w14:textId="77777777" w:rsidR="00AD2C21" w:rsidRDefault="00AD2C21" w:rsidP="00AD2C21">
      <w:pPr>
        <w:pStyle w:val="vniontext"/>
        <w:widowControl/>
        <w:ind w:firstLine="0"/>
        <w:rPr>
          <w:rFonts w:ascii="Arial" w:hAnsi="Arial" w:cs="Arial"/>
          <w:color w:val="000000"/>
          <w:sz w:val="20"/>
          <w:szCs w:val="20"/>
        </w:rPr>
      </w:pPr>
    </w:p>
    <w:p w14:paraId="2222E0E3" w14:textId="77777777" w:rsidR="00AD2C21" w:rsidRDefault="00AD2C21" w:rsidP="00AD2C21">
      <w:pPr>
        <w:pStyle w:val="vniontext"/>
        <w:widowControl/>
        <w:ind w:firstLine="0"/>
        <w:rPr>
          <w:rFonts w:ascii="Arial" w:hAnsi="Arial" w:cs="Arial"/>
          <w:color w:val="000000"/>
          <w:sz w:val="20"/>
          <w:szCs w:val="20"/>
        </w:rPr>
      </w:pPr>
    </w:p>
    <w:p w14:paraId="2F1A171E" w14:textId="77777777" w:rsidR="008A6435" w:rsidRPr="00D27771" w:rsidRDefault="008A6435">
      <w:pPr>
        <w:widowControl/>
        <w:jc w:val="both"/>
        <w:rPr>
          <w:rFonts w:ascii="Arial" w:hAnsi="Arial" w:cs="Arial"/>
          <w:lang w:val="en-US"/>
        </w:rPr>
      </w:pPr>
    </w:p>
    <w:p w14:paraId="16F5ABA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9C6B94C" w14:textId="77777777" w:rsidR="00AD4CDE" w:rsidRPr="00D27771" w:rsidRDefault="00AD4CDE">
      <w:pPr>
        <w:widowControl/>
        <w:rPr>
          <w:rFonts w:ascii="Arial" w:hAnsi="Arial" w:cs="Arial"/>
          <w:color w:val="000000"/>
        </w:rPr>
      </w:pPr>
    </w:p>
    <w:p w14:paraId="59FA9064" w14:textId="609D5C96" w:rsidR="00AD4CDE" w:rsidRPr="00E42355" w:rsidRDefault="00AD4CDE" w:rsidP="00E42355">
      <w:pPr>
        <w:pStyle w:val="vniontext"/>
        <w:widowControl/>
        <w:ind w:firstLine="0"/>
        <w:rPr>
          <w:rFonts w:ascii="Arial" w:hAnsi="Arial" w:cs="Arial"/>
          <w:color w:val="000000"/>
          <w:sz w:val="20"/>
          <w:szCs w:val="2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w:t>
      </w:r>
    </w:p>
    <w:p w14:paraId="2B23ED15" w14:textId="77777777" w:rsidR="00AD4CDE" w:rsidRPr="00D27771" w:rsidRDefault="00AD4CDE" w:rsidP="00E42355">
      <w:pPr>
        <w:pStyle w:val="vniontext"/>
        <w:widowControl/>
        <w:ind w:firstLine="0"/>
        <w:rPr>
          <w:rFonts w:ascii="Arial" w:hAnsi="Arial" w:cs="Arial"/>
          <w:sz w:val="20"/>
          <w:szCs w:val="20"/>
        </w:rPr>
      </w:pPr>
    </w:p>
    <w:p w14:paraId="1C4B152C" w14:textId="669D57F9" w:rsidR="001E5055" w:rsidRPr="00D27771" w:rsidRDefault="001E5055" w:rsidP="00E42355">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E4235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7780AF6" w14:textId="77777777" w:rsidR="003A69C2" w:rsidRPr="00D27771" w:rsidRDefault="003A69C2">
      <w:pPr>
        <w:pStyle w:val="vniontext"/>
        <w:widowControl/>
        <w:rPr>
          <w:rFonts w:ascii="Arial" w:hAnsi="Arial" w:cs="Arial"/>
          <w:sz w:val="20"/>
          <w:szCs w:val="20"/>
          <w:lang w:val="en-US"/>
        </w:rPr>
      </w:pPr>
    </w:p>
    <w:p w14:paraId="234927E8" w14:textId="16179AD5" w:rsidR="002B7458" w:rsidRPr="00D27771" w:rsidRDefault="00D75B4F" w:rsidP="00547094">
      <w:pPr>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w:t>
      </w:r>
      <w:r w:rsidRPr="00E569A9">
        <w:rPr>
          <w:rFonts w:ascii="Arial" w:hAnsi="Arial" w:cs="Arial"/>
          <w:lang w:eastAsia="en-US"/>
        </w:rPr>
        <w:lastRenderedPageBreak/>
        <w:t>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57D68C6E" w14:textId="77777777" w:rsidR="00683264" w:rsidRDefault="00683264" w:rsidP="002B7458">
      <w:pPr>
        <w:pStyle w:val="vnintext"/>
        <w:rPr>
          <w:rFonts w:ascii="Arial" w:hAnsi="Arial" w:cs="Arial"/>
          <w:sz w:val="20"/>
          <w:szCs w:val="20"/>
        </w:rPr>
      </w:pPr>
    </w:p>
    <w:p w14:paraId="21D0E52C" w14:textId="77777777" w:rsidR="00683264" w:rsidRPr="00683264" w:rsidRDefault="00683264" w:rsidP="00E42355">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5F47EA2" w14:textId="229B8CD0"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FAAE8C9" w14:textId="77777777" w:rsidR="00683264" w:rsidRPr="00683264" w:rsidRDefault="00683264" w:rsidP="00683264">
      <w:pPr>
        <w:jc w:val="both"/>
        <w:rPr>
          <w:rFonts w:ascii="Arial" w:hAnsi="Arial" w:cs="Arial"/>
          <w:color w:val="000000" w:themeColor="text1"/>
          <w:lang w:eastAsia="en-US"/>
        </w:rPr>
      </w:pPr>
    </w:p>
    <w:p w14:paraId="0AB1625B" w14:textId="77777777" w:rsidR="00683264" w:rsidRPr="00D27771" w:rsidRDefault="00683264" w:rsidP="002B7458">
      <w:pPr>
        <w:pStyle w:val="vnintext"/>
        <w:rPr>
          <w:rFonts w:ascii="Arial" w:hAnsi="Arial" w:cs="Arial"/>
          <w:sz w:val="20"/>
          <w:szCs w:val="20"/>
        </w:rPr>
      </w:pPr>
    </w:p>
    <w:p w14:paraId="5216EFEF" w14:textId="77777777" w:rsidR="00AD4CDE" w:rsidRPr="00D27771" w:rsidRDefault="00AD4CDE">
      <w:pPr>
        <w:widowControl/>
        <w:rPr>
          <w:rFonts w:ascii="Arial" w:hAnsi="Arial" w:cs="Arial"/>
          <w:color w:val="000000"/>
        </w:rPr>
      </w:pPr>
    </w:p>
    <w:p w14:paraId="54FF8A7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A703E50" w14:textId="77777777" w:rsidR="00AD4CDE" w:rsidRPr="00D27771" w:rsidRDefault="00AD4CDE">
      <w:pPr>
        <w:widowControl/>
        <w:rPr>
          <w:rFonts w:ascii="Arial" w:hAnsi="Arial" w:cs="Arial"/>
          <w:color w:val="000000"/>
        </w:rPr>
      </w:pPr>
    </w:p>
    <w:p w14:paraId="6F1374A7" w14:textId="4475BA37" w:rsidR="00AD4CDE" w:rsidRDefault="00B70A94" w:rsidP="00E4235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14:paraId="7375A1B9" w14:textId="02CA3CEF" w:rsidR="00E42355" w:rsidRDefault="00E42355" w:rsidP="00E42355">
      <w:pPr>
        <w:pStyle w:val="vniontext0"/>
        <w:ind w:firstLine="0"/>
        <w:rPr>
          <w:rFonts w:ascii="Arial" w:hAnsi="Arial" w:cs="Arial"/>
          <w:color w:val="000000"/>
          <w:sz w:val="20"/>
          <w:szCs w:val="20"/>
        </w:rPr>
      </w:pPr>
    </w:p>
    <w:p w14:paraId="239040B8" w14:textId="77777777" w:rsidR="00E42355" w:rsidRPr="00D27771" w:rsidRDefault="00E42355" w:rsidP="00E42355">
      <w:pPr>
        <w:pStyle w:val="vniontext0"/>
        <w:ind w:firstLine="0"/>
        <w:rPr>
          <w:rFonts w:ascii="Arial" w:hAnsi="Arial" w:cs="Arial"/>
          <w:color w:val="000000"/>
          <w:sz w:val="20"/>
          <w:szCs w:val="20"/>
        </w:rPr>
      </w:pPr>
    </w:p>
    <w:p w14:paraId="586F1298" w14:textId="77777777" w:rsidR="00AD4CDE" w:rsidRPr="00D27771" w:rsidRDefault="00AD4CDE">
      <w:pPr>
        <w:widowControl/>
        <w:rPr>
          <w:rFonts w:ascii="Arial" w:hAnsi="Arial" w:cs="Arial"/>
          <w:color w:val="000000"/>
        </w:rPr>
      </w:pPr>
    </w:p>
    <w:p w14:paraId="382928A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1E09B443" w14:textId="77777777" w:rsidR="00AD4CDE" w:rsidRPr="00D27771" w:rsidRDefault="00AD4CDE">
      <w:pPr>
        <w:widowControl/>
        <w:rPr>
          <w:rFonts w:ascii="Arial" w:hAnsi="Arial" w:cs="Arial"/>
          <w:color w:val="000000"/>
        </w:rPr>
      </w:pPr>
    </w:p>
    <w:p w14:paraId="75553226" w14:textId="77777777" w:rsidR="00AD4CDE" w:rsidRPr="00D27771" w:rsidRDefault="00AD4CDE" w:rsidP="00E42355">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071C467" w14:textId="77777777" w:rsidR="00AD4CDE" w:rsidRPr="00D27771" w:rsidRDefault="00AD4CDE">
      <w:pPr>
        <w:pStyle w:val="adresa"/>
        <w:widowControl/>
        <w:rPr>
          <w:rFonts w:ascii="Arial" w:hAnsi="Arial" w:cs="Arial"/>
          <w:color w:val="000000"/>
          <w:sz w:val="20"/>
          <w:szCs w:val="20"/>
        </w:rPr>
      </w:pPr>
    </w:p>
    <w:p w14:paraId="07889324" w14:textId="77777777" w:rsidR="00663872" w:rsidRPr="00D27771" w:rsidRDefault="00663872">
      <w:pPr>
        <w:pStyle w:val="adresa"/>
        <w:widowControl/>
        <w:rPr>
          <w:rFonts w:ascii="Arial" w:hAnsi="Arial" w:cs="Arial"/>
          <w:color w:val="000000"/>
          <w:sz w:val="20"/>
          <w:szCs w:val="20"/>
        </w:rPr>
      </w:pPr>
    </w:p>
    <w:p w14:paraId="1D8178E3" w14:textId="77777777" w:rsidR="00AD4CDE" w:rsidRPr="00D27771" w:rsidRDefault="00AD4CDE">
      <w:pPr>
        <w:pStyle w:val="adresa"/>
        <w:widowControl/>
        <w:rPr>
          <w:rFonts w:ascii="Arial" w:hAnsi="Arial" w:cs="Arial"/>
          <w:color w:val="000000"/>
          <w:sz w:val="20"/>
          <w:szCs w:val="20"/>
        </w:rPr>
      </w:pPr>
    </w:p>
    <w:p w14:paraId="0B0767C5" w14:textId="36F2BF29"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E42355">
        <w:rPr>
          <w:rFonts w:ascii="Arial" w:hAnsi="Arial" w:cs="Arial"/>
          <w:color w:val="000000"/>
          <w:sz w:val="20"/>
          <w:szCs w:val="20"/>
        </w:rPr>
        <w:t>Ostravě</w:t>
      </w:r>
      <w:r w:rsidRPr="00D27771">
        <w:rPr>
          <w:rFonts w:ascii="Arial" w:hAnsi="Arial" w:cs="Arial"/>
          <w:color w:val="000000"/>
          <w:sz w:val="20"/>
          <w:szCs w:val="20"/>
        </w:rPr>
        <w:t xml:space="preserve"> dne </w:t>
      </w:r>
      <w:r w:rsidR="00912011">
        <w:rPr>
          <w:rFonts w:ascii="Arial" w:hAnsi="Arial" w:cs="Arial"/>
          <w:color w:val="000000"/>
          <w:sz w:val="20"/>
          <w:szCs w:val="20"/>
        </w:rPr>
        <w:t>29.12.2021</w:t>
      </w:r>
      <w:r w:rsidRPr="00D27771">
        <w:rPr>
          <w:rFonts w:ascii="Arial" w:hAnsi="Arial" w:cs="Arial"/>
          <w:color w:val="000000"/>
          <w:sz w:val="20"/>
          <w:szCs w:val="20"/>
        </w:rPr>
        <w:tab/>
        <w:t>V</w:t>
      </w:r>
      <w:r w:rsidR="00912011">
        <w:rPr>
          <w:rFonts w:ascii="Arial" w:hAnsi="Arial" w:cs="Arial"/>
          <w:color w:val="000000"/>
          <w:sz w:val="20"/>
          <w:szCs w:val="20"/>
        </w:rPr>
        <w:t> Horní Benešov</w:t>
      </w:r>
      <w:r w:rsidRPr="00D27771">
        <w:rPr>
          <w:rFonts w:ascii="Arial" w:hAnsi="Arial" w:cs="Arial"/>
          <w:color w:val="000000"/>
          <w:sz w:val="20"/>
          <w:szCs w:val="20"/>
        </w:rPr>
        <w:t xml:space="preserve"> dne </w:t>
      </w:r>
      <w:r w:rsidR="00912011">
        <w:rPr>
          <w:rFonts w:ascii="Arial" w:hAnsi="Arial" w:cs="Arial"/>
          <w:color w:val="000000"/>
          <w:sz w:val="20"/>
          <w:szCs w:val="20"/>
        </w:rPr>
        <w:t>20.12.2021</w:t>
      </w:r>
    </w:p>
    <w:p w14:paraId="3624B919"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39DDC754" w14:textId="0E91FC3B" w:rsidR="00162E8E" w:rsidRDefault="00162E8E">
      <w:pPr>
        <w:pStyle w:val="adresa"/>
        <w:widowControl/>
        <w:tabs>
          <w:tab w:val="clear" w:pos="3402"/>
          <w:tab w:val="clear" w:pos="6237"/>
        </w:tabs>
        <w:rPr>
          <w:rFonts w:ascii="Arial" w:hAnsi="Arial" w:cs="Arial"/>
          <w:color w:val="000000"/>
          <w:sz w:val="20"/>
          <w:szCs w:val="20"/>
        </w:rPr>
      </w:pPr>
    </w:p>
    <w:p w14:paraId="11860DEC" w14:textId="5ED0C9D5" w:rsidR="00E42355" w:rsidRDefault="00E42355">
      <w:pPr>
        <w:pStyle w:val="adresa"/>
        <w:widowControl/>
        <w:tabs>
          <w:tab w:val="clear" w:pos="3402"/>
          <w:tab w:val="clear" w:pos="6237"/>
        </w:tabs>
        <w:rPr>
          <w:rFonts w:ascii="Arial" w:hAnsi="Arial" w:cs="Arial"/>
          <w:color w:val="000000"/>
          <w:sz w:val="20"/>
          <w:szCs w:val="20"/>
        </w:rPr>
      </w:pPr>
    </w:p>
    <w:p w14:paraId="0ADBEBF0" w14:textId="35B5E101" w:rsidR="00E42355" w:rsidRDefault="00E42355">
      <w:pPr>
        <w:pStyle w:val="adresa"/>
        <w:widowControl/>
        <w:tabs>
          <w:tab w:val="clear" w:pos="3402"/>
          <w:tab w:val="clear" w:pos="6237"/>
        </w:tabs>
        <w:rPr>
          <w:rFonts w:ascii="Arial" w:hAnsi="Arial" w:cs="Arial"/>
          <w:color w:val="000000"/>
          <w:sz w:val="20"/>
          <w:szCs w:val="20"/>
        </w:rPr>
      </w:pPr>
    </w:p>
    <w:p w14:paraId="1D85A3CE" w14:textId="77777777" w:rsidR="00E42355" w:rsidRDefault="00E42355">
      <w:pPr>
        <w:pStyle w:val="adresa"/>
        <w:widowControl/>
        <w:tabs>
          <w:tab w:val="clear" w:pos="3402"/>
          <w:tab w:val="clear" w:pos="6237"/>
        </w:tabs>
        <w:rPr>
          <w:rFonts w:ascii="Arial" w:hAnsi="Arial" w:cs="Arial"/>
          <w:color w:val="000000"/>
          <w:sz w:val="20"/>
          <w:szCs w:val="20"/>
        </w:rPr>
      </w:pPr>
    </w:p>
    <w:p w14:paraId="703FCDA3" w14:textId="5AC0E9F0" w:rsidR="00E42355" w:rsidRDefault="00E42355">
      <w:pPr>
        <w:pStyle w:val="adresa"/>
        <w:widowControl/>
        <w:tabs>
          <w:tab w:val="clear" w:pos="3402"/>
          <w:tab w:val="clear" w:pos="6237"/>
        </w:tabs>
        <w:rPr>
          <w:rFonts w:ascii="Arial" w:hAnsi="Arial" w:cs="Arial"/>
          <w:color w:val="000000"/>
          <w:sz w:val="20"/>
          <w:szCs w:val="20"/>
        </w:rPr>
      </w:pPr>
    </w:p>
    <w:p w14:paraId="35DB829E" w14:textId="77777777" w:rsidR="00E42355" w:rsidRPr="00D27771" w:rsidRDefault="00E42355">
      <w:pPr>
        <w:pStyle w:val="adresa"/>
        <w:widowControl/>
        <w:tabs>
          <w:tab w:val="clear" w:pos="3402"/>
          <w:tab w:val="clear" w:pos="6237"/>
        </w:tabs>
        <w:rPr>
          <w:rFonts w:ascii="Arial" w:hAnsi="Arial" w:cs="Arial"/>
          <w:color w:val="000000"/>
          <w:sz w:val="20"/>
          <w:szCs w:val="20"/>
        </w:rPr>
      </w:pPr>
    </w:p>
    <w:p w14:paraId="0C34B3CA" w14:textId="6FE7641D"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E42355">
        <w:rPr>
          <w:rFonts w:ascii="Arial" w:hAnsi="Arial" w:cs="Arial"/>
          <w:sz w:val="20"/>
          <w:szCs w:val="20"/>
        </w:rPr>
        <w:t xml:space="preserve">          </w:t>
      </w:r>
      <w:r w:rsidRPr="00D27771">
        <w:rPr>
          <w:rFonts w:ascii="Arial" w:hAnsi="Arial" w:cs="Arial"/>
          <w:sz w:val="20"/>
          <w:szCs w:val="20"/>
        </w:rPr>
        <w:t>…………………………………………………</w:t>
      </w:r>
    </w:p>
    <w:p w14:paraId="5CE210CA"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67AB0F5D" w14:textId="1A7D4C15"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E42355">
        <w:rPr>
          <w:rFonts w:ascii="Arial" w:hAnsi="Arial" w:cs="Arial"/>
          <w:color w:val="000000"/>
          <w:sz w:val="20"/>
          <w:szCs w:val="20"/>
        </w:rPr>
        <w:tab/>
      </w:r>
      <w:r w:rsidR="00E42355" w:rsidRPr="00D27771">
        <w:rPr>
          <w:rFonts w:ascii="Arial" w:hAnsi="Arial" w:cs="Arial"/>
          <w:color w:val="000000"/>
          <w:sz w:val="20"/>
          <w:szCs w:val="20"/>
        </w:rPr>
        <w:t>Staněk Bohuslav</w:t>
      </w:r>
      <w:r w:rsidR="00511ECA" w:rsidRPr="00D27771">
        <w:rPr>
          <w:rFonts w:ascii="Arial" w:hAnsi="Arial" w:cs="Arial"/>
          <w:color w:val="000000"/>
          <w:sz w:val="20"/>
          <w:szCs w:val="20"/>
        </w:rPr>
        <w:tab/>
      </w:r>
    </w:p>
    <w:p w14:paraId="10AC5D05" w14:textId="1DE2CC0B" w:rsidR="00E42355"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E42355">
        <w:rPr>
          <w:rFonts w:ascii="Arial" w:hAnsi="Arial" w:cs="Arial"/>
          <w:color w:val="000000"/>
          <w:sz w:val="20"/>
          <w:szCs w:val="20"/>
        </w:rPr>
        <w:tab/>
        <w:t xml:space="preserve">dle plné moci </w:t>
      </w:r>
      <w:r w:rsidR="00912011">
        <w:rPr>
          <w:rFonts w:ascii="Arial" w:hAnsi="Arial" w:cs="Arial"/>
        </w:rPr>
        <w:t>xxxxxxxxx</w:t>
      </w:r>
    </w:p>
    <w:p w14:paraId="287957E6" w14:textId="5FAD268A"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522DE8B9" w14:textId="164CC2AC"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5BC1EE9D" w14:textId="77777777" w:rsidR="00E42355"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14:paraId="4645D6B3" w14:textId="412EA67D"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14:paraId="671345C4" w14:textId="77777777" w:rsidR="00E42355"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14:paraId="6326800F" w14:textId="77777777" w:rsidR="00E42355" w:rsidRDefault="00E42355" w:rsidP="0000799B">
      <w:pPr>
        <w:pStyle w:val="adresa"/>
        <w:widowControl/>
        <w:tabs>
          <w:tab w:val="clear" w:pos="3402"/>
          <w:tab w:val="clear" w:pos="6237"/>
          <w:tab w:val="left" w:pos="4961"/>
        </w:tabs>
        <w:rPr>
          <w:rFonts w:ascii="Arial" w:hAnsi="Arial" w:cs="Arial"/>
          <w:color w:val="000000"/>
          <w:sz w:val="20"/>
          <w:szCs w:val="20"/>
        </w:rPr>
      </w:pPr>
    </w:p>
    <w:p w14:paraId="77264DF6" w14:textId="77777777" w:rsidR="00E42355" w:rsidRDefault="00E42355" w:rsidP="0000799B">
      <w:pPr>
        <w:pStyle w:val="adresa"/>
        <w:widowControl/>
        <w:tabs>
          <w:tab w:val="clear" w:pos="3402"/>
          <w:tab w:val="clear" w:pos="6237"/>
          <w:tab w:val="left" w:pos="4961"/>
        </w:tabs>
        <w:rPr>
          <w:rFonts w:ascii="Arial" w:hAnsi="Arial" w:cs="Arial"/>
          <w:color w:val="000000"/>
          <w:sz w:val="20"/>
          <w:szCs w:val="20"/>
        </w:rPr>
      </w:pPr>
    </w:p>
    <w:p w14:paraId="26DA54BE" w14:textId="77777777" w:rsidR="00E42355" w:rsidRDefault="00E42355" w:rsidP="0000799B">
      <w:pPr>
        <w:pStyle w:val="adresa"/>
        <w:widowControl/>
        <w:tabs>
          <w:tab w:val="clear" w:pos="3402"/>
          <w:tab w:val="clear" w:pos="6237"/>
          <w:tab w:val="left" w:pos="4961"/>
        </w:tabs>
        <w:rPr>
          <w:rFonts w:ascii="Arial" w:hAnsi="Arial" w:cs="Arial"/>
          <w:color w:val="000000"/>
          <w:sz w:val="20"/>
          <w:szCs w:val="20"/>
        </w:rPr>
      </w:pPr>
    </w:p>
    <w:p w14:paraId="004A7489" w14:textId="67321722" w:rsidR="00F86F31" w:rsidRPr="00D27771" w:rsidRDefault="00E42355"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14:paraId="436567A3"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4C4F057A" w14:textId="77777777" w:rsidR="00E42355"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14:paraId="2445B714" w14:textId="07AE70A3"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218D3A7B"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Zdeňka Fusková</w:t>
      </w:r>
    </w:p>
    <w:p w14:paraId="42094DB6" w14:textId="77777777" w:rsidR="00F722EF" w:rsidRPr="00D27771" w:rsidRDefault="00F722EF">
      <w:pPr>
        <w:widowControl/>
        <w:rPr>
          <w:rFonts w:ascii="Arial" w:hAnsi="Arial" w:cs="Arial"/>
          <w:color w:val="000000"/>
        </w:rPr>
      </w:pPr>
    </w:p>
    <w:p w14:paraId="79F70E77" w14:textId="4A23C54D" w:rsidR="003315E7" w:rsidRDefault="003315E7">
      <w:pPr>
        <w:widowControl/>
        <w:rPr>
          <w:rFonts w:ascii="Arial" w:hAnsi="Arial" w:cs="Arial"/>
          <w:color w:val="000000"/>
        </w:rPr>
      </w:pPr>
    </w:p>
    <w:p w14:paraId="5954FBA1" w14:textId="2C463578" w:rsidR="00E42355" w:rsidRDefault="00E42355">
      <w:pPr>
        <w:widowControl/>
        <w:rPr>
          <w:rFonts w:ascii="Arial" w:hAnsi="Arial" w:cs="Arial"/>
          <w:color w:val="000000"/>
        </w:rPr>
      </w:pPr>
    </w:p>
    <w:p w14:paraId="1C7DF83D" w14:textId="27A9061E" w:rsidR="00E42355" w:rsidRDefault="00E42355">
      <w:pPr>
        <w:widowControl/>
        <w:rPr>
          <w:rFonts w:ascii="Arial" w:hAnsi="Arial" w:cs="Arial"/>
          <w:color w:val="000000"/>
        </w:rPr>
      </w:pPr>
    </w:p>
    <w:p w14:paraId="1A5C6B17" w14:textId="6685220D" w:rsidR="00E42355" w:rsidRDefault="00E42355">
      <w:pPr>
        <w:widowControl/>
        <w:rPr>
          <w:rFonts w:ascii="Arial" w:hAnsi="Arial" w:cs="Arial"/>
          <w:color w:val="000000"/>
        </w:rPr>
      </w:pPr>
    </w:p>
    <w:p w14:paraId="1C783E9E" w14:textId="4C06EA78" w:rsidR="00E42355" w:rsidRDefault="00E42355">
      <w:pPr>
        <w:widowControl/>
        <w:rPr>
          <w:rFonts w:ascii="Arial" w:hAnsi="Arial" w:cs="Arial"/>
          <w:color w:val="000000"/>
        </w:rPr>
      </w:pPr>
    </w:p>
    <w:p w14:paraId="405DEAD7" w14:textId="77777777" w:rsidR="00E42355" w:rsidRPr="00D27771" w:rsidRDefault="00E42355">
      <w:pPr>
        <w:widowControl/>
        <w:rPr>
          <w:rFonts w:ascii="Arial" w:hAnsi="Arial" w:cs="Arial"/>
          <w:color w:val="000000"/>
        </w:rPr>
      </w:pPr>
    </w:p>
    <w:p w14:paraId="15F2D2C9"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1F8D1DB2" w14:textId="77777777" w:rsidR="00091141" w:rsidRPr="00D27771" w:rsidRDefault="00091141">
      <w:pPr>
        <w:widowControl/>
        <w:rPr>
          <w:rFonts w:ascii="Arial" w:hAnsi="Arial" w:cs="Arial"/>
          <w:color w:val="000000"/>
        </w:rPr>
      </w:pPr>
    </w:p>
    <w:p w14:paraId="03B903BE"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6BD14DD6" w14:textId="77777777" w:rsidR="00AD4CDE" w:rsidRPr="00D27771" w:rsidRDefault="00AD4CDE">
      <w:pPr>
        <w:widowControl/>
        <w:rPr>
          <w:rFonts w:ascii="Arial" w:hAnsi="Arial" w:cs="Arial"/>
          <w:color w:val="000000"/>
        </w:rPr>
      </w:pPr>
    </w:p>
    <w:p w14:paraId="57A40553" w14:textId="6E070D80" w:rsidR="0081770D" w:rsidRDefault="0081770D">
      <w:pPr>
        <w:widowControl/>
        <w:rPr>
          <w:rFonts w:ascii="Arial" w:hAnsi="Arial" w:cs="Arial"/>
          <w:color w:val="000000"/>
        </w:rPr>
      </w:pPr>
    </w:p>
    <w:p w14:paraId="1F9DC7B6" w14:textId="03034D4A" w:rsidR="00E42355" w:rsidRDefault="00E42355">
      <w:pPr>
        <w:widowControl/>
        <w:rPr>
          <w:rFonts w:ascii="Arial" w:hAnsi="Arial" w:cs="Arial"/>
          <w:color w:val="000000"/>
        </w:rPr>
      </w:pPr>
    </w:p>
    <w:p w14:paraId="30B8BDE4" w14:textId="3A599B8A" w:rsidR="00E42355" w:rsidRDefault="00E42355">
      <w:pPr>
        <w:widowControl/>
        <w:rPr>
          <w:rFonts w:ascii="Arial" w:hAnsi="Arial" w:cs="Arial"/>
          <w:color w:val="000000"/>
        </w:rPr>
      </w:pPr>
    </w:p>
    <w:p w14:paraId="1AB0C118" w14:textId="09EC85E5" w:rsidR="00E42355" w:rsidRDefault="00E42355">
      <w:pPr>
        <w:widowControl/>
        <w:rPr>
          <w:rFonts w:ascii="Arial" w:hAnsi="Arial" w:cs="Arial"/>
          <w:color w:val="000000"/>
        </w:rPr>
      </w:pPr>
    </w:p>
    <w:p w14:paraId="51D9634E" w14:textId="77777777" w:rsidR="00E42355" w:rsidRPr="00D27771" w:rsidRDefault="00E42355">
      <w:pPr>
        <w:widowControl/>
        <w:rPr>
          <w:rFonts w:ascii="Arial" w:hAnsi="Arial" w:cs="Arial"/>
          <w:color w:val="000000"/>
        </w:rPr>
      </w:pPr>
    </w:p>
    <w:p w14:paraId="4A6D2149"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14:paraId="57A2C915" w14:textId="77777777" w:rsidR="00125ACF" w:rsidRPr="00D27771" w:rsidRDefault="00125ACF">
      <w:pPr>
        <w:widowControl/>
        <w:rPr>
          <w:rFonts w:ascii="Arial" w:hAnsi="Arial" w:cs="Arial"/>
          <w:color w:val="000000"/>
          <w:lang w:val="en-US"/>
        </w:rPr>
      </w:pPr>
    </w:p>
    <w:p w14:paraId="1B09031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3C9839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24CA3510" w14:textId="77777777" w:rsidR="00125ACF" w:rsidRPr="00D27771" w:rsidRDefault="00125ACF">
      <w:pPr>
        <w:widowControl/>
        <w:rPr>
          <w:rFonts w:ascii="Arial" w:hAnsi="Arial" w:cs="Arial"/>
          <w:color w:val="000000"/>
          <w:lang w:val="en-US"/>
        </w:rPr>
      </w:pPr>
    </w:p>
    <w:p w14:paraId="7C626E4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72E180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6E5C83DB" w14:textId="77777777" w:rsidR="00125ACF" w:rsidRDefault="00125ACF">
      <w:pPr>
        <w:widowControl/>
        <w:rPr>
          <w:rFonts w:ascii="Arial" w:hAnsi="Arial" w:cs="Arial"/>
          <w:b/>
          <w:color w:val="000000"/>
          <w:lang w:val="en-US"/>
        </w:rPr>
      </w:pPr>
    </w:p>
    <w:p w14:paraId="6E3B550D"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53AD48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6CF7FBCF" w14:textId="77777777" w:rsidR="00F36629" w:rsidRDefault="00F36629">
      <w:pPr>
        <w:widowControl/>
        <w:rPr>
          <w:rFonts w:ascii="Arial" w:hAnsi="Arial" w:cs="Arial"/>
          <w:b/>
          <w:color w:val="000000"/>
          <w:lang w:val="en-US"/>
        </w:rPr>
      </w:pPr>
    </w:p>
    <w:p w14:paraId="00841A08" w14:textId="77777777" w:rsidR="00F36629" w:rsidRPr="00D27771" w:rsidRDefault="00F36629">
      <w:pPr>
        <w:widowControl/>
        <w:rPr>
          <w:rFonts w:ascii="Arial" w:hAnsi="Arial" w:cs="Arial"/>
          <w:b/>
          <w:color w:val="000000"/>
          <w:lang w:val="en-US"/>
        </w:rPr>
      </w:pPr>
    </w:p>
    <w:p w14:paraId="66E752A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35C031A"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0BEFE799" w14:textId="77777777" w:rsidR="0081770D" w:rsidRPr="00D27771" w:rsidRDefault="0081770D">
      <w:pPr>
        <w:widowControl/>
        <w:rPr>
          <w:rFonts w:ascii="Arial" w:hAnsi="Arial" w:cs="Arial"/>
          <w:color w:val="000000"/>
        </w:rPr>
      </w:pPr>
    </w:p>
    <w:p w14:paraId="15583DF0" w14:textId="3F294544" w:rsidR="00C820A8" w:rsidRPr="00D27771" w:rsidRDefault="00C820A8">
      <w:pPr>
        <w:widowControl/>
        <w:rPr>
          <w:rFonts w:ascii="Arial" w:hAnsi="Arial" w:cs="Arial"/>
          <w:color w:val="000000"/>
          <w:lang w:val="en-US"/>
        </w:rPr>
      </w:pPr>
      <w:r w:rsidRPr="00D27771">
        <w:rPr>
          <w:rFonts w:ascii="Arial" w:hAnsi="Arial" w:cs="Arial"/>
          <w:color w:val="000000"/>
        </w:rPr>
        <w:t>V</w:t>
      </w:r>
      <w:r w:rsidR="00E42355">
        <w:rPr>
          <w:rFonts w:ascii="Arial" w:hAnsi="Arial" w:cs="Arial"/>
          <w:color w:val="000000"/>
        </w:rPr>
        <w:t xml:space="preserve"> Ostravě </w:t>
      </w:r>
      <w:r w:rsidRPr="00D27771">
        <w:rPr>
          <w:rFonts w:ascii="Arial" w:hAnsi="Arial" w:cs="Arial"/>
          <w:color w:val="000000"/>
        </w:rPr>
        <w:t>dne  ………………………</w:t>
      </w:r>
      <w:r w:rsidR="00E42355">
        <w:rPr>
          <w:rFonts w:ascii="Arial" w:hAnsi="Arial" w:cs="Arial"/>
          <w:color w:val="000000"/>
        </w:rPr>
        <w:t>.</w:t>
      </w:r>
      <w:r w:rsidRPr="00D27771">
        <w:rPr>
          <w:rFonts w:ascii="Arial" w:hAnsi="Arial" w:cs="Arial"/>
          <w:color w:val="000000"/>
        </w:rPr>
        <w:t>…</w:t>
      </w:r>
    </w:p>
    <w:p w14:paraId="754CD1DD" w14:textId="77777777" w:rsidR="00225878" w:rsidRPr="00D27771" w:rsidRDefault="00225878">
      <w:pPr>
        <w:widowControl/>
        <w:rPr>
          <w:rFonts w:ascii="Arial" w:hAnsi="Arial" w:cs="Arial"/>
          <w:color w:val="000000"/>
          <w:lang w:val="en-US"/>
        </w:rPr>
      </w:pPr>
    </w:p>
    <w:p w14:paraId="1F1BF589" w14:textId="77777777" w:rsidR="00AB3D96" w:rsidRPr="00D27771" w:rsidRDefault="00AB3D96">
      <w:pPr>
        <w:widowControl/>
        <w:rPr>
          <w:rFonts w:ascii="Arial" w:hAnsi="Arial" w:cs="Arial"/>
          <w:color w:val="000000"/>
        </w:rPr>
      </w:pPr>
    </w:p>
    <w:p w14:paraId="0EA75221"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12031,  </w:t>
      </w:r>
    </w:p>
    <w:p w14:paraId="440668CC" w14:textId="77777777" w:rsidR="00AD4CDE" w:rsidRPr="00D27771" w:rsidRDefault="00AD4CDE">
      <w:pPr>
        <w:widowControl/>
        <w:rPr>
          <w:rFonts w:ascii="Arial" w:hAnsi="Arial" w:cs="Arial"/>
          <w:color w:val="000000"/>
        </w:rPr>
      </w:pPr>
    </w:p>
    <w:p w14:paraId="44EF256A" w14:textId="77777777" w:rsidR="00AD4CDE" w:rsidRPr="00D27771" w:rsidRDefault="00AD4CDE">
      <w:pPr>
        <w:widowControl/>
        <w:rPr>
          <w:rFonts w:ascii="Arial" w:hAnsi="Arial" w:cs="Arial"/>
        </w:rPr>
      </w:pPr>
      <w:r w:rsidRPr="00D27771">
        <w:rPr>
          <w:rFonts w:ascii="Arial" w:hAnsi="Arial" w:cs="Arial"/>
          <w:color w:val="000000"/>
        </w:rPr>
        <w:t>Datum tisku: 17. 12. 2021  Verze programu Restituce: 5.98</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3523A" w14:textId="77777777" w:rsidR="00E42355" w:rsidRDefault="00E42355" w:rsidP="00E42355">
      <w:r>
        <w:separator/>
      </w:r>
    </w:p>
  </w:endnote>
  <w:endnote w:type="continuationSeparator" w:id="0">
    <w:p w14:paraId="463725A5" w14:textId="77777777" w:rsidR="00E42355" w:rsidRDefault="00E42355" w:rsidP="00E42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0646500"/>
      <w:docPartObj>
        <w:docPartGallery w:val="Page Numbers (Bottom of Page)"/>
        <w:docPartUnique/>
      </w:docPartObj>
    </w:sdtPr>
    <w:sdtEndPr/>
    <w:sdtContent>
      <w:p w14:paraId="67FE4457" w14:textId="1230F508" w:rsidR="00E42355" w:rsidRDefault="00E42355">
        <w:pPr>
          <w:pStyle w:val="Zpat"/>
          <w:jc w:val="center"/>
        </w:pPr>
        <w:r>
          <w:fldChar w:fldCharType="begin"/>
        </w:r>
        <w:r>
          <w:instrText>PAGE   \* MERGEFORMAT</w:instrText>
        </w:r>
        <w:r>
          <w:fldChar w:fldCharType="separate"/>
        </w:r>
        <w:r>
          <w:t>2</w:t>
        </w:r>
        <w:r>
          <w:fldChar w:fldCharType="end"/>
        </w:r>
        <w:r>
          <w:t>/4</w:t>
        </w:r>
      </w:p>
    </w:sdtContent>
  </w:sdt>
  <w:p w14:paraId="0435808D" w14:textId="77777777" w:rsidR="00E42355" w:rsidRDefault="00E423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BD896" w14:textId="77777777" w:rsidR="00E42355" w:rsidRDefault="00E42355" w:rsidP="00E42355">
      <w:r>
        <w:separator/>
      </w:r>
    </w:p>
  </w:footnote>
  <w:footnote w:type="continuationSeparator" w:id="0">
    <w:p w14:paraId="7273FCB4" w14:textId="77777777" w:rsidR="00E42355" w:rsidRDefault="00E42355" w:rsidP="00E42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30CC9"/>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82B59"/>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12011"/>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72CE3"/>
    <w:rsid w:val="00C820A8"/>
    <w:rsid w:val="00C90E09"/>
    <w:rsid w:val="00C936B8"/>
    <w:rsid w:val="00CD4C2E"/>
    <w:rsid w:val="00D27771"/>
    <w:rsid w:val="00D75B4F"/>
    <w:rsid w:val="00DC5978"/>
    <w:rsid w:val="00DD4B2D"/>
    <w:rsid w:val="00DE4537"/>
    <w:rsid w:val="00DF2443"/>
    <w:rsid w:val="00DF4838"/>
    <w:rsid w:val="00DF6D39"/>
    <w:rsid w:val="00E03B26"/>
    <w:rsid w:val="00E23DFA"/>
    <w:rsid w:val="00E42355"/>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EF7EE0"/>
  <w14:defaultImageDpi w14:val="0"/>
  <w15:docId w15:val="{C0F404BB-2431-4B73-8DC5-7E53047F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201460">
      <w:marLeft w:val="0"/>
      <w:marRight w:val="0"/>
      <w:marTop w:val="0"/>
      <w:marBottom w:val="0"/>
      <w:divBdr>
        <w:top w:val="none" w:sz="0" w:space="0" w:color="auto"/>
        <w:left w:val="none" w:sz="0" w:space="0" w:color="auto"/>
        <w:bottom w:val="none" w:sz="0" w:space="0" w:color="auto"/>
        <w:right w:val="none" w:sz="0" w:space="0" w:color="auto"/>
      </w:divBdr>
    </w:div>
    <w:div w:id="4452014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1041</Words>
  <Characters>6438</Characters>
  <Application>Microsoft Office Word</Application>
  <DocSecurity>0</DocSecurity>
  <Lines>53</Lines>
  <Paragraphs>14</Paragraphs>
  <ScaleCrop>false</ScaleCrop>
  <Company>PF</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4</cp:revision>
  <cp:lastPrinted>2002-01-25T14:18:00Z</cp:lastPrinted>
  <dcterms:created xsi:type="dcterms:W3CDTF">2021-12-17T08:58:00Z</dcterms:created>
  <dcterms:modified xsi:type="dcterms:W3CDTF">2022-01-03T06:52:00Z</dcterms:modified>
</cp:coreProperties>
</file>