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0692" w14:textId="77777777" w:rsidR="0008272D" w:rsidRDefault="0008272D" w:rsidP="0008272D">
      <w:pPr>
        <w:spacing w:line="300" w:lineRule="atLeast"/>
        <w:contextualSpacing/>
        <w:jc w:val="center"/>
        <w:rPr>
          <w:rFonts w:ascii="Calibri" w:hAnsi="Calibri" w:cs="Calibri"/>
          <w:b/>
        </w:rPr>
      </w:pPr>
    </w:p>
    <w:p w14:paraId="681BB4DE" w14:textId="67FCD991" w:rsidR="0008272D" w:rsidRPr="00665055" w:rsidRDefault="0008272D" w:rsidP="0008272D">
      <w:pPr>
        <w:spacing w:line="300" w:lineRule="atLeast"/>
        <w:contextualSpacing/>
        <w:jc w:val="center"/>
        <w:rPr>
          <w:rFonts w:ascii="Calibri" w:hAnsi="Calibri" w:cs="Calibri"/>
          <w:b/>
        </w:rPr>
      </w:pPr>
      <w:r w:rsidRPr="00665055">
        <w:rPr>
          <w:rFonts w:ascii="Calibri" w:hAnsi="Calibri" w:cs="Calibri"/>
          <w:b/>
        </w:rPr>
        <w:t xml:space="preserve">Příloha č. </w:t>
      </w:r>
      <w:r>
        <w:rPr>
          <w:rFonts w:ascii="Calibri" w:hAnsi="Calibri" w:cs="Calibri"/>
          <w:b/>
        </w:rPr>
        <w:t>2</w:t>
      </w:r>
      <w:r w:rsidRPr="00665055">
        <w:rPr>
          <w:rFonts w:ascii="Calibri" w:hAnsi="Calibri" w:cs="Calibri"/>
          <w:b/>
        </w:rPr>
        <w:t xml:space="preserve"> </w:t>
      </w:r>
    </w:p>
    <w:p w14:paraId="09F6A662" w14:textId="77777777" w:rsidR="0008272D" w:rsidRPr="00665055" w:rsidRDefault="0008272D" w:rsidP="0008272D">
      <w:pPr>
        <w:spacing w:line="300" w:lineRule="atLeast"/>
        <w:contextualSpacing/>
        <w:jc w:val="center"/>
        <w:rPr>
          <w:rFonts w:ascii="Calibri" w:hAnsi="Calibri" w:cs="Calibri"/>
          <w:b/>
        </w:rPr>
      </w:pPr>
    </w:p>
    <w:p w14:paraId="48BA6BA5" w14:textId="606A3A7C" w:rsidR="0008272D" w:rsidRPr="0008272D" w:rsidRDefault="0008272D" w:rsidP="0008272D">
      <w:pPr>
        <w:spacing w:line="300" w:lineRule="auto"/>
        <w:jc w:val="center"/>
        <w:rPr>
          <w:rFonts w:ascii="Calibri" w:eastAsia="Arial" w:hAnsi="Calibri" w:cs="Calibri"/>
          <w:b/>
          <w:sz w:val="26"/>
          <w:szCs w:val="26"/>
        </w:rPr>
      </w:pPr>
      <w:r>
        <w:rPr>
          <w:rFonts w:ascii="Calibri" w:eastAsia="Arial" w:hAnsi="Calibri" w:cs="Calibri"/>
          <w:b/>
          <w:sz w:val="26"/>
          <w:szCs w:val="26"/>
        </w:rPr>
        <w:t>Libreto Výstavy</w:t>
      </w:r>
    </w:p>
    <w:p w14:paraId="32C0812B" w14:textId="77777777" w:rsidR="0008272D" w:rsidRPr="00665055" w:rsidRDefault="0008272D" w:rsidP="0008272D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665055">
        <w:rPr>
          <w:rFonts w:ascii="Calibri" w:hAnsi="Calibri" w:cs="Calibri"/>
          <w:b/>
          <w:sz w:val="22"/>
          <w:szCs w:val="22"/>
        </w:rPr>
        <w:t>veřejné zakázky s názvem</w:t>
      </w:r>
    </w:p>
    <w:p w14:paraId="1E281B80" w14:textId="77777777" w:rsidR="0008272D" w:rsidRPr="00665055" w:rsidRDefault="0008272D" w:rsidP="0008272D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14:paraId="03B3BEEB" w14:textId="77777777" w:rsidR="0008272D" w:rsidRPr="00665055" w:rsidRDefault="0008272D" w:rsidP="0008272D">
      <w:pPr>
        <w:jc w:val="center"/>
        <w:rPr>
          <w:rFonts w:ascii="Calibri" w:hAnsi="Calibri" w:cs="Calibri"/>
          <w:sz w:val="26"/>
          <w:szCs w:val="26"/>
        </w:rPr>
      </w:pPr>
      <w:r w:rsidRPr="00665055">
        <w:rPr>
          <w:rFonts w:ascii="Calibri" w:hAnsi="Calibri" w:cs="Calibri"/>
          <w:sz w:val="26"/>
          <w:szCs w:val="26"/>
        </w:rPr>
        <w:t>„</w:t>
      </w:r>
      <w:r w:rsidRPr="003A28C3">
        <w:rPr>
          <w:rFonts w:ascii="Calibri" w:hAnsi="Calibri" w:cs="Calibri"/>
          <w:b/>
          <w:bCs/>
          <w:sz w:val="26"/>
          <w:szCs w:val="26"/>
        </w:rPr>
        <w:t>Výstava Metropolitního plánu pro Centrum architektury a městského plánování</w:t>
      </w:r>
      <w:r w:rsidRPr="00665055">
        <w:rPr>
          <w:rFonts w:ascii="Calibri" w:hAnsi="Calibri" w:cs="Calibri"/>
          <w:sz w:val="26"/>
          <w:szCs w:val="26"/>
        </w:rPr>
        <w:t>“</w:t>
      </w:r>
    </w:p>
    <w:p w14:paraId="1CC90D9B" w14:textId="77777777" w:rsidR="0008272D" w:rsidRDefault="0008272D"/>
    <w:p w14:paraId="2113B3C8" w14:textId="77777777" w:rsidR="00433BB2" w:rsidRDefault="00433BB2" w:rsidP="00433BB2">
      <w:pPr>
        <w:jc w:val="both"/>
        <w:rPr>
          <w:rFonts w:ascii="UnitPro" w:hAnsi="UnitPro" w:cs="UnitPro"/>
        </w:rPr>
      </w:pPr>
      <w:r w:rsidRPr="003C1CCF">
        <w:rPr>
          <w:rFonts w:ascii="UnitPro" w:hAnsi="UnitPro" w:cs="UnitPro"/>
          <w:u w:val="single"/>
        </w:rPr>
        <w:t>Autoři výstavy:</w:t>
      </w:r>
      <w:r>
        <w:rPr>
          <w:rFonts w:ascii="UnitPro" w:hAnsi="UnitPro" w:cs="UnitPro"/>
        </w:rPr>
        <w:t xml:space="preserve"> </w:t>
      </w:r>
    </w:p>
    <w:p w14:paraId="0BE4B3BC" w14:textId="77777777" w:rsidR="00433BB2" w:rsidRPr="0043492D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IPR</w:t>
      </w:r>
    </w:p>
    <w:p w14:paraId="5FCFEFFD" w14:textId="77777777" w:rsidR="00433BB2" w:rsidRDefault="00433BB2" w:rsidP="00433BB2">
      <w:pPr>
        <w:jc w:val="both"/>
        <w:rPr>
          <w:rFonts w:ascii="UnitPro" w:hAnsi="UnitPro" w:cs="UnitPro"/>
        </w:rPr>
      </w:pPr>
      <w:r w:rsidRPr="003C1CCF">
        <w:rPr>
          <w:rFonts w:ascii="UnitPro" w:hAnsi="UnitPro" w:cs="UnitPro"/>
          <w:u w:val="single"/>
        </w:rPr>
        <w:t>Zahájení:</w:t>
      </w:r>
      <w:r>
        <w:rPr>
          <w:rFonts w:ascii="UnitPro" w:hAnsi="UnitPro" w:cs="UnitPro"/>
        </w:rPr>
        <w:t xml:space="preserve"> </w:t>
      </w:r>
    </w:p>
    <w:p w14:paraId="47369BB2" w14:textId="77777777" w:rsidR="00433BB2" w:rsidRPr="0043492D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leden 2022</w:t>
      </w:r>
    </w:p>
    <w:p w14:paraId="14FFCCE4" w14:textId="77777777" w:rsidR="00433BB2" w:rsidRDefault="00433BB2" w:rsidP="00433BB2">
      <w:pPr>
        <w:jc w:val="both"/>
        <w:rPr>
          <w:rFonts w:ascii="UnitPro" w:hAnsi="UnitPro" w:cs="UnitPro"/>
          <w:u w:val="single"/>
        </w:rPr>
      </w:pPr>
      <w:r w:rsidRPr="003C1CCF">
        <w:rPr>
          <w:rFonts w:ascii="UnitPro" w:hAnsi="UnitPro" w:cs="UnitPro"/>
          <w:u w:val="single"/>
        </w:rPr>
        <w:t>Místo konání:</w:t>
      </w:r>
    </w:p>
    <w:p w14:paraId="3463F669" w14:textId="77777777" w:rsidR="00433BB2" w:rsidRPr="0043492D" w:rsidRDefault="00433BB2" w:rsidP="00433BB2">
      <w:pPr>
        <w:jc w:val="both"/>
        <w:rPr>
          <w:rFonts w:ascii="UnitPro" w:hAnsi="UnitPro" w:cs="UnitPro"/>
        </w:rPr>
      </w:pPr>
      <w:r w:rsidRPr="0043492D">
        <w:rPr>
          <w:rFonts w:ascii="UnitPro" w:hAnsi="UnitPro" w:cs="UnitPro"/>
        </w:rPr>
        <w:t>Centrum architektury a městského plánování, Vyšehradská 2075, Nové město 128</w:t>
      </w:r>
      <w:r>
        <w:rPr>
          <w:rFonts w:ascii="UnitPro" w:hAnsi="UnitPro" w:cs="UnitPro"/>
        </w:rPr>
        <w:t> </w:t>
      </w:r>
      <w:r w:rsidRPr="0043492D">
        <w:rPr>
          <w:rFonts w:ascii="UnitPro" w:hAnsi="UnitPro" w:cs="UnitPro"/>
        </w:rPr>
        <w:t>00</w:t>
      </w:r>
    </w:p>
    <w:p w14:paraId="79F0DABB" w14:textId="77777777" w:rsidR="00433BB2" w:rsidRDefault="00433BB2" w:rsidP="00433BB2">
      <w:pPr>
        <w:jc w:val="both"/>
        <w:rPr>
          <w:rFonts w:ascii="UnitPro" w:hAnsi="UnitPro" w:cs="UnitPro"/>
          <w:u w:val="single"/>
        </w:rPr>
      </w:pPr>
      <w:r w:rsidRPr="003C1CCF">
        <w:rPr>
          <w:rFonts w:ascii="UnitPro" w:hAnsi="UnitPro" w:cs="UnitPro"/>
          <w:u w:val="single"/>
        </w:rPr>
        <w:t>Cíl výstavy:</w:t>
      </w:r>
    </w:p>
    <w:p w14:paraId="280427CE" w14:textId="77777777" w:rsidR="00433BB2" w:rsidRPr="00ED03E2" w:rsidRDefault="00433BB2" w:rsidP="00433BB2">
      <w:pPr>
        <w:jc w:val="both"/>
        <w:rPr>
          <w:rFonts w:ascii="UnitPro" w:hAnsi="UnitPro" w:cs="UnitPro"/>
          <w:b/>
          <w:bCs/>
        </w:rPr>
      </w:pPr>
      <w:r w:rsidRPr="006D3215">
        <w:rPr>
          <w:rFonts w:ascii="UnitPro" w:hAnsi="UnitPro" w:cs="UnitPro"/>
        </w:rPr>
        <w:t xml:space="preserve">Výstava má </w:t>
      </w:r>
      <w:r>
        <w:rPr>
          <w:rFonts w:ascii="UnitPro" w:hAnsi="UnitPro" w:cs="UnitPro"/>
        </w:rPr>
        <w:t xml:space="preserve">za cíl </w:t>
      </w:r>
      <w:r w:rsidRPr="006D3215">
        <w:rPr>
          <w:rFonts w:ascii="UnitPro" w:hAnsi="UnitPro" w:cs="UnitPro"/>
        </w:rPr>
        <w:t>komplexně představit upravený návrh Metropolitního plánu určený pro veřejné projednání s veřejností. Vystavena bude celková dokumentace,</w:t>
      </w:r>
      <w:r>
        <w:rPr>
          <w:rFonts w:ascii="UnitPro" w:hAnsi="UnitPro" w:cs="UnitPro"/>
        </w:rPr>
        <w:t xml:space="preserve"> </w:t>
      </w:r>
      <w:r w:rsidRPr="006D3215">
        <w:rPr>
          <w:rFonts w:ascii="UnitPro" w:hAnsi="UnitPro" w:cs="UnitPro"/>
        </w:rPr>
        <w:t xml:space="preserve">mj. hlavní výkresy i vybraná schémata. </w:t>
      </w:r>
      <w:r w:rsidRPr="003C1CCF">
        <w:rPr>
          <w:rFonts w:ascii="UnitPro" w:hAnsi="UnitPro" w:cs="UnitPro"/>
          <w:b/>
        </w:rPr>
        <w:t>Cílem výstavy bude především sez</w:t>
      </w:r>
      <w:r w:rsidRPr="002F2134">
        <w:rPr>
          <w:rFonts w:ascii="UnitPro" w:hAnsi="UnitPro" w:cs="UnitPro"/>
          <w:b/>
        </w:rPr>
        <w:t xml:space="preserve">námit širokou a odbornou veřejnost, zastupitelé MČ i úředníky s obsahem plánu a jeho principy, </w:t>
      </w:r>
      <w:r w:rsidRPr="00ED03E2">
        <w:rPr>
          <w:rFonts w:ascii="UnitPro" w:eastAsia="Times New Roman" w:hAnsi="UnitPro" w:cs="UnitPro"/>
          <w:color w:val="000000"/>
          <w:lang w:eastAsia="cs-CZ"/>
        </w:rPr>
        <w:t>i s tím, jaké mají jednotlivé regulativy dopad na celé město i jednotlivé lokality</w:t>
      </w:r>
      <w:r w:rsidRPr="006D3215">
        <w:rPr>
          <w:rFonts w:ascii="UnitPro" w:hAnsi="UnitPro" w:cs="UnitPro"/>
        </w:rPr>
        <w:t>.</w:t>
      </w:r>
      <w:r>
        <w:rPr>
          <w:rFonts w:ascii="UnitPro" w:hAnsi="UnitPro" w:cs="UnitPro"/>
        </w:rPr>
        <w:t xml:space="preserve"> </w:t>
      </w:r>
      <w:r w:rsidRPr="00ED03E2">
        <w:rPr>
          <w:rFonts w:ascii="UnitPro" w:hAnsi="UnitPro" w:cs="UnitPro"/>
          <w:b/>
          <w:bCs/>
        </w:rPr>
        <w:t>Výstava má také za úkol představit, jak plán funguje a jak s ním pracovat.</w:t>
      </w:r>
    </w:p>
    <w:p w14:paraId="4277C4A8" w14:textId="77777777" w:rsidR="00433BB2" w:rsidRPr="0054453F" w:rsidRDefault="00433BB2" w:rsidP="00433BB2">
      <w:pPr>
        <w:jc w:val="both"/>
        <w:rPr>
          <w:rFonts w:ascii="UnitPro" w:hAnsi="UnitPro" w:cs="UnitPro"/>
        </w:rPr>
      </w:pPr>
      <w:r w:rsidRPr="006D3215">
        <w:rPr>
          <w:rFonts w:ascii="UnitPro" w:hAnsi="UnitPro" w:cs="UnitPro"/>
        </w:rPr>
        <w:t xml:space="preserve">Po zahájení procesu oficiálního projednávání návrhu Metropolitního plánu podle stavebního zákona bude mít každý </w:t>
      </w:r>
      <w:r w:rsidRPr="003C1CCF">
        <w:rPr>
          <w:rFonts w:ascii="UnitPro" w:hAnsi="UnitPro" w:cs="UnitPro"/>
          <w:b/>
        </w:rPr>
        <w:t>možnost uplatnit u pořizovatele písemné připomínky a zejména námitky</w:t>
      </w:r>
      <w:r>
        <w:rPr>
          <w:rFonts w:ascii="UnitPro" w:hAnsi="UnitPro" w:cs="UnitPro"/>
          <w:b/>
        </w:rPr>
        <w:t xml:space="preserve"> </w:t>
      </w:r>
      <w:r w:rsidRPr="006D3215">
        <w:rPr>
          <w:rFonts w:ascii="UnitPro" w:hAnsi="UnitPro" w:cs="UnitPro"/>
        </w:rPr>
        <w:t>– v tomto případě budou od zahájení výstavy v prostorách Centra architektury a městského plánování po celou dobu výstavy přítomni zástupci zpracovatelského týmu a zástupci pořizovatele pro konzultace a dotazy k návrhu.</w:t>
      </w:r>
    </w:p>
    <w:p w14:paraId="07C02B10" w14:textId="77777777" w:rsidR="00433BB2" w:rsidRPr="00D66416" w:rsidRDefault="00433BB2" w:rsidP="00433BB2">
      <w:pPr>
        <w:jc w:val="both"/>
        <w:rPr>
          <w:rFonts w:ascii="UnitPro" w:hAnsi="UnitPro" w:cs="UnitPro"/>
          <w:u w:val="single"/>
        </w:rPr>
      </w:pPr>
      <w:r w:rsidRPr="003030F1">
        <w:rPr>
          <w:rFonts w:ascii="UnitPro" w:hAnsi="UnitPro" w:cs="UnitPro"/>
          <w:u w:val="single"/>
        </w:rPr>
        <w:t>Obsah výstavy:</w:t>
      </w:r>
    </w:p>
    <w:p w14:paraId="7240C9F8" w14:textId="77777777" w:rsidR="00433BB2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Rozvržení výstavní plochy: Výstava bude situována ve dvou sálech </w:t>
      </w:r>
      <w:proofErr w:type="spellStart"/>
      <w:r>
        <w:rPr>
          <w:rFonts w:ascii="UnitPro" w:hAnsi="UnitPro" w:cs="UnitPro"/>
        </w:rPr>
        <w:t>CAMPu</w:t>
      </w:r>
      <w:proofErr w:type="spellEnd"/>
      <w:r>
        <w:rPr>
          <w:rFonts w:ascii="UnitPro" w:hAnsi="UnitPro" w:cs="UnitPro"/>
        </w:rPr>
        <w:t xml:space="preserve"> – Bílý sál, Černý sál. Tyto sály nejsou průchozími, mají samostatné vstupy, ačkoliv jsou přilehlé. Přechod mezi těmito celky by měl být pozvolný a nenásilný, poukazující na vzájemnou provázanost a jednotnost celku. </w:t>
      </w:r>
    </w:p>
    <w:p w14:paraId="3A912209" w14:textId="77777777" w:rsidR="00433BB2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Bílý sál – v této části by měl mít návštěvník možnost podat stížnost/připomínku přímo pořizovateli, který bude přítomen po celou otevírací dobu výstavy. Požadavkem je zajistit pořizovateli vhodné podmínky pro setrvání na místě.</w:t>
      </w:r>
    </w:p>
    <w:p w14:paraId="6CD37F52" w14:textId="77777777" w:rsidR="00433BB2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Černý sál – v této části by měla být prezentována celková dokumentace Metropolitního plánu – výkresy a vybraná schémata, a to minimálně prostřednictvím:</w:t>
      </w:r>
    </w:p>
    <w:p w14:paraId="08C854A5" w14:textId="77777777" w:rsidR="00433BB2" w:rsidRDefault="00433BB2" w:rsidP="00433BB2">
      <w:pPr>
        <w:pStyle w:val="Odstavecseseznamem"/>
        <w:numPr>
          <w:ilvl w:val="0"/>
          <w:numId w:val="5"/>
        </w:num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Širokoúhlá projekční stěna</w:t>
      </w:r>
    </w:p>
    <w:p w14:paraId="0863E821" w14:textId="77777777" w:rsidR="00433BB2" w:rsidRPr="00614A68" w:rsidRDefault="00433BB2" w:rsidP="00433BB2">
      <w:pPr>
        <w:pStyle w:val="Odstavecseseznamem"/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Požadavkem je vytvořit audiovizuální obsah, který přiblíží a zpřístupní široké a odborné veřejnosti základní teze Metropolitního plánu.</w:t>
      </w:r>
    </w:p>
    <w:p w14:paraId="7BCCF793" w14:textId="77777777" w:rsidR="00433BB2" w:rsidRDefault="00433BB2" w:rsidP="00433BB2">
      <w:pPr>
        <w:pStyle w:val="Odstavecseseznamem"/>
        <w:numPr>
          <w:ilvl w:val="0"/>
          <w:numId w:val="5"/>
        </w:num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lastRenderedPageBreak/>
        <w:t>Mapy</w:t>
      </w:r>
    </w:p>
    <w:p w14:paraId="0142CE73" w14:textId="77777777" w:rsidR="00433BB2" w:rsidRDefault="00433BB2" w:rsidP="00433BB2">
      <w:pPr>
        <w:pStyle w:val="Odstavecseseznamem"/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Hlavním požadavkem je představení plánů veřejnosti, které je ze zákona povinné libovolnou formou (interaktivní ad.)</w:t>
      </w:r>
    </w:p>
    <w:p w14:paraId="7AF6B19E" w14:textId="77777777" w:rsidR="00433BB2" w:rsidRPr="00614A68" w:rsidRDefault="00433BB2" w:rsidP="00433BB2">
      <w:pPr>
        <w:pStyle w:val="Odstavecseseznamem"/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 </w:t>
      </w:r>
    </w:p>
    <w:p w14:paraId="6509022B" w14:textId="77777777" w:rsidR="00433BB2" w:rsidRPr="00D66416" w:rsidRDefault="00433BB2" w:rsidP="00433BB2">
      <w:pPr>
        <w:jc w:val="both"/>
        <w:rPr>
          <w:rFonts w:ascii="UnitPro" w:hAnsi="UnitPro" w:cs="UnitPro"/>
          <w:u w:val="single"/>
        </w:rPr>
      </w:pPr>
      <w:r w:rsidRPr="00D66416">
        <w:rPr>
          <w:rFonts w:ascii="UnitPro" w:hAnsi="UnitPro" w:cs="UnitPro"/>
          <w:u w:val="single"/>
        </w:rPr>
        <w:t>Cílové skupiny</w:t>
      </w:r>
      <w:r>
        <w:rPr>
          <w:rFonts w:ascii="UnitPro" w:hAnsi="UnitPro" w:cs="UnitPro"/>
          <w:u w:val="single"/>
        </w:rPr>
        <w:t xml:space="preserve"> výstavy</w:t>
      </w:r>
      <w:r w:rsidRPr="00D66416">
        <w:rPr>
          <w:rFonts w:ascii="UnitPro" w:hAnsi="UnitPro" w:cs="UnitPro"/>
          <w:u w:val="single"/>
        </w:rPr>
        <w:t>:</w:t>
      </w:r>
    </w:p>
    <w:p w14:paraId="25A51619" w14:textId="77777777" w:rsidR="00433BB2" w:rsidRPr="00E358D4" w:rsidRDefault="00433BB2" w:rsidP="00433BB2">
      <w:pPr>
        <w:spacing w:after="0" w:line="240" w:lineRule="auto"/>
        <w:jc w:val="both"/>
        <w:rPr>
          <w:rFonts w:ascii="UnitPro" w:hAnsi="UnitPro" w:cs="UnitPro"/>
          <w:i/>
          <w:iCs/>
          <w:color w:val="000000" w:themeColor="text1"/>
        </w:rPr>
      </w:pPr>
      <w:r w:rsidRPr="00E358D4">
        <w:rPr>
          <w:rFonts w:ascii="UnitPro" w:hAnsi="UnitPro" w:cs="UnitPro"/>
          <w:i/>
          <w:iCs/>
          <w:color w:val="000000" w:themeColor="text1"/>
        </w:rPr>
        <w:t>Široká veřejnost</w:t>
      </w:r>
    </w:p>
    <w:p w14:paraId="494D74D4" w14:textId="77777777" w:rsidR="00433BB2" w:rsidRDefault="00433BB2" w:rsidP="00433BB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Obyvatelé Prahy, kteří se zajímají o město, rozvoj a plánování</w:t>
      </w:r>
    </w:p>
    <w:p w14:paraId="3B87C840" w14:textId="77777777" w:rsidR="00433BB2" w:rsidRPr="00A43285" w:rsidRDefault="00433BB2" w:rsidP="00433BB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Tato cílová skupina rozumí problémům města a zapojuje se do debat o budoucnosti</w:t>
      </w:r>
    </w:p>
    <w:p w14:paraId="631A13EB" w14:textId="77777777" w:rsidR="00433BB2" w:rsidRDefault="00433BB2" w:rsidP="00433BB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Převážně vysokoškolsky vzdělaní, 20-40 let</w:t>
      </w:r>
    </w:p>
    <w:p w14:paraId="7A7B01F3" w14:textId="77777777" w:rsidR="00433BB2" w:rsidRDefault="00433BB2" w:rsidP="00433BB2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Podporují MPP</w:t>
      </w:r>
    </w:p>
    <w:p w14:paraId="5C06B07A" w14:textId="77777777" w:rsidR="00433BB2" w:rsidRPr="00A43285" w:rsidRDefault="00433BB2" w:rsidP="00433BB2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Nesouhlasí s MPP/mají k němu výhrady</w:t>
      </w:r>
    </w:p>
    <w:p w14:paraId="07AD1310" w14:textId="77777777" w:rsidR="00433BB2" w:rsidRDefault="00433BB2" w:rsidP="00433BB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Obyvatelé Prahy</w:t>
      </w:r>
      <w:r w:rsidRPr="00A43285">
        <w:rPr>
          <w:rFonts w:ascii="UnitPro" w:hAnsi="UnitPro" w:cs="UnitPro"/>
          <w:color w:val="000000" w:themeColor="text1"/>
        </w:rPr>
        <w:t xml:space="preserve">, kteří </w:t>
      </w:r>
      <w:r>
        <w:rPr>
          <w:rFonts w:ascii="UnitPro" w:hAnsi="UnitPro" w:cs="UnitPro"/>
          <w:color w:val="000000" w:themeColor="text1"/>
        </w:rPr>
        <w:t>řeší město na lokální bázi</w:t>
      </w:r>
    </w:p>
    <w:p w14:paraId="15C0FF04" w14:textId="77777777" w:rsidR="00433BB2" w:rsidRDefault="00433BB2" w:rsidP="00433BB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Celkový rozvoj města není jejich tématem, ale řeší bezprostřední okolí – dopravu, nedostatek parkovacích míst, drahé bydlení, výstavbu v okolí jejich bydlení, nedostatek parků apod.</w:t>
      </w:r>
    </w:p>
    <w:p w14:paraId="28040AC1" w14:textId="77777777" w:rsidR="00433BB2" w:rsidRDefault="00433BB2" w:rsidP="00433BB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Středoškolské vzdělání, 20-60 let</w:t>
      </w:r>
    </w:p>
    <w:p w14:paraId="3E1D60D6" w14:textId="77777777" w:rsidR="00433BB2" w:rsidRDefault="00433BB2" w:rsidP="00433BB2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MPP vnímají neutrálně/nemají na něj názor</w:t>
      </w:r>
    </w:p>
    <w:p w14:paraId="0818B99A" w14:textId="77777777" w:rsidR="00433BB2" w:rsidRDefault="00433BB2" w:rsidP="00433BB2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Neznají MPP</w:t>
      </w:r>
    </w:p>
    <w:p w14:paraId="379503D7" w14:textId="77777777" w:rsidR="00433BB2" w:rsidRDefault="00433BB2" w:rsidP="00433BB2">
      <w:pPr>
        <w:pStyle w:val="Odstavecseseznamem"/>
        <w:spacing w:after="0" w:line="240" w:lineRule="auto"/>
        <w:ind w:left="1800"/>
        <w:jc w:val="both"/>
        <w:rPr>
          <w:rFonts w:ascii="UnitPro" w:hAnsi="UnitPro" w:cs="UnitPro"/>
          <w:color w:val="000000" w:themeColor="text1"/>
        </w:rPr>
      </w:pPr>
    </w:p>
    <w:p w14:paraId="6AC1201A" w14:textId="77777777" w:rsidR="00433BB2" w:rsidRPr="00E358D4" w:rsidRDefault="00433BB2" w:rsidP="00433BB2">
      <w:pPr>
        <w:spacing w:after="0" w:line="240" w:lineRule="auto"/>
        <w:jc w:val="both"/>
        <w:rPr>
          <w:rFonts w:ascii="UnitPro" w:hAnsi="UnitPro" w:cs="UnitPro"/>
          <w:i/>
          <w:iCs/>
          <w:color w:val="000000" w:themeColor="text1"/>
        </w:rPr>
      </w:pPr>
      <w:r>
        <w:rPr>
          <w:rFonts w:ascii="UnitPro" w:hAnsi="UnitPro" w:cs="UnitPro"/>
          <w:i/>
          <w:iCs/>
          <w:color w:val="000000" w:themeColor="text1"/>
        </w:rPr>
        <w:t>Politická reprezentace města</w:t>
      </w:r>
    </w:p>
    <w:p w14:paraId="0DF96CDA" w14:textId="77777777" w:rsidR="00433BB2" w:rsidRDefault="00433BB2" w:rsidP="00433B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Cílová skupina je složená z politické reprezentace hl. m. Prahy a ze zástupců městských části</w:t>
      </w:r>
    </w:p>
    <w:p w14:paraId="34D18DC9" w14:textId="77777777" w:rsidR="00433BB2" w:rsidRPr="00E358D4" w:rsidRDefault="00433BB2" w:rsidP="00433BB2">
      <w:pPr>
        <w:pStyle w:val="Odstavecseseznamem"/>
        <w:spacing w:after="0" w:line="240" w:lineRule="auto"/>
        <w:jc w:val="both"/>
        <w:rPr>
          <w:rFonts w:ascii="UnitPro" w:hAnsi="UnitPro" w:cs="UnitPro"/>
          <w:color w:val="000000" w:themeColor="text1"/>
        </w:rPr>
      </w:pPr>
    </w:p>
    <w:p w14:paraId="66392066" w14:textId="77777777" w:rsidR="00433BB2" w:rsidRDefault="00433BB2" w:rsidP="00433BB2">
      <w:pPr>
        <w:spacing w:after="0" w:line="240" w:lineRule="auto"/>
        <w:jc w:val="both"/>
        <w:rPr>
          <w:rFonts w:ascii="UnitPro" w:hAnsi="UnitPro" w:cs="UnitPro"/>
          <w:i/>
          <w:iCs/>
          <w:color w:val="000000" w:themeColor="text1"/>
        </w:rPr>
      </w:pPr>
      <w:r w:rsidRPr="00E358D4">
        <w:rPr>
          <w:rFonts w:ascii="UnitPro" w:hAnsi="UnitPro" w:cs="UnitPro"/>
          <w:i/>
          <w:iCs/>
          <w:color w:val="000000" w:themeColor="text1"/>
        </w:rPr>
        <w:t>Odborná veřejnost</w:t>
      </w:r>
    </w:p>
    <w:p w14:paraId="389CD4BA" w14:textId="77777777" w:rsidR="00433BB2" w:rsidRPr="00904E9A" w:rsidRDefault="00433BB2" w:rsidP="00433B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 w:rsidRPr="00904E9A">
        <w:rPr>
          <w:rFonts w:ascii="UnitPro" w:hAnsi="UnitPro" w:cs="UnitPro"/>
          <w:color w:val="000000" w:themeColor="text1"/>
        </w:rPr>
        <w:t>Odborná veřejnost, jež aktivně či pasivně s Metropolitním plánem pracuje či je na něm jejich práce závislá</w:t>
      </w:r>
    </w:p>
    <w:p w14:paraId="7399BE15" w14:textId="77777777" w:rsidR="00433BB2" w:rsidRPr="00904E9A" w:rsidRDefault="00433BB2" w:rsidP="00433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 w:rsidRPr="00E358D4">
        <w:rPr>
          <w:rFonts w:ascii="UnitPro" w:hAnsi="UnitPro" w:cs="UnitPro"/>
          <w:color w:val="000000" w:themeColor="text1"/>
        </w:rPr>
        <w:t>Architekti</w:t>
      </w:r>
    </w:p>
    <w:p w14:paraId="6C1E15A6" w14:textId="77777777" w:rsidR="00433BB2" w:rsidRDefault="00433BB2" w:rsidP="00433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 w:rsidRPr="00D66416">
        <w:rPr>
          <w:rFonts w:ascii="UnitPro" w:hAnsi="UnitPro" w:cs="UnitPro"/>
          <w:color w:val="000000" w:themeColor="text1"/>
        </w:rPr>
        <w:t>Projektanti</w:t>
      </w:r>
    </w:p>
    <w:p w14:paraId="59318268" w14:textId="77777777" w:rsidR="00433BB2" w:rsidRDefault="00433BB2" w:rsidP="00433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D</w:t>
      </w:r>
      <w:r w:rsidRPr="00D66416">
        <w:rPr>
          <w:rFonts w:ascii="UnitPro" w:hAnsi="UnitPro" w:cs="UnitPro"/>
          <w:color w:val="000000" w:themeColor="text1"/>
        </w:rPr>
        <w:t>evelopeř</w:t>
      </w:r>
      <w:r>
        <w:rPr>
          <w:rFonts w:ascii="UnitPro" w:hAnsi="UnitPro" w:cs="UnitPro"/>
          <w:color w:val="000000" w:themeColor="text1"/>
        </w:rPr>
        <w:t>i</w:t>
      </w:r>
    </w:p>
    <w:p w14:paraId="5B64A86C" w14:textId="77777777" w:rsidR="00433BB2" w:rsidRPr="00904E9A" w:rsidRDefault="00433BB2" w:rsidP="00433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 xml:space="preserve">Geografové apod. </w:t>
      </w:r>
    </w:p>
    <w:p w14:paraId="3F9E0C81" w14:textId="77777777" w:rsidR="00433BB2" w:rsidRDefault="00433BB2" w:rsidP="00433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Zájmové skupiny</w:t>
      </w:r>
    </w:p>
    <w:p w14:paraId="2D527F77" w14:textId="77777777" w:rsidR="00433BB2" w:rsidRPr="00D66416" w:rsidRDefault="00433BB2" w:rsidP="00433BB2">
      <w:pPr>
        <w:pStyle w:val="Odstavecseseznamem"/>
        <w:spacing w:after="0" w:line="240" w:lineRule="auto"/>
        <w:jc w:val="both"/>
        <w:rPr>
          <w:rFonts w:ascii="UnitPro" w:hAnsi="UnitPro" w:cs="UnitPro"/>
          <w:color w:val="000000" w:themeColor="text1"/>
        </w:rPr>
      </w:pPr>
    </w:p>
    <w:p w14:paraId="50F0C076" w14:textId="77777777" w:rsidR="00433BB2" w:rsidRDefault="00433BB2" w:rsidP="00433BB2">
      <w:p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 w:rsidRPr="006D3215">
        <w:rPr>
          <w:rFonts w:ascii="UnitPro" w:hAnsi="UnitPro" w:cs="UnitPro"/>
          <w:color w:val="000000" w:themeColor="text1"/>
        </w:rPr>
        <w:t>Úředníci</w:t>
      </w:r>
      <w:r>
        <w:rPr>
          <w:rFonts w:ascii="UnitPro" w:hAnsi="UnitPro" w:cs="UnitPro"/>
          <w:color w:val="000000" w:themeColor="text1"/>
        </w:rPr>
        <w:t xml:space="preserve"> </w:t>
      </w:r>
    </w:p>
    <w:p w14:paraId="3F144C9A" w14:textId="77777777" w:rsidR="00433BB2" w:rsidRDefault="00433BB2" w:rsidP="00433B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>Odbory rozvoje, životního prostředí, dopravy…</w:t>
      </w:r>
    </w:p>
    <w:p w14:paraId="08CB92B4" w14:textId="77777777" w:rsidR="00433BB2" w:rsidRDefault="00433BB2" w:rsidP="00433B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 xml:space="preserve">Stavební úřady </w:t>
      </w:r>
    </w:p>
    <w:p w14:paraId="04C7C64E" w14:textId="77777777" w:rsidR="00433BB2" w:rsidRPr="004C393C" w:rsidRDefault="00433BB2" w:rsidP="00433B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UnitPro" w:hAnsi="UnitPro" w:cs="UnitPro"/>
          <w:color w:val="000000" w:themeColor="text1"/>
        </w:rPr>
      </w:pPr>
      <w:r>
        <w:rPr>
          <w:rFonts w:ascii="UnitPro" w:hAnsi="UnitPro" w:cs="UnitPro"/>
          <w:color w:val="000000" w:themeColor="text1"/>
        </w:rPr>
        <w:t xml:space="preserve">Cílová skupina zahrnuje veškeré úředníky, kteří s plánem aktivně pracují a podle nějž rozhodují </w:t>
      </w:r>
    </w:p>
    <w:p w14:paraId="7F0F59AD" w14:textId="77777777" w:rsidR="00433BB2" w:rsidRDefault="00433BB2" w:rsidP="00433BB2">
      <w:pPr>
        <w:jc w:val="both"/>
        <w:rPr>
          <w:rFonts w:ascii="UnitPro" w:hAnsi="UnitPro" w:cs="UnitPro"/>
        </w:rPr>
      </w:pPr>
    </w:p>
    <w:p w14:paraId="0AF03CA9" w14:textId="77777777" w:rsidR="00433BB2" w:rsidRDefault="00433BB2" w:rsidP="00433BB2">
      <w:pPr>
        <w:jc w:val="both"/>
        <w:rPr>
          <w:rFonts w:ascii="UnitPro" w:hAnsi="UnitPro" w:cs="UnitPro"/>
          <w:u w:val="single"/>
        </w:rPr>
      </w:pPr>
      <w:r w:rsidRPr="00D66416">
        <w:rPr>
          <w:rFonts w:ascii="UnitPro" w:hAnsi="UnitPro" w:cs="UnitPro"/>
          <w:u w:val="single"/>
        </w:rPr>
        <w:t xml:space="preserve">Obsah </w:t>
      </w:r>
      <w:r>
        <w:rPr>
          <w:rFonts w:ascii="UnitPro" w:hAnsi="UnitPro" w:cs="UnitPro"/>
          <w:u w:val="single"/>
        </w:rPr>
        <w:t>Metropolitního plánu</w:t>
      </w:r>
      <w:r w:rsidRPr="00D66416">
        <w:rPr>
          <w:rFonts w:ascii="UnitPro" w:hAnsi="UnitPro" w:cs="UnitPro"/>
          <w:u w:val="single"/>
        </w:rPr>
        <w:t>:</w:t>
      </w:r>
    </w:p>
    <w:p w14:paraId="3D53C7C8" w14:textId="77777777" w:rsidR="00433BB2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Metropolitní plán si klade ambici být plánem iniciačním – očekávání s ním spjatá je ale nutné přizpůsobit reálným možnostem strategického dokumentu. Pro pořizování a vydání územního plánu je závazná Politika územního rozvoje (PÚR ČR) a nadřazená územně plánovací dokumentace (ZÚR </w:t>
      </w:r>
      <w:proofErr w:type="spellStart"/>
      <w:r>
        <w:rPr>
          <w:rFonts w:ascii="UnitPro" w:hAnsi="UnitPro" w:cs="UnitPro"/>
        </w:rPr>
        <w:t>hl.m</w:t>
      </w:r>
      <w:proofErr w:type="spellEnd"/>
      <w:r>
        <w:rPr>
          <w:rFonts w:ascii="UnitPro" w:hAnsi="UnitPro" w:cs="UnitPro"/>
        </w:rPr>
        <w:t>. Prahy), z tohoto důvodu probíhá v souběhu její aktualizace č. 5.</w:t>
      </w:r>
    </w:p>
    <w:p w14:paraId="522419D3" w14:textId="77777777" w:rsidR="00433BB2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Je v něm vložena touha po vyváženosti: na jedné straně navrhujeme stabilizovat, co je dobré a prověřené, zároveň chceme flexibilně umožnit rozvoj nehotového. Jinak řečeno: plán definuje potenciál a jeho vztah ke stávajícím hodnotám.</w:t>
      </w:r>
    </w:p>
    <w:p w14:paraId="4DFF8925" w14:textId="77777777" w:rsidR="00433BB2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lastRenderedPageBreak/>
        <w:t>Každý územní plán musí mít koncepci a koncepcí Metropolitního plánu je kompozice prostorového uspořádání města. Do jejích základů je propsána topografie, tedy výškopisné a polohopisné uspořádání prvků.</w:t>
      </w:r>
    </w:p>
    <w:p w14:paraId="5F3D33F2" w14:textId="77777777" w:rsidR="00433BB2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V půdorysu můžeme město „číst“ zejména pomocí sítě veřejných prostranství (ulic, náměstí atd.). Ve vodorovném pohledu (vedutě) hraje největší roli výškové uspořádání města a výrazné svahy údolí, orientaci usnadňují přírodní i umělé dominanty. „Srdce“ plánu tvoří deset tezí, které tvoří čtyři principy: návrat ke středu, vrstvené město, stabilita prostředí, potenciál a nové možnosti. Jde vlastně o fakta a pozorování a zároveň o obecně sdílené teze a přesvědčení. Město je soubor krajin, krajiny městské a otevřené a infrastruktura je ve „služebné“ roli – takový je ostatně i světový trend. Pod pojmem infrastruktura se skrývá infrastruktura dopravní, krajinná, technická, ale i veřejná vybavenost. Městská krajina obsahuje vystavěné prostředí tedy zástavbu stavebními bloky a veřejná prostranství, a </w:t>
      </w:r>
      <w:r>
        <w:rPr>
          <w:rFonts w:ascii="UnitPro" w:eastAsia="Times New Roman" w:hAnsi="UnitPro" w:cs="UnitPro"/>
          <w:szCs w:val="24"/>
          <w:lang w:eastAsia="cs-CZ"/>
        </w:rPr>
        <w:t>městskou přírodu</w:t>
      </w:r>
      <w:r>
        <w:rPr>
          <w:rFonts w:ascii="UnitPro" w:hAnsi="UnitPro" w:cs="UnitPro"/>
        </w:rPr>
        <w:t>. Otevřená krajina, to jsou nezastavitelné plochy krajiny (včetně samot). Otevřenou krajinu chránit, tedy nezastavovat a zachovat krajinné rozhraní, zelené pásy a nespojovat drobná sídla s hlavním „tělem“ Prahy. Hlavní myšlenka. Metropolitního plánu apeluje na nutnost ukončit extenzivní rozvoj Prahy, její „</w:t>
      </w:r>
      <w:proofErr w:type="spellStart"/>
      <w:r>
        <w:rPr>
          <w:rFonts w:ascii="UnitPro" w:hAnsi="UnitPro" w:cs="UnitPro"/>
        </w:rPr>
        <w:t>roztahanost</w:t>
      </w:r>
      <w:proofErr w:type="spellEnd"/>
      <w:r>
        <w:rPr>
          <w:rFonts w:ascii="UnitPro" w:hAnsi="UnitPro" w:cs="UnitPro"/>
        </w:rPr>
        <w:t>“. Ten je neekonomický, neekologický a neetický. Proto je plán důsledně dostředný a stanovuje hranici zastavitelného a nezastavitelného.</w:t>
      </w:r>
    </w:p>
    <w:p w14:paraId="49FEAD25" w14:textId="77777777" w:rsidR="00433BB2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Perlou v koruně nových prvků v Metropolitním plánu jsou Veduty. Digitální veduta jako záznam stavu a následně návrhový nástroj. Fotografická veduta – esence radosti z krásy Prahy. Další novinkou je pojetí města jako souboru krajin – krajiny městské a krajiny otevřené. Zastavitelné a nezastavitelné – dosud nejradikálnější ochrana přírodní i kulturní krajiny v historii pražského plánování.</w:t>
      </w:r>
      <w:r>
        <w:rPr>
          <w:rFonts w:ascii="UnitPro" w:hAnsi="UnitPro" w:cs="UnitPro"/>
        </w:rPr>
        <w:br/>
        <w:t>Lokality – zdokonalená starší metoda nového rozdělení města na části podle toho, jaký v nich převládá charakter. Krycí list lokality –uživatelsky přívětivý nástroj, který zjednoduší práci s regulativy.</w:t>
      </w:r>
    </w:p>
    <w:p w14:paraId="4A45434D" w14:textId="77777777" w:rsidR="00433BB2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Pro pořizování a vydání územního plánu je závazná Politika územního rozvoje (PÚR ČR) a nadřazená územně plánovací dokumentace (ZÚR </w:t>
      </w:r>
      <w:proofErr w:type="spellStart"/>
      <w:r>
        <w:rPr>
          <w:rFonts w:ascii="UnitPro" w:hAnsi="UnitPro" w:cs="UnitPro"/>
        </w:rPr>
        <w:t>hl.m</w:t>
      </w:r>
      <w:proofErr w:type="spellEnd"/>
      <w:r>
        <w:rPr>
          <w:rFonts w:ascii="UnitPro" w:hAnsi="UnitPro" w:cs="UnitPro"/>
        </w:rPr>
        <w:t>. Prahy), z tohoto důvodu probíhá v souběhu její aktualizace č. 5. Praha územní plán potřebuje zejména pro novelizaci stavebního zákona.</w:t>
      </w:r>
    </w:p>
    <w:p w14:paraId="5E33B929" w14:textId="77777777" w:rsidR="00433BB2" w:rsidRDefault="00433BB2" w:rsidP="00433BB2">
      <w:pPr>
        <w:jc w:val="both"/>
        <w:rPr>
          <w:rFonts w:ascii="UnitPro" w:hAnsi="UnitPro" w:cs="UnitPro"/>
          <w:u w:val="single"/>
        </w:rPr>
      </w:pPr>
    </w:p>
    <w:p w14:paraId="01535215" w14:textId="77777777" w:rsidR="00433BB2" w:rsidRDefault="00433BB2" w:rsidP="00433BB2">
      <w:pPr>
        <w:jc w:val="both"/>
        <w:rPr>
          <w:rFonts w:ascii="UnitPro" w:hAnsi="UnitPro" w:cs="UnitPro"/>
          <w:u w:val="single"/>
        </w:rPr>
      </w:pPr>
      <w:r>
        <w:rPr>
          <w:rFonts w:ascii="UnitPro" w:hAnsi="UnitPro" w:cs="UnitPro"/>
          <w:u w:val="single"/>
        </w:rPr>
        <w:t>Témata Metropolitního plánu:</w:t>
      </w:r>
    </w:p>
    <w:p w14:paraId="7480B097" w14:textId="77777777" w:rsidR="00433BB2" w:rsidRPr="00E66AE9" w:rsidRDefault="00433BB2" w:rsidP="00433BB2">
      <w:pPr>
        <w:suppressAutoHyphens/>
        <w:jc w:val="both"/>
        <w:rPr>
          <w:rFonts w:ascii="UnitPro" w:hAnsi="UnitPro" w:cs="UnitPro"/>
          <w:b/>
          <w:bCs/>
          <w:color w:val="000000"/>
        </w:rPr>
      </w:pPr>
      <w:r w:rsidRPr="00E66AE9">
        <w:rPr>
          <w:rFonts w:ascii="UnitPro" w:hAnsi="UnitPro" w:cs="UnitPro"/>
          <w:b/>
          <w:bCs/>
          <w:color w:val="000000"/>
        </w:rPr>
        <w:t>Prostředí, ve kterém žijeme</w:t>
      </w:r>
    </w:p>
    <w:p w14:paraId="08037D35" w14:textId="77777777" w:rsidR="00433BB2" w:rsidRPr="00E66AE9" w:rsidRDefault="00433BB2" w:rsidP="00433BB2">
      <w:pPr>
        <w:pStyle w:val="Odstavecseseznamem"/>
        <w:numPr>
          <w:ilvl w:val="0"/>
          <w:numId w:val="1"/>
        </w:numPr>
        <w:suppressAutoHyphens/>
        <w:rPr>
          <w:rFonts w:ascii="UnitPro" w:hAnsi="UnitPro" w:cs="UnitPro"/>
          <w:color w:val="000000"/>
        </w:rPr>
      </w:pPr>
      <w:r w:rsidRPr="00E66AE9">
        <w:rPr>
          <w:rFonts w:ascii="UnitPro" w:hAnsi="UnitPro" w:cs="UnitPro"/>
          <w:color w:val="000000"/>
        </w:rPr>
        <w:t>MPP zároveň chrání Prahu takovou, jaká je a jakou ji máme rádi. Praha je jedinečná tím, že ji tvoří různé lokality, z nichž každá má svůj specifický charakter, vzhled, výšku domů či například šířku silnic. Plán k nim proto přistupuje individuálně a respektuje každou z nich. Díky definici jednotlivých lokalit je také jednodušší orientace v MPP jak pro projektanty, tak i úředníky. MPP zamezí jakémukoli překvapení – tzn. že ve vilové čtvrti například nemůže vzniknout mrakodrap, zkrátka musí respektovat její charakter.</w:t>
      </w:r>
    </w:p>
    <w:p w14:paraId="08E70BEF" w14:textId="77777777" w:rsidR="00433BB2" w:rsidRPr="00E66AE9" w:rsidRDefault="00433BB2" w:rsidP="00433BB2">
      <w:pPr>
        <w:suppressAutoHyphens/>
        <w:rPr>
          <w:rFonts w:ascii="UnitPro" w:hAnsi="UnitPro" w:cs="UnitPro"/>
          <w:color w:val="000000"/>
        </w:rPr>
      </w:pPr>
      <w:r w:rsidRPr="00E66AE9">
        <w:rPr>
          <w:rFonts w:ascii="UnitPro" w:hAnsi="UnitPro" w:cs="UnitPro"/>
          <w:b/>
          <w:bCs/>
          <w:color w:val="000000"/>
        </w:rPr>
        <w:t>Veřejný prostor</w:t>
      </w:r>
    </w:p>
    <w:p w14:paraId="22C193B6" w14:textId="77777777" w:rsidR="00433BB2" w:rsidRPr="00E66AE9" w:rsidRDefault="00433BB2" w:rsidP="00433BB2">
      <w:pPr>
        <w:pStyle w:val="Odstavecseseznamem"/>
        <w:numPr>
          <w:ilvl w:val="0"/>
          <w:numId w:val="1"/>
        </w:numPr>
        <w:suppressAutoHyphens/>
        <w:jc w:val="both"/>
        <w:rPr>
          <w:rFonts w:ascii="UnitPro" w:hAnsi="UnitPro" w:cs="UnitPro"/>
          <w:color w:val="000000"/>
        </w:rPr>
      </w:pPr>
      <w:r w:rsidRPr="00E66AE9">
        <w:rPr>
          <w:rFonts w:ascii="UnitPro" w:hAnsi="UnitPro" w:cs="UnitPro"/>
          <w:color w:val="000000"/>
        </w:rPr>
        <w:t xml:space="preserve">Moderní město netvoří jen budovy, ale i kvalitní veřejná prostranství, například ulice či náměstí. Metropolitní plán se proto zaměřuje i na jejich rozvoj. Praha by měla sloužit všem obyvatelům, proto je důležitá dobrá prostupnost a bezpečnost. Pokud bude některé náměstí ve špatném stavu, nebude nutná složitá změna územního plánu, proto aby bylo zrekonstruováno. </w:t>
      </w:r>
    </w:p>
    <w:p w14:paraId="774C7652" w14:textId="77777777" w:rsidR="00433BB2" w:rsidRPr="00E66AE9" w:rsidRDefault="00433BB2" w:rsidP="00433BB2">
      <w:pPr>
        <w:pStyle w:val="Odstavecseseznamem"/>
        <w:numPr>
          <w:ilvl w:val="0"/>
          <w:numId w:val="1"/>
        </w:numPr>
        <w:suppressAutoHyphens/>
        <w:jc w:val="both"/>
        <w:rPr>
          <w:rFonts w:ascii="UnitPro" w:hAnsi="UnitPro" w:cs="UnitPro"/>
          <w:color w:val="000000"/>
        </w:rPr>
      </w:pPr>
      <w:r w:rsidRPr="00E66AE9">
        <w:rPr>
          <w:rFonts w:ascii="UnitPro" w:hAnsi="UnitPro" w:cs="UnitPro"/>
          <w:color w:val="000000"/>
        </w:rPr>
        <w:t xml:space="preserve">Nový územní plán také ochraňuje současné parky, a navíc umožnuje vznik dalších. V transformačních lokalitách, tedy například v Bubnech, na Nákladovém nádraží nebo na </w:t>
      </w:r>
      <w:r w:rsidRPr="00E66AE9">
        <w:rPr>
          <w:rFonts w:ascii="UnitPro" w:hAnsi="UnitPro" w:cs="UnitPro"/>
          <w:color w:val="000000"/>
        </w:rPr>
        <w:lastRenderedPageBreak/>
        <w:t xml:space="preserve">Bohdalci přibydou nové parky na základě zpracovaných studií. Parků tedy bude nakonec mnohem více než dnes. </w:t>
      </w:r>
    </w:p>
    <w:p w14:paraId="4B641363" w14:textId="77777777" w:rsidR="00433BB2" w:rsidRPr="00E66AE9" w:rsidRDefault="00433BB2" w:rsidP="00433BB2">
      <w:pPr>
        <w:suppressAutoHyphens/>
        <w:jc w:val="both"/>
        <w:rPr>
          <w:rFonts w:ascii="UnitPro" w:hAnsi="UnitPro" w:cs="UnitPro"/>
          <w:b/>
          <w:bCs/>
          <w:color w:val="000000"/>
        </w:rPr>
      </w:pPr>
      <w:r w:rsidRPr="00E66AE9">
        <w:rPr>
          <w:rFonts w:ascii="UnitPro" w:hAnsi="UnitPro" w:cs="UnitPro"/>
          <w:b/>
          <w:bCs/>
          <w:color w:val="000000"/>
        </w:rPr>
        <w:t>Bydlení</w:t>
      </w:r>
    </w:p>
    <w:p w14:paraId="59489082" w14:textId="77777777" w:rsidR="00433BB2" w:rsidRPr="006D3215" w:rsidRDefault="00433BB2" w:rsidP="00433BB2">
      <w:pPr>
        <w:pStyle w:val="Odstavecseseznamem"/>
        <w:numPr>
          <w:ilvl w:val="0"/>
          <w:numId w:val="1"/>
        </w:numPr>
        <w:suppressAutoHyphens/>
        <w:jc w:val="both"/>
        <w:rPr>
          <w:rFonts w:ascii="UnitPro" w:hAnsi="UnitPro" w:cs="UnitPro"/>
          <w:color w:val="000000"/>
        </w:rPr>
      </w:pPr>
      <w:r w:rsidRPr="006D3215">
        <w:rPr>
          <w:rFonts w:ascii="UnitPro" w:hAnsi="UnitPro" w:cs="UnitPro"/>
          <w:color w:val="000000"/>
        </w:rPr>
        <w:t xml:space="preserve">Pro město je důležitý jeho správný rozvoj, ale také ochrana současného stavu. Nový plán přísně reguluje sídliště a chrání jejich charakter. Dostatečně se věnuje také vnitroblokům či zahrádkářským koloniím. MPP také nepřidává žádné nové rozvojové plochy na okraji Prahy a ty, které jsou v něm definovány, musí odpovídat zásadám udržitelného rozvoje. V případě transformačních ploch uvnitř Prahy se postupuje s ohledem na schválené, ale i probíhající změny územního plánu a spoléhá se na studie nových čtvrtí. Díky MPP tak vznikne bydlení pro desetitisíce rodin. MPP však navrhuje výstavbu jen na místech, kde to má smysl. Snaží se využívat staré brownfieldy a zaceluje „díry“ ve městě. </w:t>
      </w:r>
    </w:p>
    <w:p w14:paraId="4FDCB95F" w14:textId="77777777" w:rsidR="00433BB2" w:rsidRPr="00E66AE9" w:rsidRDefault="00433BB2" w:rsidP="00433BB2">
      <w:pPr>
        <w:suppressAutoHyphens/>
        <w:jc w:val="both"/>
        <w:rPr>
          <w:rFonts w:ascii="UnitPro" w:hAnsi="UnitPro" w:cs="UnitPro"/>
          <w:b/>
          <w:bCs/>
          <w:color w:val="000000"/>
        </w:rPr>
      </w:pPr>
      <w:r w:rsidRPr="00E66AE9">
        <w:rPr>
          <w:rFonts w:ascii="UnitPro" w:hAnsi="UnitPro" w:cs="UnitPro"/>
          <w:b/>
          <w:bCs/>
          <w:color w:val="000000"/>
        </w:rPr>
        <w:t>Klimatická změna</w:t>
      </w:r>
    </w:p>
    <w:p w14:paraId="61C04BCC" w14:textId="77777777" w:rsidR="00433BB2" w:rsidRPr="006D3215" w:rsidRDefault="00433BB2" w:rsidP="00433BB2">
      <w:pPr>
        <w:pStyle w:val="Odstavecseseznamem"/>
        <w:numPr>
          <w:ilvl w:val="0"/>
          <w:numId w:val="1"/>
        </w:numPr>
        <w:suppressAutoHyphens/>
        <w:jc w:val="both"/>
        <w:rPr>
          <w:rFonts w:ascii="UnitPro" w:hAnsi="UnitPro" w:cs="UnitPro"/>
          <w:color w:val="000000"/>
        </w:rPr>
      </w:pPr>
      <w:r w:rsidRPr="006D3215">
        <w:rPr>
          <w:rFonts w:ascii="UnitPro" w:hAnsi="UnitPro" w:cs="UnitPro"/>
          <w:color w:val="000000"/>
        </w:rPr>
        <w:t>Co je zásadním problémem Prahy? Že se nestaví uvnitř města, ale na jeho okraji. Trpí tím tak krajina, a navíc to stojí mnohem více peněz. Infrastruktura na kraji města je totiž finančně náročnější. Vymezení hranice zastavitelného a nezastavitelného území je tak v MPP tou nejdůležitější regulací města. Příroda tak bude o to více chráněna. MPP řeší také řeku a s ní spojenou protipovodňovou ochranu. Metropolitní plán se věnuje ekologické stabilitě, tedy ochraně zvířat i rostlin. Díky ní bude vymezena síť biocenter a biokoridorů.</w:t>
      </w:r>
    </w:p>
    <w:p w14:paraId="2928CC98" w14:textId="77777777" w:rsidR="00433BB2" w:rsidRPr="00382B72" w:rsidRDefault="00433BB2" w:rsidP="00433BB2">
      <w:pPr>
        <w:suppressAutoHyphens/>
        <w:jc w:val="both"/>
        <w:rPr>
          <w:rFonts w:ascii="UnitPro" w:hAnsi="UnitPro" w:cs="UnitPro"/>
          <w:b/>
          <w:bCs/>
          <w:color w:val="000000"/>
        </w:rPr>
      </w:pPr>
      <w:r w:rsidRPr="00382B72">
        <w:rPr>
          <w:rFonts w:ascii="UnitPro" w:hAnsi="UnitPro" w:cs="UnitPro"/>
          <w:b/>
          <w:bCs/>
          <w:color w:val="000000"/>
        </w:rPr>
        <w:t>Veřejná vybavenost</w:t>
      </w:r>
    </w:p>
    <w:p w14:paraId="1D3DA3E2" w14:textId="77777777" w:rsidR="00433BB2" w:rsidRPr="00382B72" w:rsidRDefault="00433BB2" w:rsidP="00433BB2">
      <w:pPr>
        <w:pStyle w:val="Odstavecseseznamem"/>
        <w:numPr>
          <w:ilvl w:val="0"/>
          <w:numId w:val="1"/>
        </w:numPr>
        <w:suppressAutoHyphens/>
        <w:rPr>
          <w:rFonts w:ascii="UnitPro" w:hAnsi="UnitPro" w:cs="UnitPro"/>
          <w:color w:val="000000"/>
        </w:rPr>
      </w:pPr>
      <w:r w:rsidRPr="00382B72">
        <w:rPr>
          <w:rFonts w:ascii="UnitPro" w:hAnsi="UnitPro" w:cs="UnitPro"/>
          <w:color w:val="000000"/>
        </w:rPr>
        <w:t>Školy, školky, nemocnice, obchody. Metropolitním plánu bude občanská vybavenost chráněna, protože bude plošně vymezena. Co to znamená? Místo, kde má stát např. nemocnice bude jasně obtažena a nikdo si v takovém místě nemůže udělat třeba kancelář. Veřejnou vybavenost je nově také možné umisťovat téměř kdekoliv.</w:t>
      </w:r>
    </w:p>
    <w:p w14:paraId="60C4E593" w14:textId="77777777" w:rsidR="00433BB2" w:rsidRPr="0043492D" w:rsidRDefault="00433BB2" w:rsidP="00433BB2">
      <w:pPr>
        <w:jc w:val="both"/>
        <w:rPr>
          <w:rFonts w:ascii="UnitPro" w:hAnsi="UnitPro" w:cs="UnitPro"/>
        </w:rPr>
      </w:pPr>
    </w:p>
    <w:p w14:paraId="7CA81563" w14:textId="77777777" w:rsidR="00433BB2" w:rsidRDefault="00433BB2" w:rsidP="00433BB2">
      <w:pPr>
        <w:jc w:val="both"/>
        <w:rPr>
          <w:rFonts w:ascii="UnitPro" w:hAnsi="UnitPro" w:cs="UnitPro"/>
          <w:u w:val="single"/>
        </w:rPr>
      </w:pPr>
      <w:r>
        <w:rPr>
          <w:rFonts w:ascii="UnitPro" w:hAnsi="UnitPro" w:cs="UnitPro"/>
          <w:u w:val="single"/>
        </w:rPr>
        <w:t>Podklady pro nastudování Metropolitního plánu:</w:t>
      </w:r>
    </w:p>
    <w:p w14:paraId="574960C3" w14:textId="07FEDAD1" w:rsidR="00433BB2" w:rsidRDefault="00433BB2" w:rsidP="00433BB2">
      <w:pPr>
        <w:jc w:val="both"/>
        <w:rPr>
          <w:rFonts w:ascii="UnitPro" w:hAnsi="UnitPro" w:cs="UnitPro"/>
        </w:rPr>
      </w:pPr>
      <w:r w:rsidRPr="003030F1">
        <w:rPr>
          <w:rFonts w:ascii="UnitPro" w:hAnsi="UnitPro" w:cs="UnitPro"/>
        </w:rPr>
        <w:t xml:space="preserve">Uchazeč může čerpat </w:t>
      </w:r>
      <w:r>
        <w:rPr>
          <w:rFonts w:ascii="UnitPro" w:hAnsi="UnitPro" w:cs="UnitPro"/>
        </w:rPr>
        <w:t>z verze dostupné z roku 2018 – samotn</w:t>
      </w:r>
      <w:r w:rsidR="000D389A">
        <w:rPr>
          <w:rFonts w:ascii="UnitPro" w:hAnsi="UnitPro" w:cs="UnitPro"/>
        </w:rPr>
        <w:t>á</w:t>
      </w:r>
      <w:r>
        <w:rPr>
          <w:rFonts w:ascii="UnitPro" w:hAnsi="UnitPro" w:cs="UnitPro"/>
        </w:rPr>
        <w:t xml:space="preserve"> dokumentace zůstává prakticky ve stejném formátu, měnit se bude v zásadě pouze obsah.</w:t>
      </w:r>
    </w:p>
    <w:p w14:paraId="351204F6" w14:textId="77777777" w:rsidR="00433BB2" w:rsidRPr="003030F1" w:rsidRDefault="00433BB2" w:rsidP="00433BB2">
      <w:pPr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Ke stažení zde: </w:t>
      </w:r>
      <w:r w:rsidRPr="009E32CB">
        <w:rPr>
          <w:rFonts w:ascii="UnitPro" w:hAnsi="UnitPro" w:cs="UnitPro"/>
        </w:rPr>
        <w:t>http://plan.iprpraha.cz/cs/metropolitni-plan-ke-stazeni</w:t>
      </w:r>
    </w:p>
    <w:p w14:paraId="0F552F55" w14:textId="77777777" w:rsidR="00433BB2" w:rsidRDefault="00433BB2" w:rsidP="00433BB2"/>
    <w:p w14:paraId="03D06F7B" w14:textId="77777777" w:rsidR="00A03517" w:rsidRDefault="00A03517" w:rsidP="00CB7093">
      <w:pPr>
        <w:jc w:val="both"/>
        <w:rPr>
          <w:rFonts w:ascii="UnitPro" w:hAnsi="UnitPro" w:cs="UnitPro"/>
          <w:b/>
        </w:rPr>
      </w:pPr>
    </w:p>
    <w:p w14:paraId="67B169EE" w14:textId="77777777" w:rsidR="00BA66C3" w:rsidRPr="00BA66C3" w:rsidRDefault="00BA66C3" w:rsidP="003C2125">
      <w:pPr>
        <w:jc w:val="both"/>
        <w:rPr>
          <w:rFonts w:ascii="UnitPro" w:hAnsi="UnitPro" w:cs="UnitPro"/>
        </w:rPr>
      </w:pPr>
    </w:p>
    <w:sectPr w:rsidR="00BA66C3" w:rsidRPr="00BA66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47FD" w14:textId="77777777" w:rsidR="00162EBB" w:rsidRDefault="00162EBB" w:rsidP="0008272D">
      <w:pPr>
        <w:spacing w:after="0" w:line="240" w:lineRule="auto"/>
      </w:pPr>
      <w:r>
        <w:separator/>
      </w:r>
    </w:p>
  </w:endnote>
  <w:endnote w:type="continuationSeparator" w:id="0">
    <w:p w14:paraId="2583A061" w14:textId="77777777" w:rsidR="00162EBB" w:rsidRDefault="00162EBB" w:rsidP="0008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tPro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C4DC" w14:textId="77777777" w:rsidR="00162EBB" w:rsidRDefault="00162EBB" w:rsidP="0008272D">
      <w:pPr>
        <w:spacing w:after="0" w:line="240" w:lineRule="auto"/>
      </w:pPr>
      <w:r>
        <w:separator/>
      </w:r>
    </w:p>
  </w:footnote>
  <w:footnote w:type="continuationSeparator" w:id="0">
    <w:p w14:paraId="39B88DDC" w14:textId="77777777" w:rsidR="00162EBB" w:rsidRDefault="00162EBB" w:rsidP="0008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7CD7" w14:textId="629EFAE7" w:rsidR="0008272D" w:rsidRDefault="0008272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4F3D2" wp14:editId="4AB02597">
          <wp:simplePos x="0" y="0"/>
          <wp:positionH relativeFrom="page">
            <wp:posOffset>720090</wp:posOffset>
          </wp:positionH>
          <wp:positionV relativeFrom="page">
            <wp:posOffset>511175</wp:posOffset>
          </wp:positionV>
          <wp:extent cx="5760720" cy="337820"/>
          <wp:effectExtent l="0" t="0" r="0" b="5080"/>
          <wp:wrapTight wrapText="bothSides">
            <wp:wrapPolygon edited="0">
              <wp:start x="0" y="0"/>
              <wp:lineTo x="0" y="20707"/>
              <wp:lineTo x="21500" y="20707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03B8"/>
    <w:multiLevelType w:val="hybridMultilevel"/>
    <w:tmpl w:val="DF3C8152"/>
    <w:lvl w:ilvl="0" w:tplc="1A48B6D6">
      <w:start w:val="2"/>
      <w:numFmt w:val="bullet"/>
      <w:lvlText w:val="-"/>
      <w:lvlJc w:val="left"/>
      <w:pPr>
        <w:ind w:left="720" w:hanging="360"/>
      </w:pPr>
      <w:rPr>
        <w:rFonts w:ascii="UnitPro" w:eastAsiaTheme="minorHAnsi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6B2"/>
    <w:multiLevelType w:val="hybridMultilevel"/>
    <w:tmpl w:val="8C6C8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7F87"/>
    <w:multiLevelType w:val="hybridMultilevel"/>
    <w:tmpl w:val="74B0FCFC"/>
    <w:lvl w:ilvl="0" w:tplc="788AC872">
      <w:start w:val="1"/>
      <w:numFmt w:val="bullet"/>
      <w:lvlText w:val="-"/>
      <w:lvlJc w:val="left"/>
      <w:pPr>
        <w:ind w:left="1080" w:hanging="360"/>
      </w:pPr>
      <w:rPr>
        <w:rFonts w:ascii="UnitPro" w:eastAsiaTheme="minorHAnsi" w:hAnsi="UnitPro" w:cs="UnitPro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66D0B"/>
    <w:multiLevelType w:val="hybridMultilevel"/>
    <w:tmpl w:val="5CAA4C28"/>
    <w:lvl w:ilvl="0" w:tplc="AAFE629C">
      <w:start w:val="2"/>
      <w:numFmt w:val="bullet"/>
      <w:lvlText w:val="-"/>
      <w:lvlJc w:val="left"/>
      <w:pPr>
        <w:ind w:left="720" w:hanging="360"/>
      </w:pPr>
      <w:rPr>
        <w:rFonts w:ascii="UnitPro" w:eastAsiaTheme="minorHAnsi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B0F9A"/>
    <w:multiLevelType w:val="hybridMultilevel"/>
    <w:tmpl w:val="6FA2F172"/>
    <w:lvl w:ilvl="0" w:tplc="8E0E5320">
      <w:start w:val="2"/>
      <w:numFmt w:val="bullet"/>
      <w:lvlText w:val="-"/>
      <w:lvlJc w:val="left"/>
      <w:pPr>
        <w:ind w:left="720" w:hanging="360"/>
      </w:pPr>
      <w:rPr>
        <w:rFonts w:ascii="UnitPro" w:eastAsiaTheme="minorHAnsi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AE"/>
    <w:rsid w:val="000572AE"/>
    <w:rsid w:val="0008272D"/>
    <w:rsid w:val="000D389A"/>
    <w:rsid w:val="001013BA"/>
    <w:rsid w:val="00162EBB"/>
    <w:rsid w:val="00290731"/>
    <w:rsid w:val="003606E3"/>
    <w:rsid w:val="003C2125"/>
    <w:rsid w:val="003C45A2"/>
    <w:rsid w:val="00433BB2"/>
    <w:rsid w:val="0075366F"/>
    <w:rsid w:val="00890041"/>
    <w:rsid w:val="00A03517"/>
    <w:rsid w:val="00A47EF0"/>
    <w:rsid w:val="00BA66C3"/>
    <w:rsid w:val="00CB45F3"/>
    <w:rsid w:val="00C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D98F2"/>
  <w15:chartTrackingRefBased/>
  <w15:docId w15:val="{F04545DD-FEB2-478B-848F-DA42B59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rzxr">
    <w:name w:val="lrzxr"/>
    <w:basedOn w:val="Standardnpsmoodstavce"/>
    <w:rsid w:val="00A03517"/>
  </w:style>
  <w:style w:type="paragraph" w:styleId="Normlnweb">
    <w:name w:val="Normal (Web)"/>
    <w:basedOn w:val="Normln"/>
    <w:uiPriority w:val="99"/>
    <w:semiHidden/>
    <w:unhideWhenUsed/>
    <w:rsid w:val="00BA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EF0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Normln"/>
    <w:rsid w:val="000827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72D"/>
  </w:style>
  <w:style w:type="paragraph" w:styleId="Zpat">
    <w:name w:val="footer"/>
    <w:basedOn w:val="Normln"/>
    <w:link w:val="ZpatChar"/>
    <w:uiPriority w:val="99"/>
    <w:unhideWhenUsed/>
    <w:rsid w:val="0008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72D"/>
  </w:style>
  <w:style w:type="paragraph" w:styleId="Odstavecseseznamem">
    <w:name w:val="List Paragraph"/>
    <w:basedOn w:val="Normln"/>
    <w:uiPriority w:val="34"/>
    <w:qFormat/>
    <w:rsid w:val="0043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Truncová Markéta</dc:creator>
  <cp:keywords/>
  <dc:description/>
  <cp:lastModifiedBy>Jiří Douda</cp:lastModifiedBy>
  <cp:revision>3</cp:revision>
  <cp:lastPrinted>2021-10-19T11:18:00Z</cp:lastPrinted>
  <dcterms:created xsi:type="dcterms:W3CDTF">2021-10-19T11:55:00Z</dcterms:created>
  <dcterms:modified xsi:type="dcterms:W3CDTF">2021-12-23T08:43:00Z</dcterms:modified>
</cp:coreProperties>
</file>