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63D82C05" w14:textId="743B38BE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6C1756">
        <w:rPr>
          <w:rFonts w:ascii="Times New Roman" w:eastAsia="Calibri" w:hAnsi="Times New Roman" w:cs="Times New Roman"/>
          <w:b/>
          <w:sz w:val="36"/>
        </w:rPr>
        <w:t>3</w:t>
      </w:r>
    </w:p>
    <w:p w14:paraId="771DB319" w14:textId="7777777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2CF8D4C8" w:rsidR="00025F03" w:rsidRPr="00025F03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E763F9">
        <w:rPr>
          <w:rFonts w:ascii="Times New Roman" w:eastAsia="Calibri" w:hAnsi="Times New Roman" w:cs="Times New Roman"/>
          <w:b/>
          <w:sz w:val="36"/>
        </w:rPr>
        <w:t>1</w:t>
      </w:r>
      <w:r w:rsidR="008B7D5D">
        <w:rPr>
          <w:rFonts w:ascii="Times New Roman" w:eastAsia="Calibri" w:hAnsi="Times New Roman" w:cs="Times New Roman"/>
          <w:b/>
          <w:sz w:val="36"/>
        </w:rPr>
        <w:t>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E763F9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760865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7CEE2E4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B7D8688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3C270C">
        <w:rPr>
          <w:rFonts w:ascii="Times New Roman" w:eastAsia="Calibri" w:hAnsi="Times New Roman" w:cs="Times New Roman"/>
        </w:rPr>
        <w:t>veřejných zakázek</w:t>
      </w:r>
      <w:r w:rsidR="00AF7CE0">
        <w:rPr>
          <w:rFonts w:ascii="Times New Roman" w:eastAsia="Calibri" w:hAnsi="Times New Roman" w:cs="Times New Roman"/>
        </w:rPr>
        <w:t xml:space="preserve"> a právní podpory</w:t>
      </w:r>
    </w:p>
    <w:p w14:paraId="1B5F6F6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2885AAF2" w14:textId="77777777" w:rsidR="003F65CB" w:rsidRPr="00D049E6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D049E6">
        <w:rPr>
          <w:rFonts w:ascii="Times New Roman" w:hAnsi="Times New Roman"/>
          <w:b/>
        </w:rPr>
        <w:t xml:space="preserve">DLA </w:t>
      </w:r>
      <w:proofErr w:type="spellStart"/>
      <w:r w:rsidRPr="00D049E6">
        <w:rPr>
          <w:rFonts w:ascii="Times New Roman" w:hAnsi="Times New Roman"/>
          <w:b/>
        </w:rPr>
        <w:t>Piper</w:t>
      </w:r>
      <w:proofErr w:type="spellEnd"/>
      <w:r w:rsidRPr="00D049E6">
        <w:rPr>
          <w:rFonts w:ascii="Times New Roman" w:hAnsi="Times New Roman"/>
          <w:b/>
        </w:rPr>
        <w:t xml:space="preserve"> Prague LLP</w:t>
      </w:r>
    </w:p>
    <w:p w14:paraId="2AFBDCAF" w14:textId="77777777" w:rsidR="003F65CB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sídlem: 3 Noble Street, Londýn, EC2V 7EE, Spojené království Velké Británie a Severního Irska, jednající prostřednictvím své organizační složky DLA </w:t>
      </w:r>
      <w:proofErr w:type="spellStart"/>
      <w:r>
        <w:rPr>
          <w:rFonts w:ascii="Times New Roman" w:hAnsi="Times New Roman"/>
        </w:rPr>
        <w:t>Piper</w:t>
      </w:r>
      <w:proofErr w:type="spellEnd"/>
      <w:r>
        <w:rPr>
          <w:rFonts w:ascii="Times New Roman" w:hAnsi="Times New Roman"/>
        </w:rPr>
        <w:t xml:space="preserve"> Prague LLP, organizační složka,</w:t>
      </w:r>
    </w:p>
    <w:p w14:paraId="1B4DE617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 sídlem Perlová 371/5, 110 00 Praha 1</w:t>
      </w:r>
    </w:p>
    <w:p w14:paraId="1680C2E5" w14:textId="7C6981F2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E044B">
        <w:rPr>
          <w:rFonts w:ascii="Times New Roman" w:hAnsi="Times New Roman"/>
        </w:rPr>
        <w:t>zastoupený: Mgr. Miroslavem Dubovským</w:t>
      </w:r>
      <w:r w:rsidR="00E763F9" w:rsidRPr="00FE044B">
        <w:rPr>
          <w:rFonts w:ascii="Times New Roman" w:hAnsi="Times New Roman"/>
        </w:rPr>
        <w:t>, na základě plné moci</w:t>
      </w:r>
    </w:p>
    <w:p w14:paraId="64C18A0E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28518659</w:t>
      </w:r>
    </w:p>
    <w:p w14:paraId="6FDA242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CZ28518659</w:t>
      </w:r>
    </w:p>
    <w:p w14:paraId="1EA91F85" w14:textId="7091253B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="0003189F">
        <w:rPr>
          <w:rFonts w:ascii="Times New Roman" w:hAnsi="Times New Roman"/>
        </w:rPr>
        <w:t>neveřejný údaj</w:t>
      </w:r>
    </w:p>
    <w:p w14:paraId="592AEBD6" w14:textId="3838CB7B" w:rsidR="003F65CB" w:rsidRPr="00F06F8C" w:rsidRDefault="003F65CB" w:rsidP="003F65CB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03189F">
        <w:rPr>
          <w:rFonts w:ascii="Times New Roman" w:hAnsi="Times New Roman"/>
        </w:rPr>
        <w:t>neveřejný údaj</w:t>
      </w:r>
    </w:p>
    <w:p w14:paraId="5EA6454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</w:p>
    <w:p w14:paraId="2BBBF0FC" w14:textId="5612962D" w:rsidR="003F65CB" w:rsidRPr="00F06F8C" w:rsidRDefault="00E763F9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(dále jen</w:t>
      </w:r>
      <w:r w:rsidR="003F65CB" w:rsidRPr="00F06F8C">
        <w:rPr>
          <w:rFonts w:ascii="Times New Roman" w:hAnsi="Times New Roman"/>
          <w:b/>
          <w:i/>
        </w:rPr>
        <w:t xml:space="preserve"> „</w:t>
      </w:r>
      <w:r w:rsidR="003F65CB">
        <w:rPr>
          <w:rFonts w:ascii="Times New Roman" w:hAnsi="Times New Roman"/>
          <w:b/>
          <w:i/>
        </w:rPr>
        <w:t>Advokát</w:t>
      </w:r>
      <w:r w:rsidR="003F65CB" w:rsidRPr="00F06F8C">
        <w:rPr>
          <w:rFonts w:ascii="Times New Roman" w:hAnsi="Times New Roman"/>
          <w:b/>
          <w:i/>
        </w:rPr>
        <w:t>“)</w:t>
      </w:r>
    </w:p>
    <w:p w14:paraId="6418BEA0" w14:textId="77777777" w:rsidR="003F65CB" w:rsidRDefault="003F65CB" w:rsidP="003F65CB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295489F4" w14:textId="77777777" w:rsidR="00002C42" w:rsidRDefault="00002C42" w:rsidP="00760865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2B3D2717" w14:textId="77777777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1EFCD5B9" w:rsidR="00002C42" w:rsidRDefault="00DC27F7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6C1756">
        <w:rPr>
          <w:rFonts w:ascii="Times New Roman" w:eastAsia="Calibri" w:hAnsi="Times New Roman" w:cs="Times New Roman"/>
        </w:rPr>
        <w:t>3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4F86CA00" w14:textId="3CC5635A" w:rsidR="00002C4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18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základě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E763F9">
        <w:rPr>
          <w:rFonts w:ascii="Times New Roman" w:hAnsi="Times New Roman"/>
          <w:kern w:val="32"/>
          <w:lang w:eastAsia="cs-CZ"/>
        </w:rPr>
        <w:t>zajištění</w:t>
      </w:r>
      <w:r w:rsidR="003F65CB" w:rsidRPr="003F65CB">
        <w:rPr>
          <w:rFonts w:ascii="Times New Roman" w:hAnsi="Times New Roman"/>
          <w:szCs w:val="20"/>
        </w:rPr>
        <w:t xml:space="preserve"> </w:t>
      </w:r>
      <w:r w:rsidR="003F65CB" w:rsidRPr="0039797E">
        <w:rPr>
          <w:rFonts w:ascii="Times New Roman" w:hAnsi="Times New Roman"/>
          <w:szCs w:val="20"/>
        </w:rPr>
        <w:t>právního poradenství v oblasti závazkového práva podle nového občanského zákoníku a práva veřejných zakázek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maximálním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947A401" w14:textId="5C6A0984" w:rsidR="00AF7CE0" w:rsidRDefault="00AF7CE0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9</w:t>
      </w: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12. 2018 </w:t>
      </w:r>
      <w:bookmarkStart w:id="0" w:name="_Hlk89880561"/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uzavřely smluvní strany Dodatek č. 1 k výše uvedené Dílčí smlouvě, kterým došlo k úpravě čl. IV. odst. 4.1 Dílčí smlouvy.</w:t>
      </w:r>
      <w:bookmarkEnd w:id="0"/>
    </w:p>
    <w:p w14:paraId="5DFF9DD6" w14:textId="77777777" w:rsidR="006C1756" w:rsidRPr="00913EA9" w:rsidRDefault="006C1756" w:rsidP="00913EA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6AFBEEA8" w14:textId="4D086C09" w:rsidR="006C1756" w:rsidRDefault="006C1756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16. 12. 2020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smluvní strany Dodatek č.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 výše uvedené Dílčí smlouvě, kterým došlo k úpravě čl. IV. odst. 4.1 Dílčí smlouvy.</w:t>
      </w:r>
    </w:p>
    <w:p w14:paraId="3C6B830B" w14:textId="77777777" w:rsidR="00AF7CE0" w:rsidRPr="00AF7CE0" w:rsidRDefault="00AF7CE0" w:rsidP="00AF7CE0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6A283F64" w:rsidR="00CB6BB1" w:rsidRDefault="00CB6BB1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</w:t>
      </w:r>
      <w:proofErr w:type="gramStart"/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znění 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Dodatku</w:t>
      </w:r>
      <w:proofErr w:type="gramEnd"/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č. 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</w:p>
    <w:p w14:paraId="67EDEC66" w14:textId="77777777" w:rsidR="00CB6BB1" w:rsidRPr="00E763F9" w:rsidRDefault="00CB6BB1" w:rsidP="00E763F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28E7E316" w:rsidR="00832BF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5F6367B1" w14:textId="77777777" w:rsidR="00DC27F7" w:rsidRPr="00832BF2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2F42B110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C8F6FBB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15BE2643" w14:textId="62FF84B4" w:rsidR="00832BF2" w:rsidRDefault="00832BF2" w:rsidP="00832BF2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</w:t>
      </w:r>
      <w:r w:rsidR="0039116C">
        <w:rPr>
          <w:rFonts w:ascii="Times New Roman" w:eastAsia="Calibri" w:hAnsi="Times New Roman" w:cs="Times New Roman"/>
          <w:i/>
        </w:rPr>
        <w:t>2</w:t>
      </w:r>
      <w:r w:rsidR="006C1756">
        <w:rPr>
          <w:rFonts w:ascii="Times New Roman" w:eastAsia="Calibri" w:hAnsi="Times New Roman" w:cs="Times New Roman"/>
          <w:i/>
        </w:rPr>
        <w:t>2</w:t>
      </w:r>
      <w:r w:rsidR="008B7D5D" w:rsidRPr="008B7D5D">
        <w:rPr>
          <w:rFonts w:ascii="Times New Roman" w:eastAsia="Calibri" w:hAnsi="Times New Roman" w:cs="Times New Roman"/>
          <w:i/>
        </w:rPr>
        <w:t>, p</w:t>
      </w:r>
      <w:r w:rsidR="008B7D5D" w:rsidRPr="00E763F9">
        <w:rPr>
          <w:rFonts w:ascii="Times New Roman" w:hAnsi="Times New Roman"/>
          <w:i/>
          <w:color w:val="000000"/>
        </w:rPr>
        <w:t>říp</w:t>
      </w:r>
      <w:r w:rsidR="00E763F9" w:rsidRPr="00E763F9">
        <w:rPr>
          <w:rFonts w:ascii="Times New Roman" w:hAnsi="Times New Roman"/>
          <w:i/>
          <w:color w:val="000000"/>
        </w:rPr>
        <w:t>adně do vyčerpání max. rozsahu 2</w:t>
      </w:r>
      <w:r w:rsidR="008B7D5D" w:rsidRPr="00E763F9">
        <w:rPr>
          <w:rFonts w:ascii="Times New Roman" w:hAnsi="Times New Roman"/>
          <w:i/>
          <w:color w:val="000000"/>
        </w:rPr>
        <w:t>000 hodin</w:t>
      </w:r>
      <w:r w:rsidR="008B7D5D" w:rsidRPr="00E763F9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54F8979B" w14:textId="77777777" w:rsidR="0093601D" w:rsidRPr="00025F03" w:rsidRDefault="0093601D" w:rsidP="0093601D">
      <w:pPr>
        <w:keepNext/>
        <w:keepLines/>
        <w:suppressLineNumbers/>
        <w:suppressAutoHyphens/>
        <w:spacing w:before="36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24CAC4E2" w:rsidR="0093601D" w:rsidRDefault="00AF7CE0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uzavřen elektronicky.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77777777" w:rsidR="0093601D" w:rsidRPr="00025F03" w:rsidRDefault="0093601D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6284E20" w14:textId="4F8D17A1" w:rsidR="00E763F9" w:rsidRPr="00913EA9" w:rsidRDefault="00E763F9" w:rsidP="00E763F9">
      <w:pPr>
        <w:keepNext/>
        <w:keepLines/>
        <w:suppressLineNumbers/>
        <w:suppressAutoHyphens/>
        <w:ind w:left="709" w:hanging="709"/>
        <w:rPr>
          <w:sz w:val="8"/>
          <w:szCs w:val="8"/>
        </w:rPr>
      </w:pPr>
    </w:p>
    <w:tbl>
      <w:tblPr>
        <w:tblStyle w:val="Mkatabulky"/>
        <w:tblpPr w:leftFromText="141" w:rightFromText="141" w:vertAnchor="text" w:horzAnchor="margin" w:tblpY="25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E763F9" w:rsidRPr="00423B93" w14:paraId="6AA21821" w14:textId="77777777" w:rsidTr="00AF7CE0">
        <w:tc>
          <w:tcPr>
            <w:tcW w:w="4820" w:type="dxa"/>
          </w:tcPr>
          <w:p w14:paraId="26F41AF0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535" w:type="dxa"/>
          </w:tcPr>
          <w:p w14:paraId="7DBA2ECB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763F9" w:rsidRPr="00423B93" w14:paraId="60399A39" w14:textId="77777777" w:rsidTr="00AF7CE0">
        <w:tc>
          <w:tcPr>
            <w:tcW w:w="4820" w:type="dxa"/>
          </w:tcPr>
          <w:p w14:paraId="67766BFD" w14:textId="11EFC940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</w:tcPr>
          <w:p w14:paraId="05EC95C0" w14:textId="37086A1A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763F9" w:rsidRPr="00423B93" w14:paraId="16797406" w14:textId="77777777" w:rsidTr="00AF7CE0">
        <w:tc>
          <w:tcPr>
            <w:tcW w:w="4820" w:type="dxa"/>
          </w:tcPr>
          <w:p w14:paraId="1CDE74BF" w14:textId="63960B4B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E3C22FA" w14:textId="77777777" w:rsidR="006C1756" w:rsidRDefault="006C1756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D988EBD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0A88E0D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D5E54B3" w14:textId="77777777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6C41BA29" w14:textId="56AF3C81" w:rsidR="00E763F9" w:rsidRPr="00423B93" w:rsidRDefault="00E763F9" w:rsidP="00AF7CE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</w:t>
            </w:r>
            <w:r w:rsidR="00AF7CE0">
              <w:rPr>
                <w:rFonts w:ascii="Times New Roman" w:hAnsi="Times New Roman"/>
              </w:rPr>
              <w:t xml:space="preserve"> veřejných zakázek a právní podpory</w:t>
            </w:r>
          </w:p>
        </w:tc>
        <w:tc>
          <w:tcPr>
            <w:tcW w:w="4535" w:type="dxa"/>
          </w:tcPr>
          <w:p w14:paraId="308FB2E7" w14:textId="150241F7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2A96E49" w14:textId="77777777" w:rsidR="006C1756" w:rsidRDefault="006C1756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A1B7A80" w14:textId="77777777" w:rsidR="00E763F9" w:rsidRPr="00423B93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B37359F" w14:textId="77777777" w:rsidR="00E763F9" w:rsidRPr="00D121EE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21EE">
              <w:rPr>
                <w:rFonts w:ascii="Times New Roman" w:hAnsi="Times New Roman"/>
                <w:b/>
                <w:bCs/>
                <w:iCs/>
              </w:rPr>
              <w:t xml:space="preserve">DLA </w:t>
            </w:r>
            <w:proofErr w:type="spellStart"/>
            <w:r w:rsidRPr="00D121EE">
              <w:rPr>
                <w:rFonts w:ascii="Times New Roman" w:hAnsi="Times New Roman"/>
                <w:b/>
                <w:bCs/>
                <w:iCs/>
              </w:rPr>
              <w:t>Piper</w:t>
            </w:r>
            <w:proofErr w:type="spellEnd"/>
            <w:r w:rsidRPr="00D121EE">
              <w:rPr>
                <w:rFonts w:ascii="Times New Roman" w:hAnsi="Times New Roman"/>
                <w:b/>
                <w:bCs/>
                <w:iCs/>
              </w:rPr>
              <w:t xml:space="preserve"> Prague LLP</w:t>
            </w:r>
          </w:p>
          <w:p w14:paraId="70110CA5" w14:textId="77777777" w:rsidR="00E763F9" w:rsidRPr="00FE044B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FE044B">
              <w:rPr>
                <w:rFonts w:ascii="Times New Roman" w:hAnsi="Times New Roman"/>
                <w:bCs/>
                <w:iCs/>
              </w:rPr>
              <w:t xml:space="preserve">Mgr. Miroslav </w:t>
            </w:r>
            <w:proofErr w:type="spellStart"/>
            <w:r w:rsidRPr="00FE044B">
              <w:rPr>
                <w:rFonts w:ascii="Times New Roman" w:hAnsi="Times New Roman"/>
                <w:bCs/>
                <w:iCs/>
              </w:rPr>
              <w:t>Dubovský</w:t>
            </w:r>
            <w:proofErr w:type="spellEnd"/>
          </w:p>
          <w:p w14:paraId="591F07C2" w14:textId="77777777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FE044B">
              <w:rPr>
                <w:rFonts w:ascii="Times New Roman" w:hAnsi="Times New Roman"/>
                <w:bCs/>
                <w:i/>
                <w:iCs/>
              </w:rPr>
              <w:t>na základě plné moci</w:t>
            </w:r>
          </w:p>
        </w:tc>
      </w:tr>
    </w:tbl>
    <w:p w14:paraId="72D05C85" w14:textId="77777777" w:rsidR="00E763F9" w:rsidRDefault="00E763F9" w:rsidP="00913EA9">
      <w:pPr>
        <w:keepNext/>
        <w:keepLines/>
        <w:suppressLineNumbers/>
        <w:suppressAutoHyphens/>
      </w:pPr>
    </w:p>
    <w:sectPr w:rsidR="00E763F9" w:rsidSect="00AF7CE0">
      <w:footerReference w:type="default" r:id="rId7"/>
      <w:headerReference w:type="first" r:id="rId8"/>
      <w:pgSz w:w="11906" w:h="16838"/>
      <w:pgMar w:top="851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EFC54" w14:textId="77777777" w:rsidR="002D5410" w:rsidRDefault="002D5410">
      <w:r>
        <w:separator/>
      </w:r>
    </w:p>
  </w:endnote>
  <w:endnote w:type="continuationSeparator" w:id="0">
    <w:p w14:paraId="35813DD4" w14:textId="77777777"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913EA9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6E297B5D" w:rsidR="000B7516" w:rsidRPr="00CE0547" w:rsidRDefault="005A28C4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913EA9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913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9EA79" w14:textId="77777777" w:rsidR="002D5410" w:rsidRDefault="002D5410">
      <w:r>
        <w:separator/>
      </w:r>
    </w:p>
  </w:footnote>
  <w:footnote w:type="continuationSeparator" w:id="0">
    <w:p w14:paraId="712CEF7F" w14:textId="77777777" w:rsidR="002D5410" w:rsidRDefault="002D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54924" w14:textId="1143D28C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6C1756">
      <w:rPr>
        <w:rFonts w:ascii="Times New Roman" w:hAnsi="Times New Roman"/>
        <w:bCs/>
        <w:sz w:val="16"/>
        <w:szCs w:val="20"/>
      </w:rPr>
      <w:t>3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1D4B7921" w:rsidR="00DC27F7" w:rsidRPr="008B7D5D" w:rsidRDefault="00DC27F7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proofErr w:type="spellStart"/>
    <w:proofErr w:type="gramStart"/>
    <w:r w:rsidRPr="00C27A1A">
      <w:rPr>
        <w:rFonts w:ascii="Times New Roman" w:hAnsi="Times New Roman"/>
        <w:i/>
        <w:sz w:val="16"/>
        <w:szCs w:val="16"/>
      </w:rPr>
      <w:t>Minitendr</w:t>
    </w:r>
    <w:proofErr w:type="spellEnd"/>
    <w:r w:rsidRPr="00C27A1A">
      <w:rPr>
        <w:rFonts w:ascii="Times New Roman" w:hAnsi="Times New Roman"/>
        <w:i/>
        <w:sz w:val="16"/>
        <w:szCs w:val="16"/>
      </w:rPr>
      <w:t xml:space="preserve">  -</w:t>
    </w:r>
    <w:proofErr w:type="gramEnd"/>
    <w:r w:rsidRPr="00C27A1A">
      <w:rPr>
        <w:rFonts w:ascii="Times New Roman" w:hAnsi="Times New Roman"/>
        <w:i/>
        <w:sz w:val="16"/>
        <w:szCs w:val="16"/>
      </w:rPr>
      <w:t xml:space="preserve"> </w:t>
    </w:r>
    <w:r w:rsidRPr="008B7D5D">
      <w:rPr>
        <w:rFonts w:ascii="Times New Roman" w:hAnsi="Times New Roman"/>
        <w:i/>
        <w:sz w:val="16"/>
        <w:szCs w:val="16"/>
      </w:rPr>
      <w:t>„</w:t>
    </w:r>
    <w:r w:rsidR="003F65CB">
      <w:rPr>
        <w:rFonts w:ascii="Times New Roman" w:hAnsi="Times New Roman"/>
        <w:bCs/>
        <w:sz w:val="16"/>
        <w:szCs w:val="20"/>
      </w:rPr>
      <w:t>Právní služby v oblasti závazkového práva a práva veřejných zakázek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03"/>
    <w:rsid w:val="00002C42"/>
    <w:rsid w:val="00025F03"/>
    <w:rsid w:val="0003189F"/>
    <w:rsid w:val="000E2165"/>
    <w:rsid w:val="001231B2"/>
    <w:rsid w:val="001275CD"/>
    <w:rsid w:val="0025017D"/>
    <w:rsid w:val="00271D0A"/>
    <w:rsid w:val="002C751E"/>
    <w:rsid w:val="002D5410"/>
    <w:rsid w:val="00372CCB"/>
    <w:rsid w:val="003735FC"/>
    <w:rsid w:val="0039116C"/>
    <w:rsid w:val="003A494D"/>
    <w:rsid w:val="003C270C"/>
    <w:rsid w:val="003E62F4"/>
    <w:rsid w:val="003F5C98"/>
    <w:rsid w:val="003F65CB"/>
    <w:rsid w:val="0045574A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62B6F"/>
    <w:rsid w:val="006701AF"/>
    <w:rsid w:val="00684E47"/>
    <w:rsid w:val="006C1756"/>
    <w:rsid w:val="00704319"/>
    <w:rsid w:val="00760865"/>
    <w:rsid w:val="007A1B30"/>
    <w:rsid w:val="00806583"/>
    <w:rsid w:val="00832BF2"/>
    <w:rsid w:val="008873F1"/>
    <w:rsid w:val="00891C4D"/>
    <w:rsid w:val="008B7D5D"/>
    <w:rsid w:val="00913EA9"/>
    <w:rsid w:val="0093601D"/>
    <w:rsid w:val="00972FBB"/>
    <w:rsid w:val="009C5D79"/>
    <w:rsid w:val="00A31B43"/>
    <w:rsid w:val="00A446D3"/>
    <w:rsid w:val="00A67FAA"/>
    <w:rsid w:val="00AF19F5"/>
    <w:rsid w:val="00AF7CE0"/>
    <w:rsid w:val="00B17E90"/>
    <w:rsid w:val="00B344CD"/>
    <w:rsid w:val="00B64C13"/>
    <w:rsid w:val="00C27AF8"/>
    <w:rsid w:val="00C4124A"/>
    <w:rsid w:val="00C87232"/>
    <w:rsid w:val="00CB6BB1"/>
    <w:rsid w:val="00CC0476"/>
    <w:rsid w:val="00D05DDB"/>
    <w:rsid w:val="00D823EB"/>
    <w:rsid w:val="00DC27F7"/>
    <w:rsid w:val="00E11417"/>
    <w:rsid w:val="00E763F9"/>
    <w:rsid w:val="00E976F9"/>
    <w:rsid w:val="00F01AC2"/>
    <w:rsid w:val="00F04DE8"/>
    <w:rsid w:val="00F554C6"/>
    <w:rsid w:val="00FE0063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C1BF48"/>
  <w15:docId w15:val="{F3838760-9D79-4D89-9D1D-CF962677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Mgr. David Novák</cp:lastModifiedBy>
  <cp:revision>3</cp:revision>
  <cp:lastPrinted>2020-12-09T16:03:00Z</cp:lastPrinted>
  <dcterms:created xsi:type="dcterms:W3CDTF">2021-12-08T17:42:00Z</dcterms:created>
  <dcterms:modified xsi:type="dcterms:W3CDTF">2021-12-08T17:42:00Z</dcterms:modified>
</cp:coreProperties>
</file>