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E1DCA" w14:textId="77777777" w:rsidR="006E359D" w:rsidRDefault="009B1D28">
      <w:pPr>
        <w:pStyle w:val="Nzev"/>
        <w:rPr>
          <w:rFonts w:ascii="Arial" w:eastAsia="Arial" w:hAnsi="Arial" w:cs="Arial"/>
          <w:color w:val="000000"/>
          <w:sz w:val="32"/>
          <w:szCs w:val="32"/>
        </w:rPr>
      </w:pPr>
      <w:r>
        <w:rPr>
          <w:rFonts w:ascii="Arial" w:eastAsia="Arial" w:hAnsi="Arial" w:cs="Arial"/>
          <w:color w:val="000000"/>
          <w:sz w:val="32"/>
          <w:szCs w:val="32"/>
        </w:rPr>
        <w:t xml:space="preserve">Smlouva o zpracování analýzy nákladů a přínosů projektu Společně na svobodu </w:t>
      </w:r>
    </w:p>
    <w:p w14:paraId="13A9C4B3" w14:textId="77777777" w:rsidR="006E359D" w:rsidRDefault="006E359D">
      <w:pPr>
        <w:pStyle w:val="Nzev"/>
        <w:rPr>
          <w:rFonts w:ascii="Arial" w:eastAsia="Arial" w:hAnsi="Arial" w:cs="Arial"/>
          <w:color w:val="000000"/>
          <w:sz w:val="20"/>
        </w:rPr>
      </w:pPr>
    </w:p>
    <w:p w14:paraId="72EBB34F" w14:textId="77777777" w:rsidR="006E359D" w:rsidRDefault="009B1D28">
      <w:pPr>
        <w:pStyle w:val="Nzev"/>
        <w:rPr>
          <w:rFonts w:ascii="Arial" w:eastAsia="Arial" w:hAnsi="Arial" w:cs="Arial"/>
          <w:color w:val="000000"/>
          <w:sz w:val="20"/>
        </w:rPr>
      </w:pPr>
      <w:r>
        <w:rPr>
          <w:rFonts w:ascii="Arial" w:eastAsia="Arial" w:hAnsi="Arial" w:cs="Arial"/>
          <w:color w:val="000000"/>
          <w:sz w:val="20"/>
        </w:rPr>
        <w:t xml:space="preserve">uzavřená dle </w:t>
      </w:r>
      <w:proofErr w:type="spellStart"/>
      <w:r>
        <w:rPr>
          <w:rFonts w:ascii="Arial" w:eastAsia="Arial" w:hAnsi="Arial" w:cs="Arial"/>
          <w:color w:val="000000"/>
          <w:sz w:val="20"/>
        </w:rPr>
        <w:t>ust</w:t>
      </w:r>
      <w:proofErr w:type="spellEnd"/>
      <w:r>
        <w:rPr>
          <w:rFonts w:ascii="Arial" w:eastAsia="Arial" w:hAnsi="Arial" w:cs="Arial"/>
          <w:color w:val="000000"/>
          <w:sz w:val="20"/>
        </w:rPr>
        <w:t>. § 1746 odst. 2 zákona č. 89/2012 Sb., občanský zákoník</w:t>
      </w:r>
      <w:r>
        <w:rPr>
          <w:rFonts w:ascii="Arial" w:eastAsia="Arial" w:hAnsi="Arial" w:cs="Arial"/>
          <w:sz w:val="20"/>
        </w:rPr>
        <w:t>, ve znění pozdějších předpisů</w:t>
      </w:r>
    </w:p>
    <w:p w14:paraId="574AC4F3" w14:textId="77777777" w:rsidR="006E359D" w:rsidRDefault="009B1D28">
      <w:pPr>
        <w:jc w:val="center"/>
        <w:rPr>
          <w:rFonts w:ascii="Arial" w:eastAsia="Arial" w:hAnsi="Arial" w:cs="Arial"/>
          <w:color w:val="000000"/>
          <w:sz w:val="20"/>
          <w:szCs w:val="20"/>
        </w:rPr>
      </w:pPr>
      <w:r>
        <w:rPr>
          <w:rFonts w:ascii="Arial" w:eastAsia="Arial" w:hAnsi="Arial" w:cs="Arial"/>
          <w:color w:val="000000"/>
          <w:sz w:val="20"/>
          <w:szCs w:val="20"/>
        </w:rPr>
        <w:t xml:space="preserve">(dále jen „Smlouva“) </w:t>
      </w:r>
    </w:p>
    <w:p w14:paraId="6A7283CE" w14:textId="77777777" w:rsidR="006E359D" w:rsidRDefault="006E359D">
      <w:pPr>
        <w:jc w:val="center"/>
        <w:rPr>
          <w:rFonts w:ascii="Arial" w:eastAsia="Arial" w:hAnsi="Arial" w:cs="Arial"/>
          <w:color w:val="000000"/>
          <w:sz w:val="20"/>
          <w:szCs w:val="20"/>
        </w:rPr>
      </w:pPr>
    </w:p>
    <w:p w14:paraId="46375465" w14:textId="77777777" w:rsidR="006E359D" w:rsidRDefault="009B1D28">
      <w:pPr>
        <w:jc w:val="center"/>
        <w:rPr>
          <w:rFonts w:ascii="Arial" w:eastAsia="Arial" w:hAnsi="Arial" w:cs="Arial"/>
          <w:color w:val="000000"/>
          <w:sz w:val="20"/>
          <w:szCs w:val="20"/>
        </w:rPr>
      </w:pPr>
      <w:r>
        <w:rPr>
          <w:rFonts w:ascii="Arial" w:eastAsia="Arial" w:hAnsi="Arial" w:cs="Arial"/>
          <w:color w:val="000000"/>
          <w:sz w:val="20"/>
          <w:szCs w:val="20"/>
        </w:rPr>
        <w:t>mezi smluvními stranami:</w:t>
      </w:r>
    </w:p>
    <w:p w14:paraId="53AD895F" w14:textId="77777777" w:rsidR="006E359D" w:rsidRDefault="006E359D">
      <w:pPr>
        <w:rPr>
          <w:rFonts w:ascii="Arial" w:eastAsia="Arial" w:hAnsi="Arial" w:cs="Arial"/>
          <w:sz w:val="22"/>
          <w:szCs w:val="22"/>
        </w:rPr>
      </w:pPr>
    </w:p>
    <w:p w14:paraId="437BE3D1" w14:textId="77777777" w:rsidR="006E359D" w:rsidRDefault="006E359D">
      <w:pPr>
        <w:rPr>
          <w:rFonts w:ascii="Arial" w:eastAsia="Arial" w:hAnsi="Arial" w:cs="Arial"/>
          <w:b/>
          <w:sz w:val="22"/>
          <w:szCs w:val="22"/>
        </w:rPr>
      </w:pPr>
    </w:p>
    <w:p w14:paraId="02DFAEC2" w14:textId="77777777" w:rsidR="006E359D" w:rsidRDefault="006E359D">
      <w:pPr>
        <w:rPr>
          <w:rFonts w:ascii="Arial" w:eastAsia="Arial" w:hAnsi="Arial" w:cs="Arial"/>
          <w:b/>
          <w:sz w:val="22"/>
          <w:szCs w:val="22"/>
        </w:rPr>
      </w:pPr>
    </w:p>
    <w:p w14:paraId="5A3FF62E" w14:textId="77777777" w:rsidR="006E359D" w:rsidRDefault="006E359D">
      <w:pPr>
        <w:rPr>
          <w:rFonts w:ascii="Arial" w:eastAsia="Arial" w:hAnsi="Arial" w:cs="Arial"/>
          <w:b/>
          <w:sz w:val="20"/>
          <w:szCs w:val="20"/>
        </w:rPr>
      </w:pPr>
    </w:p>
    <w:p w14:paraId="62D43B45" w14:textId="77777777" w:rsidR="006E359D" w:rsidRDefault="009B1D28">
      <w:pPr>
        <w:rPr>
          <w:rFonts w:ascii="Arial" w:eastAsia="Arial" w:hAnsi="Arial" w:cs="Arial"/>
          <w:b/>
          <w:sz w:val="20"/>
          <w:szCs w:val="20"/>
        </w:rPr>
      </w:pPr>
      <w:r>
        <w:rPr>
          <w:rFonts w:ascii="Arial" w:eastAsia="Arial" w:hAnsi="Arial" w:cs="Arial"/>
          <w:b/>
          <w:sz w:val="20"/>
          <w:szCs w:val="20"/>
        </w:rPr>
        <w:t>Česká republika – Ministerstvo práce a sociálních věcí</w:t>
      </w:r>
    </w:p>
    <w:p w14:paraId="02F2C0E1" w14:textId="77777777" w:rsidR="006E359D" w:rsidRDefault="009B1D28">
      <w:pPr>
        <w:rPr>
          <w:rFonts w:ascii="Arial" w:eastAsia="Arial" w:hAnsi="Arial" w:cs="Arial"/>
          <w:sz w:val="20"/>
          <w:szCs w:val="20"/>
        </w:rPr>
      </w:pPr>
      <w:r>
        <w:rPr>
          <w:rFonts w:ascii="Arial" w:eastAsia="Arial" w:hAnsi="Arial" w:cs="Arial"/>
          <w:sz w:val="20"/>
          <w:szCs w:val="20"/>
        </w:rPr>
        <w:t>se sídlem:</w:t>
      </w:r>
      <w:r>
        <w:rPr>
          <w:rFonts w:ascii="Arial" w:eastAsia="Arial" w:hAnsi="Arial" w:cs="Arial"/>
          <w:sz w:val="20"/>
          <w:szCs w:val="20"/>
        </w:rPr>
        <w:tab/>
      </w:r>
      <w:r>
        <w:rPr>
          <w:rFonts w:ascii="Arial" w:eastAsia="Arial" w:hAnsi="Arial" w:cs="Arial"/>
          <w:sz w:val="20"/>
          <w:szCs w:val="20"/>
        </w:rPr>
        <w:tab/>
        <w:t>Na Poříčním právu 1/376, 128 01 Praha 2</w:t>
      </w:r>
    </w:p>
    <w:p w14:paraId="35DE200D" w14:textId="77777777" w:rsidR="006E359D" w:rsidRDefault="009B1D28">
      <w:pPr>
        <w:ind w:left="2127" w:hanging="2127"/>
        <w:rPr>
          <w:rFonts w:ascii="Arial" w:eastAsia="Arial" w:hAnsi="Arial" w:cs="Arial"/>
          <w:sz w:val="20"/>
          <w:szCs w:val="20"/>
        </w:rPr>
      </w:pPr>
      <w:r>
        <w:rPr>
          <w:rFonts w:ascii="Arial" w:eastAsia="Arial" w:hAnsi="Arial" w:cs="Arial"/>
          <w:sz w:val="20"/>
          <w:szCs w:val="20"/>
        </w:rPr>
        <w:t xml:space="preserve">zastoupena: </w:t>
      </w:r>
      <w:r>
        <w:rPr>
          <w:rFonts w:ascii="Arial" w:eastAsia="Arial" w:hAnsi="Arial" w:cs="Arial"/>
          <w:sz w:val="20"/>
          <w:szCs w:val="20"/>
        </w:rPr>
        <w:tab/>
        <w:t>Mgr. Martinem Dytrychem, vedoucím oddělení evaluací sekce evropských fondů (802)</w:t>
      </w:r>
    </w:p>
    <w:p w14:paraId="258061ED" w14:textId="77777777" w:rsidR="006E359D" w:rsidRDefault="009B1D28">
      <w:pPr>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00551023 </w:t>
      </w:r>
    </w:p>
    <w:p w14:paraId="49398B5A" w14:textId="77777777" w:rsidR="006E359D" w:rsidRDefault="009B1D28">
      <w:pPr>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t xml:space="preserve">ČNB, pobočka Praha, Na Příkopě 28, 115 03 Praha 1 </w:t>
      </w:r>
    </w:p>
    <w:p w14:paraId="3FA3D5C2" w14:textId="77777777" w:rsidR="006E359D" w:rsidRDefault="009B1D28">
      <w:pPr>
        <w:rPr>
          <w:rFonts w:ascii="Arial" w:eastAsia="Arial" w:hAnsi="Arial" w:cs="Arial"/>
          <w:sz w:val="20"/>
          <w:szCs w:val="20"/>
        </w:rPr>
      </w:pPr>
      <w:r>
        <w:rPr>
          <w:rFonts w:ascii="Arial" w:eastAsia="Arial" w:hAnsi="Arial" w:cs="Arial"/>
          <w:sz w:val="20"/>
          <w:szCs w:val="20"/>
        </w:rPr>
        <w:t xml:space="preserve">číslo účtu: </w:t>
      </w:r>
      <w:r>
        <w:rPr>
          <w:rFonts w:ascii="Arial" w:eastAsia="Arial" w:hAnsi="Arial" w:cs="Arial"/>
          <w:sz w:val="20"/>
          <w:szCs w:val="20"/>
        </w:rPr>
        <w:tab/>
      </w:r>
      <w:r>
        <w:rPr>
          <w:rFonts w:ascii="Arial" w:eastAsia="Arial" w:hAnsi="Arial" w:cs="Arial"/>
          <w:sz w:val="20"/>
          <w:szCs w:val="20"/>
        </w:rPr>
        <w:tab/>
        <w:t>2229001/0710</w:t>
      </w:r>
    </w:p>
    <w:p w14:paraId="0B4C5A0F" w14:textId="77777777" w:rsidR="006E359D" w:rsidRDefault="009B1D28">
      <w:pPr>
        <w:rPr>
          <w:rFonts w:ascii="Arial" w:eastAsia="Arial" w:hAnsi="Arial" w:cs="Arial"/>
          <w:sz w:val="20"/>
          <w:szCs w:val="20"/>
        </w:rPr>
      </w:pPr>
      <w:r>
        <w:rPr>
          <w:rFonts w:ascii="Arial" w:eastAsia="Arial" w:hAnsi="Arial" w:cs="Arial"/>
          <w:sz w:val="20"/>
          <w:szCs w:val="20"/>
        </w:rPr>
        <w:t xml:space="preserve">ID datové schránky: </w:t>
      </w:r>
      <w:r>
        <w:rPr>
          <w:rFonts w:ascii="Arial" w:eastAsia="Arial" w:hAnsi="Arial" w:cs="Arial"/>
          <w:sz w:val="20"/>
          <w:szCs w:val="20"/>
        </w:rPr>
        <w:tab/>
        <w:t>sc9aavg</w:t>
      </w:r>
    </w:p>
    <w:p w14:paraId="0B27981E" w14:textId="77777777" w:rsidR="006E359D" w:rsidRDefault="006E359D">
      <w:pPr>
        <w:rPr>
          <w:rFonts w:ascii="Arial" w:eastAsia="Arial" w:hAnsi="Arial" w:cs="Arial"/>
          <w:b/>
          <w:sz w:val="20"/>
          <w:szCs w:val="20"/>
        </w:rPr>
      </w:pPr>
    </w:p>
    <w:p w14:paraId="09035FE3" w14:textId="77777777" w:rsidR="006E359D" w:rsidRDefault="009B1D28">
      <w:pPr>
        <w:rPr>
          <w:rFonts w:ascii="Arial" w:eastAsia="Arial" w:hAnsi="Arial" w:cs="Arial"/>
          <w:sz w:val="20"/>
          <w:szCs w:val="20"/>
        </w:rPr>
      </w:pPr>
      <w:r>
        <w:rPr>
          <w:rFonts w:ascii="Arial" w:eastAsia="Arial" w:hAnsi="Arial" w:cs="Arial"/>
          <w:sz w:val="20"/>
          <w:szCs w:val="20"/>
        </w:rPr>
        <w:t>(dále jen „Objednatel“ nebo „MPSV“)</w:t>
      </w:r>
    </w:p>
    <w:p w14:paraId="618248A7" w14:textId="77777777" w:rsidR="006E359D" w:rsidRDefault="006E359D">
      <w:pPr>
        <w:rPr>
          <w:rFonts w:ascii="Arial" w:eastAsia="Arial" w:hAnsi="Arial" w:cs="Arial"/>
          <w:sz w:val="20"/>
          <w:szCs w:val="20"/>
        </w:rPr>
      </w:pPr>
    </w:p>
    <w:p w14:paraId="5E2A098E" w14:textId="77777777" w:rsidR="006E359D" w:rsidRDefault="009B1D28">
      <w:pPr>
        <w:rPr>
          <w:rFonts w:ascii="Arial" w:eastAsia="Arial" w:hAnsi="Arial" w:cs="Arial"/>
          <w:sz w:val="20"/>
          <w:szCs w:val="20"/>
        </w:rPr>
      </w:pPr>
      <w:r>
        <w:rPr>
          <w:rFonts w:ascii="Arial" w:eastAsia="Arial" w:hAnsi="Arial" w:cs="Arial"/>
          <w:sz w:val="20"/>
          <w:szCs w:val="20"/>
        </w:rPr>
        <w:t>na straně jedné</w:t>
      </w:r>
    </w:p>
    <w:p w14:paraId="0DBD7317" w14:textId="77777777" w:rsidR="006E359D" w:rsidRDefault="006E359D">
      <w:pPr>
        <w:rPr>
          <w:rFonts w:ascii="Arial" w:eastAsia="Arial" w:hAnsi="Arial" w:cs="Arial"/>
          <w:sz w:val="20"/>
          <w:szCs w:val="20"/>
        </w:rPr>
      </w:pPr>
    </w:p>
    <w:p w14:paraId="37F4FF6A" w14:textId="77777777" w:rsidR="006E359D" w:rsidRDefault="009B1D28">
      <w:pPr>
        <w:rPr>
          <w:rFonts w:ascii="Arial" w:eastAsia="Arial" w:hAnsi="Arial" w:cs="Arial"/>
          <w:sz w:val="20"/>
          <w:szCs w:val="20"/>
        </w:rPr>
      </w:pPr>
      <w:r>
        <w:rPr>
          <w:rFonts w:ascii="Arial" w:eastAsia="Arial" w:hAnsi="Arial" w:cs="Arial"/>
          <w:sz w:val="20"/>
          <w:szCs w:val="20"/>
        </w:rPr>
        <w:t>a</w:t>
      </w:r>
    </w:p>
    <w:p w14:paraId="4CF758FA" w14:textId="77777777" w:rsidR="006E359D" w:rsidRDefault="006E359D">
      <w:pPr>
        <w:rPr>
          <w:rFonts w:ascii="Arial" w:eastAsia="Arial" w:hAnsi="Arial" w:cs="Arial"/>
          <w:sz w:val="20"/>
          <w:szCs w:val="20"/>
        </w:rPr>
      </w:pPr>
    </w:p>
    <w:p w14:paraId="481D55FF" w14:textId="77777777" w:rsidR="006E359D" w:rsidRDefault="006A7875">
      <w:pPr>
        <w:rPr>
          <w:rFonts w:ascii="Arial" w:eastAsia="Arial" w:hAnsi="Arial" w:cs="Arial"/>
          <w:sz w:val="20"/>
          <w:szCs w:val="20"/>
          <w:highlight w:val="white"/>
        </w:rPr>
      </w:pPr>
      <w:sdt>
        <w:sdtPr>
          <w:tag w:val="goog_rdk_0"/>
          <w:id w:val="1789235043"/>
        </w:sdtPr>
        <w:sdtEndPr/>
        <w:sdtContent/>
      </w:sdt>
      <w:sdt>
        <w:sdtPr>
          <w:tag w:val="goog_rdk_1"/>
          <w:id w:val="627362982"/>
        </w:sdtPr>
        <w:sdtEndPr/>
        <w:sdtContent/>
      </w:sdt>
      <w:r w:rsidR="009B1D28">
        <w:rPr>
          <w:rFonts w:ascii="Arial" w:eastAsia="Arial" w:hAnsi="Arial" w:cs="Arial"/>
          <w:b/>
          <w:sz w:val="20"/>
          <w:szCs w:val="20"/>
          <w:highlight w:val="white"/>
        </w:rPr>
        <w:t xml:space="preserve">České priority, </w:t>
      </w:r>
      <w:proofErr w:type="spellStart"/>
      <w:r w:rsidR="009B1D28">
        <w:rPr>
          <w:rFonts w:ascii="Arial" w:eastAsia="Arial" w:hAnsi="Arial" w:cs="Arial"/>
          <w:b/>
          <w:sz w:val="20"/>
          <w:szCs w:val="20"/>
          <w:highlight w:val="white"/>
        </w:rPr>
        <w:t>z.ú</w:t>
      </w:r>
      <w:proofErr w:type="spellEnd"/>
      <w:r w:rsidR="009B1D28">
        <w:rPr>
          <w:rFonts w:ascii="Arial" w:eastAsia="Arial" w:hAnsi="Arial" w:cs="Arial"/>
          <w:b/>
          <w:sz w:val="20"/>
          <w:szCs w:val="20"/>
          <w:highlight w:val="white"/>
        </w:rPr>
        <w:t>.</w:t>
      </w:r>
    </w:p>
    <w:p w14:paraId="2878F60C" w14:textId="77777777" w:rsidR="006E359D" w:rsidRDefault="009B1D28">
      <w:pPr>
        <w:rPr>
          <w:rFonts w:ascii="Arial" w:eastAsia="Arial" w:hAnsi="Arial" w:cs="Arial"/>
          <w:sz w:val="20"/>
          <w:szCs w:val="20"/>
        </w:rPr>
      </w:pPr>
      <w:r>
        <w:rPr>
          <w:rFonts w:ascii="Arial" w:eastAsia="Arial" w:hAnsi="Arial" w:cs="Arial"/>
          <w:sz w:val="20"/>
          <w:szCs w:val="20"/>
        </w:rPr>
        <w:t>se sídlem</w:t>
      </w:r>
      <w:r>
        <w:rPr>
          <w:rFonts w:ascii="Arial" w:eastAsia="Arial" w:hAnsi="Arial" w:cs="Arial"/>
          <w:sz w:val="20"/>
          <w:szCs w:val="20"/>
        </w:rPr>
        <w:tab/>
      </w:r>
      <w:r>
        <w:rPr>
          <w:rFonts w:ascii="Arial" w:eastAsia="Arial" w:hAnsi="Arial" w:cs="Arial"/>
          <w:sz w:val="20"/>
          <w:szCs w:val="20"/>
        </w:rPr>
        <w:tab/>
        <w:t>Národní 339/11, 110 00 Praha 1 – Staré město</w:t>
      </w:r>
    </w:p>
    <w:p w14:paraId="4383FF1A" w14:textId="77777777" w:rsidR="006E359D" w:rsidRDefault="009B1D28">
      <w:pPr>
        <w:rPr>
          <w:rFonts w:ascii="Arial" w:eastAsia="Arial" w:hAnsi="Arial" w:cs="Arial"/>
          <w:sz w:val="20"/>
          <w:szCs w:val="20"/>
        </w:rPr>
      </w:pPr>
      <w:r>
        <w:rPr>
          <w:rFonts w:ascii="Arial" w:eastAsia="Arial" w:hAnsi="Arial" w:cs="Arial"/>
          <w:sz w:val="20"/>
          <w:szCs w:val="20"/>
        </w:rPr>
        <w:t xml:space="preserve">zastoupena: </w:t>
      </w:r>
      <w:r>
        <w:rPr>
          <w:rFonts w:ascii="Arial" w:eastAsia="Arial" w:hAnsi="Arial" w:cs="Arial"/>
          <w:sz w:val="20"/>
          <w:szCs w:val="20"/>
        </w:rPr>
        <w:tab/>
      </w:r>
      <w:r>
        <w:rPr>
          <w:rFonts w:ascii="Arial" w:eastAsia="Arial" w:hAnsi="Arial" w:cs="Arial"/>
          <w:sz w:val="20"/>
          <w:szCs w:val="20"/>
        </w:rPr>
        <w:tab/>
        <w:t>Mgr. Jan Kleňha</w:t>
      </w:r>
    </w:p>
    <w:p w14:paraId="39DE72FE" w14:textId="77777777" w:rsidR="006E359D" w:rsidRDefault="009B1D28">
      <w:pPr>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07816847</w:t>
      </w:r>
    </w:p>
    <w:p w14:paraId="25EE5F5B" w14:textId="77777777" w:rsidR="006E359D" w:rsidRDefault="009B1D28">
      <w:pPr>
        <w:rPr>
          <w:rFonts w:ascii="Arial" w:eastAsia="Arial" w:hAnsi="Arial" w:cs="Arial"/>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CZ07816847</w:t>
      </w:r>
    </w:p>
    <w:p w14:paraId="44CCDACF" w14:textId="77777777" w:rsidR="006E359D" w:rsidRDefault="009B1D28">
      <w:pPr>
        <w:rPr>
          <w:rFonts w:ascii="Arial" w:eastAsia="Arial" w:hAnsi="Arial" w:cs="Arial"/>
          <w:sz w:val="20"/>
          <w:szCs w:val="20"/>
        </w:rPr>
      </w:pPr>
      <w:r>
        <w:rPr>
          <w:rFonts w:ascii="Arial" w:eastAsia="Arial" w:hAnsi="Arial" w:cs="Arial"/>
          <w:sz w:val="20"/>
          <w:szCs w:val="20"/>
        </w:rPr>
        <w:t xml:space="preserve">zapsána v obchodním rejstříku: </w:t>
      </w:r>
      <w:r>
        <w:rPr>
          <w:rFonts w:ascii="Arial" w:eastAsia="Arial" w:hAnsi="Arial" w:cs="Arial"/>
          <w:sz w:val="20"/>
          <w:szCs w:val="20"/>
        </w:rPr>
        <w:tab/>
        <w:t>U 767 vedená u Městského soudu v Praze</w:t>
      </w:r>
    </w:p>
    <w:p w14:paraId="01F30C3F" w14:textId="018A4DE1" w:rsidR="006E359D" w:rsidRDefault="009B1D28">
      <w:pPr>
        <w:rPr>
          <w:rFonts w:ascii="Arial" w:eastAsia="Arial" w:hAnsi="Arial" w:cs="Arial"/>
          <w:i/>
          <w:sz w:val="20"/>
          <w:szCs w:val="20"/>
        </w:rPr>
      </w:pPr>
      <w:r>
        <w:rPr>
          <w:rFonts w:ascii="Arial" w:eastAsia="Arial" w:hAnsi="Arial" w:cs="Arial"/>
          <w:sz w:val="20"/>
          <w:szCs w:val="20"/>
        </w:rPr>
        <w:t>bankovní spojení:</w:t>
      </w:r>
      <w:r>
        <w:rPr>
          <w:rFonts w:ascii="Arial" w:eastAsia="Arial" w:hAnsi="Arial" w:cs="Arial"/>
          <w:sz w:val="20"/>
          <w:szCs w:val="20"/>
        </w:rPr>
        <w:tab/>
        <w:t xml:space="preserve"> </w:t>
      </w:r>
      <w:bookmarkStart w:id="0" w:name="_Hlk90989895"/>
      <w:r w:rsidR="006A7875" w:rsidRPr="006A7875">
        <w:rPr>
          <w:rFonts w:ascii="Arial" w:eastAsia="Arial" w:hAnsi="Arial" w:cs="Arial"/>
          <w:i/>
          <w:iCs/>
          <w:sz w:val="20"/>
          <w:szCs w:val="20"/>
        </w:rPr>
        <w:t>neveřejný údaj</w:t>
      </w:r>
      <w:bookmarkEnd w:id="0"/>
    </w:p>
    <w:p w14:paraId="64298694" w14:textId="4E5DDA11" w:rsidR="006E359D" w:rsidRDefault="009B1D28">
      <w:pPr>
        <w:rPr>
          <w:rFonts w:ascii="Arial" w:eastAsia="Arial" w:hAnsi="Arial" w:cs="Arial"/>
          <w:sz w:val="20"/>
          <w:szCs w:val="20"/>
        </w:rPr>
      </w:pPr>
      <w:r>
        <w:rPr>
          <w:rFonts w:ascii="Arial" w:eastAsia="Arial" w:hAnsi="Arial" w:cs="Arial"/>
          <w:sz w:val="20"/>
          <w:szCs w:val="20"/>
        </w:rPr>
        <w:t xml:space="preserve">číslo účtu: </w:t>
      </w:r>
      <w:r>
        <w:rPr>
          <w:rFonts w:ascii="Arial" w:eastAsia="Arial" w:hAnsi="Arial" w:cs="Arial"/>
          <w:sz w:val="20"/>
          <w:szCs w:val="20"/>
        </w:rPr>
        <w:tab/>
      </w:r>
      <w:r>
        <w:rPr>
          <w:rFonts w:ascii="Arial" w:eastAsia="Arial" w:hAnsi="Arial" w:cs="Arial"/>
          <w:sz w:val="20"/>
          <w:szCs w:val="20"/>
        </w:rPr>
        <w:tab/>
        <w:t xml:space="preserve"> </w:t>
      </w:r>
      <w:r w:rsidR="006A7875" w:rsidRPr="006A7875">
        <w:rPr>
          <w:rFonts w:ascii="Arial" w:eastAsia="Arial" w:hAnsi="Arial" w:cs="Arial"/>
          <w:i/>
          <w:iCs/>
          <w:sz w:val="20"/>
          <w:szCs w:val="20"/>
        </w:rPr>
        <w:t>neveřejný údaj</w:t>
      </w:r>
    </w:p>
    <w:p w14:paraId="281CD6BA" w14:textId="77777777" w:rsidR="006E359D" w:rsidRDefault="009B1D28">
      <w:pPr>
        <w:rPr>
          <w:rFonts w:ascii="Arial" w:eastAsia="Arial" w:hAnsi="Arial" w:cs="Arial"/>
          <w:sz w:val="20"/>
          <w:szCs w:val="20"/>
        </w:rPr>
      </w:pPr>
      <w:r>
        <w:rPr>
          <w:rFonts w:ascii="Arial" w:eastAsia="Arial" w:hAnsi="Arial" w:cs="Arial"/>
          <w:sz w:val="20"/>
          <w:szCs w:val="20"/>
        </w:rPr>
        <w:t>ID datové schránky:</w:t>
      </w:r>
      <w:r>
        <w:rPr>
          <w:rFonts w:ascii="Arial" w:eastAsia="Arial" w:hAnsi="Arial" w:cs="Arial"/>
          <w:sz w:val="20"/>
          <w:szCs w:val="20"/>
        </w:rPr>
        <w:tab/>
        <w:t xml:space="preserve"> x9qfxc5</w:t>
      </w:r>
    </w:p>
    <w:p w14:paraId="75666AD2" w14:textId="77777777" w:rsidR="006E359D" w:rsidRDefault="006E359D">
      <w:pPr>
        <w:rPr>
          <w:rFonts w:ascii="Arial" w:eastAsia="Arial" w:hAnsi="Arial" w:cs="Arial"/>
          <w:sz w:val="20"/>
          <w:szCs w:val="20"/>
        </w:rPr>
      </w:pPr>
    </w:p>
    <w:p w14:paraId="751CDE8A" w14:textId="77777777" w:rsidR="006E359D" w:rsidRDefault="009B1D28">
      <w:pPr>
        <w:rPr>
          <w:rFonts w:ascii="Arial" w:eastAsia="Arial" w:hAnsi="Arial" w:cs="Arial"/>
          <w:sz w:val="20"/>
          <w:szCs w:val="20"/>
        </w:rPr>
      </w:pPr>
      <w:r>
        <w:rPr>
          <w:rFonts w:ascii="Arial" w:eastAsia="Arial" w:hAnsi="Arial" w:cs="Arial"/>
          <w:sz w:val="20"/>
          <w:szCs w:val="20"/>
        </w:rPr>
        <w:t>(dále jen „Zpracovatel“)</w:t>
      </w:r>
    </w:p>
    <w:p w14:paraId="6F9255D5" w14:textId="77777777" w:rsidR="006E359D" w:rsidRDefault="006E359D">
      <w:pPr>
        <w:widowControl w:val="0"/>
        <w:rPr>
          <w:rFonts w:ascii="Arial" w:eastAsia="Arial" w:hAnsi="Arial" w:cs="Arial"/>
          <w:sz w:val="20"/>
          <w:szCs w:val="20"/>
        </w:rPr>
      </w:pPr>
    </w:p>
    <w:p w14:paraId="5BF3B667" w14:textId="77777777" w:rsidR="006E359D" w:rsidRDefault="009B1D28">
      <w:pPr>
        <w:widowControl w:val="0"/>
        <w:rPr>
          <w:rFonts w:ascii="Arial" w:eastAsia="Arial" w:hAnsi="Arial" w:cs="Arial"/>
          <w:sz w:val="20"/>
          <w:szCs w:val="20"/>
        </w:rPr>
      </w:pPr>
      <w:r>
        <w:rPr>
          <w:rFonts w:ascii="Arial" w:eastAsia="Arial" w:hAnsi="Arial" w:cs="Arial"/>
          <w:sz w:val="20"/>
          <w:szCs w:val="20"/>
        </w:rPr>
        <w:t>na straně druhé.</w:t>
      </w:r>
      <w:r>
        <w:br w:type="page"/>
      </w:r>
    </w:p>
    <w:p w14:paraId="2FA96828" w14:textId="77777777" w:rsidR="006E359D" w:rsidRDefault="009B1D28">
      <w:pPr>
        <w:pStyle w:val="Nadpis1"/>
        <w:numPr>
          <w:ilvl w:val="0"/>
          <w:numId w:val="12"/>
        </w:numPr>
        <w:tabs>
          <w:tab w:val="left" w:pos="454"/>
        </w:tabs>
        <w:spacing w:after="240"/>
        <w:jc w:val="center"/>
        <w:rPr>
          <w:rFonts w:ascii="Arial" w:eastAsia="Arial" w:hAnsi="Arial" w:cs="Arial"/>
          <w:sz w:val="20"/>
        </w:rPr>
      </w:pPr>
      <w:r>
        <w:rPr>
          <w:rFonts w:ascii="Arial" w:eastAsia="Arial" w:hAnsi="Arial" w:cs="Arial"/>
          <w:sz w:val="20"/>
        </w:rPr>
        <w:lastRenderedPageBreak/>
        <w:t>Úvodní ustanovení</w:t>
      </w:r>
    </w:p>
    <w:p w14:paraId="110D9F1A" w14:textId="77777777" w:rsidR="006E359D" w:rsidRDefault="009B1D28">
      <w:pPr>
        <w:numPr>
          <w:ilvl w:val="1"/>
          <w:numId w:val="12"/>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Na základě zadávacího řízení na veřejnou zakázku pod názvem </w:t>
      </w:r>
      <w:r>
        <w:rPr>
          <w:rFonts w:ascii="Arial" w:eastAsia="Arial" w:hAnsi="Arial" w:cs="Arial"/>
          <w:b/>
          <w:color w:val="000000"/>
          <w:sz w:val="20"/>
          <w:szCs w:val="20"/>
        </w:rPr>
        <w:t xml:space="preserve">„Analýzy nákladů a přínosů u vybraných sociálně inovačních projektů“ </w:t>
      </w:r>
      <w:r>
        <w:rPr>
          <w:rFonts w:ascii="Arial" w:eastAsia="Arial" w:hAnsi="Arial" w:cs="Arial"/>
          <w:color w:val="000000"/>
          <w:sz w:val="20"/>
          <w:szCs w:val="20"/>
        </w:rPr>
        <w:t>Zpracovatel předložil, v souladu se zadávacími podmínkami veřejné zakázky, nabídku (dále jen „Nabídka“) a tato byla pro plnění veřejné zakázky vybrána jako nejvhodnější. V návaznosti na tuto skutečnost se smluvní strany dohodly na uzavření této Smlouvy.</w:t>
      </w:r>
    </w:p>
    <w:p w14:paraId="529D5062" w14:textId="77777777" w:rsidR="006E359D" w:rsidRDefault="009B1D28">
      <w:pPr>
        <w:numPr>
          <w:ilvl w:val="1"/>
          <w:numId w:val="12"/>
        </w:numPr>
        <w:pBdr>
          <w:top w:val="nil"/>
          <w:left w:val="nil"/>
          <w:bottom w:val="nil"/>
          <w:right w:val="nil"/>
          <w:between w:val="nil"/>
        </w:pBdr>
        <w:tabs>
          <w:tab w:val="left" w:pos="567"/>
        </w:tabs>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78219252" w14:textId="77777777" w:rsidR="006E359D" w:rsidRDefault="009B1D28">
      <w:pPr>
        <w:numPr>
          <w:ilvl w:val="1"/>
          <w:numId w:val="12"/>
        </w:numPr>
        <w:pBdr>
          <w:top w:val="nil"/>
          <w:left w:val="nil"/>
          <w:bottom w:val="nil"/>
          <w:right w:val="nil"/>
          <w:between w:val="nil"/>
        </w:pBdr>
        <w:tabs>
          <w:tab w:val="left" w:pos="567"/>
        </w:tabs>
        <w:jc w:val="both"/>
        <w:rPr>
          <w:rFonts w:ascii="Arial" w:eastAsia="Arial" w:hAnsi="Arial" w:cs="Arial"/>
          <w:color w:val="000000"/>
          <w:sz w:val="20"/>
          <w:szCs w:val="20"/>
        </w:rPr>
      </w:pPr>
      <w:r>
        <w:rPr>
          <w:rFonts w:ascii="Arial" w:eastAsia="Arial" w:hAnsi="Arial" w:cs="Arial"/>
          <w:color w:val="000000"/>
          <w:sz w:val="20"/>
          <w:szCs w:val="20"/>
        </w:rPr>
        <w:t xml:space="preserve">Smluvní strany prohlašují, že mají společnou snahu přispět k férovému a etickému prostředí. </w:t>
      </w:r>
    </w:p>
    <w:p w14:paraId="3AF74202" w14:textId="77777777" w:rsidR="006E359D" w:rsidRDefault="009B1D28">
      <w:pPr>
        <w:pBdr>
          <w:top w:val="nil"/>
          <w:left w:val="nil"/>
          <w:bottom w:val="nil"/>
          <w:right w:val="nil"/>
          <w:between w:val="nil"/>
        </w:pBdr>
        <w:tabs>
          <w:tab w:val="left" w:pos="567"/>
        </w:tabs>
        <w:spacing w:after="120"/>
        <w:ind w:left="426"/>
        <w:jc w:val="both"/>
        <w:rPr>
          <w:rFonts w:ascii="Arial" w:eastAsia="Arial" w:hAnsi="Arial" w:cs="Arial"/>
          <w:color w:val="000000"/>
          <w:sz w:val="20"/>
          <w:szCs w:val="20"/>
        </w:rPr>
      </w:pPr>
      <w:r>
        <w:rPr>
          <w:rFonts w:ascii="Arial" w:eastAsia="Arial" w:hAnsi="Arial" w:cs="Arial"/>
          <w:color w:val="000000"/>
          <w:sz w:val="20"/>
          <w:szCs w:val="20"/>
        </w:rPr>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Pr>
          <w:rFonts w:ascii="Arial" w:eastAsia="Arial" w:hAnsi="Arial" w:cs="Arial"/>
          <w:color w:val="000000"/>
          <w:sz w:val="20"/>
          <w:szCs w:val="20"/>
        </w:rPr>
        <w:t>souladu</w:t>
      </w:r>
      <w:proofErr w:type="gramEnd"/>
      <w:r>
        <w:rPr>
          <w:rFonts w:ascii="Arial" w:eastAsia="Arial" w:hAnsi="Arial" w:cs="Arial"/>
          <w:color w:val="000000"/>
          <w:sz w:val="20"/>
          <w:szCs w:val="20"/>
        </w:rPr>
        <w:t xml:space="preserve"> s jehož pravidly se zavazují předmět Smlouvy plnit.</w:t>
      </w:r>
    </w:p>
    <w:p w14:paraId="3AAC280F" w14:textId="77777777" w:rsidR="006E359D" w:rsidRDefault="009B1D28">
      <w:pPr>
        <w:numPr>
          <w:ilvl w:val="1"/>
          <w:numId w:val="12"/>
        </w:numPr>
        <w:pBdr>
          <w:top w:val="nil"/>
          <w:left w:val="nil"/>
          <w:bottom w:val="nil"/>
          <w:right w:val="nil"/>
          <w:between w:val="nil"/>
        </w:pBdr>
        <w:tabs>
          <w:tab w:val="left" w:pos="567"/>
        </w:tabs>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Předmět této Smlouvy je financován z projektu z projektu TP OPZ číslo CZ.03.5.125/0.0/0.0/15_012/0002750 Zpracování evaluací, analýz a odborných studií pro OPZ.</w:t>
      </w:r>
    </w:p>
    <w:p w14:paraId="79899F69" w14:textId="77777777" w:rsidR="006E359D" w:rsidRDefault="009B1D28">
      <w:pPr>
        <w:pStyle w:val="Nadpis1"/>
        <w:numPr>
          <w:ilvl w:val="0"/>
          <w:numId w:val="12"/>
        </w:numPr>
        <w:tabs>
          <w:tab w:val="left" w:pos="454"/>
        </w:tabs>
        <w:spacing w:after="240"/>
        <w:ind w:left="426" w:hanging="426"/>
        <w:jc w:val="center"/>
        <w:rPr>
          <w:rFonts w:ascii="Arial" w:eastAsia="Arial" w:hAnsi="Arial" w:cs="Arial"/>
          <w:sz w:val="20"/>
        </w:rPr>
      </w:pPr>
      <w:r>
        <w:rPr>
          <w:rFonts w:ascii="Arial" w:eastAsia="Arial" w:hAnsi="Arial" w:cs="Arial"/>
          <w:sz w:val="20"/>
        </w:rPr>
        <w:t>Předmět Smlouvy</w:t>
      </w:r>
    </w:p>
    <w:p w14:paraId="2FB588CA" w14:textId="77777777" w:rsidR="006E359D" w:rsidRDefault="009B1D28">
      <w:pPr>
        <w:numPr>
          <w:ilvl w:val="1"/>
          <w:numId w:val="12"/>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Předmětem této Smlouvy je závazek Zpracovatele poskytnout Objednateli plnění spočívající v realizaci</w:t>
      </w:r>
      <w:r>
        <w:rPr>
          <w:color w:val="000000"/>
        </w:rPr>
        <w:t xml:space="preserve"> </w:t>
      </w:r>
      <w:r>
        <w:rPr>
          <w:rFonts w:ascii="Arial" w:eastAsia="Arial" w:hAnsi="Arial" w:cs="Arial"/>
          <w:color w:val="000000"/>
          <w:sz w:val="20"/>
          <w:szCs w:val="20"/>
        </w:rPr>
        <w:t>Analýzy nákladů a přínosů u vybraných sociálně inovačních projektů (dále též jako „plnění“) a závazek Objednatele zaplatit Zpracovateli za řádně poskytnuté plnění cenu ve výši a za podmínek stanovených v článku 8 této Smlouvy.</w:t>
      </w:r>
    </w:p>
    <w:p w14:paraId="624D7AC8" w14:textId="77777777" w:rsidR="006E359D" w:rsidRDefault="009B1D28">
      <w:pPr>
        <w:numPr>
          <w:ilvl w:val="1"/>
          <w:numId w:val="12"/>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Předmět plnění je detailně specifikován v Příloze č. 2 této Smlouvy – Specifikace předmětu plnění. </w:t>
      </w:r>
    </w:p>
    <w:p w14:paraId="516C3CD9" w14:textId="77777777" w:rsidR="006E359D" w:rsidRDefault="009B1D28">
      <w:pPr>
        <w:numPr>
          <w:ilvl w:val="1"/>
          <w:numId w:val="12"/>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zpracovat a předat jednotlivé výstupy plnění v souladu s požadavky Objednatele vymezenými v této Smlouvě a v souladu se všemi přílohami této Smlouvy, které jsou jejími nedílnými součástmi. </w:t>
      </w:r>
    </w:p>
    <w:p w14:paraId="406723C7" w14:textId="77777777" w:rsidR="006E359D" w:rsidRDefault="009B1D28">
      <w:pPr>
        <w:pStyle w:val="Nadpis1"/>
        <w:numPr>
          <w:ilvl w:val="0"/>
          <w:numId w:val="12"/>
        </w:numPr>
        <w:tabs>
          <w:tab w:val="left" w:pos="454"/>
        </w:tabs>
        <w:spacing w:after="240"/>
        <w:jc w:val="center"/>
        <w:rPr>
          <w:rFonts w:ascii="Arial" w:eastAsia="Arial" w:hAnsi="Arial" w:cs="Arial"/>
          <w:sz w:val="20"/>
        </w:rPr>
      </w:pPr>
      <w:r>
        <w:rPr>
          <w:rFonts w:ascii="Arial" w:eastAsia="Arial" w:hAnsi="Arial" w:cs="Arial"/>
          <w:sz w:val="20"/>
        </w:rPr>
        <w:t>místo plnění</w:t>
      </w:r>
    </w:p>
    <w:p w14:paraId="4FD4660E" w14:textId="77777777" w:rsidR="006E359D" w:rsidRDefault="009B1D28">
      <w:pPr>
        <w:numPr>
          <w:ilvl w:val="1"/>
          <w:numId w:val="12"/>
        </w:numPr>
        <w:pBdr>
          <w:top w:val="nil"/>
          <w:left w:val="nil"/>
          <w:bottom w:val="nil"/>
          <w:right w:val="nil"/>
          <w:between w:val="nil"/>
        </w:pBdr>
        <w:spacing w:after="120"/>
        <w:ind w:left="426" w:hanging="567"/>
        <w:jc w:val="both"/>
        <w:rPr>
          <w:rFonts w:ascii="Arial" w:eastAsia="Arial" w:hAnsi="Arial" w:cs="Arial"/>
          <w:i/>
          <w:color w:val="000000"/>
          <w:sz w:val="20"/>
          <w:szCs w:val="20"/>
        </w:rPr>
      </w:pPr>
      <w:r>
        <w:rPr>
          <w:rFonts w:ascii="Arial" w:eastAsia="Arial" w:hAnsi="Arial" w:cs="Arial"/>
          <w:color w:val="000000"/>
          <w:sz w:val="20"/>
          <w:szCs w:val="20"/>
        </w:rPr>
        <w:t>Místo plnění této Smlouvy není Objednatelem nijak omezeno. Zpracovatel je oprávněn provádět vyhodnocování informací, formulování závěrů a navrhování doporučení i v rámci svého sídla.</w:t>
      </w:r>
    </w:p>
    <w:p w14:paraId="225BFBFB" w14:textId="77777777" w:rsidR="006E359D" w:rsidRDefault="009B1D28">
      <w:pPr>
        <w:numPr>
          <w:ilvl w:val="1"/>
          <w:numId w:val="12"/>
        </w:numPr>
        <w:pBdr>
          <w:top w:val="nil"/>
          <w:left w:val="nil"/>
          <w:bottom w:val="nil"/>
          <w:right w:val="nil"/>
          <w:between w:val="nil"/>
        </w:pBdr>
        <w:spacing w:after="120"/>
        <w:ind w:left="426" w:hanging="567"/>
        <w:jc w:val="both"/>
        <w:rPr>
          <w:rFonts w:ascii="Arial" w:eastAsia="Arial" w:hAnsi="Arial" w:cs="Arial"/>
          <w:color w:val="000000"/>
          <w:sz w:val="20"/>
          <w:szCs w:val="20"/>
        </w:rPr>
      </w:pPr>
      <w:r>
        <w:rPr>
          <w:rFonts w:ascii="Arial" w:eastAsia="Arial" w:hAnsi="Arial" w:cs="Arial"/>
          <w:color w:val="000000"/>
          <w:sz w:val="20"/>
          <w:szCs w:val="20"/>
        </w:rPr>
        <w:t xml:space="preserve">Hmotné výstupy plnění dle této Smlouvy musí být Objednateli předány v místě pracoviště Objednatele, na adrese Kartouzská 200/4, 150 00 Praha 5. </w:t>
      </w:r>
    </w:p>
    <w:p w14:paraId="3DDE9E4E" w14:textId="77777777" w:rsidR="006E359D" w:rsidRDefault="009B1D28">
      <w:pPr>
        <w:pStyle w:val="Nadpis1"/>
        <w:numPr>
          <w:ilvl w:val="0"/>
          <w:numId w:val="12"/>
        </w:numPr>
        <w:tabs>
          <w:tab w:val="left" w:pos="454"/>
        </w:tabs>
        <w:spacing w:after="240"/>
        <w:jc w:val="center"/>
        <w:rPr>
          <w:rFonts w:ascii="Arial" w:eastAsia="Arial" w:hAnsi="Arial" w:cs="Arial"/>
          <w:sz w:val="20"/>
        </w:rPr>
      </w:pPr>
      <w:r>
        <w:rPr>
          <w:rFonts w:ascii="Arial" w:eastAsia="Arial" w:hAnsi="Arial" w:cs="Arial"/>
          <w:sz w:val="20"/>
        </w:rPr>
        <w:t>Termíny předání, akceptační řízení</w:t>
      </w:r>
    </w:p>
    <w:p w14:paraId="206BF32D"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bookmarkStart w:id="1" w:name="_heading=h.gjdgxs" w:colFirst="0" w:colLast="0"/>
      <w:bookmarkEnd w:id="1"/>
      <w:r>
        <w:rPr>
          <w:rFonts w:ascii="Arial" w:eastAsia="Arial" w:hAnsi="Arial" w:cs="Arial"/>
          <w:color w:val="000000"/>
          <w:sz w:val="20"/>
          <w:szCs w:val="20"/>
        </w:rPr>
        <w:t xml:space="preserve">Zpracovatel se zavazuje zpracovat výstupy plnění v Objednatelem požadovaném formátu vhodném pro editaci a zaslat je elektronickou poštou na e-mailovou adresu oprávněné osoby Objednatele uvedené v odst. 6.1. této Smlouvy, a to v termínech uvedených v Příloze č. 2 této Smlouvy – Specifikace předmětu plnění. </w:t>
      </w:r>
    </w:p>
    <w:p w14:paraId="685CBAD8" w14:textId="77777777" w:rsidR="006E359D" w:rsidRDefault="009B1D28">
      <w:pPr>
        <w:pBdr>
          <w:top w:val="nil"/>
          <w:left w:val="nil"/>
          <w:bottom w:val="nil"/>
          <w:right w:val="nil"/>
          <w:between w:val="nil"/>
        </w:pBdr>
        <w:spacing w:after="120"/>
        <w:ind w:left="567"/>
        <w:jc w:val="both"/>
        <w:rPr>
          <w:rFonts w:ascii="Arial" w:eastAsia="Arial" w:hAnsi="Arial" w:cs="Arial"/>
          <w:color w:val="000000"/>
          <w:sz w:val="20"/>
          <w:szCs w:val="20"/>
        </w:rPr>
      </w:pPr>
      <w:r>
        <w:rPr>
          <w:rFonts w:ascii="Arial" w:eastAsia="Arial" w:hAnsi="Arial" w:cs="Arial"/>
          <w:color w:val="000000"/>
          <w:sz w:val="20"/>
          <w:szCs w:val="20"/>
        </w:rPr>
        <w:t>Smluvní strany sjednávají, že termíny předání jednotlivých výstupů plnění mohou být ze strany pověřené osoby Objednatele v odůvodněných případech upraveny, a to v návaznosti na případné objektivní změny potřeb Objednatele.</w:t>
      </w:r>
    </w:p>
    <w:p w14:paraId="4878E4D5"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Každý jednotlivý výstup plnění zaslaný Zpracovatelem dle čl. 4.1. této Smlouvy podléhá samostatnému akceptačnímu řízení. Objednatel se zavazuje do 20 kalendářních dnů od doručení výstupu plnění dle odst. 4.1. této Smlouvy provést akceptační řízení a sdělit Zpracovateli případné výhrady k předanému výstupu plnění s vyznačením jejich závažnosti. </w:t>
      </w:r>
      <w:r>
        <w:rPr>
          <w:rFonts w:ascii="Arial" w:eastAsia="Arial" w:hAnsi="Arial" w:cs="Arial"/>
          <w:color w:val="000000"/>
          <w:sz w:val="20"/>
          <w:szCs w:val="20"/>
        </w:rPr>
        <w:lastRenderedPageBreak/>
        <w:t xml:space="preserve">V akceptačním řízení budou projednány výhrady Objednatele a stanovená výsledná závažnost připomínek. Výsledky akceptačního řízení jsou uvedeny v akceptačním protokolu. </w:t>
      </w:r>
    </w:p>
    <w:p w14:paraId="60EF9C97" w14:textId="77777777" w:rsidR="006E359D" w:rsidRDefault="009B1D28">
      <w:pPr>
        <w:pBdr>
          <w:top w:val="nil"/>
          <w:left w:val="nil"/>
          <w:bottom w:val="nil"/>
          <w:right w:val="nil"/>
          <w:between w:val="nil"/>
        </w:pBdr>
        <w:spacing w:after="120"/>
        <w:ind w:left="567"/>
        <w:jc w:val="both"/>
        <w:rPr>
          <w:rFonts w:ascii="Arial" w:eastAsia="Arial" w:hAnsi="Arial" w:cs="Arial"/>
          <w:color w:val="000000"/>
          <w:sz w:val="20"/>
          <w:szCs w:val="20"/>
        </w:rPr>
      </w:pPr>
      <w:r>
        <w:rPr>
          <w:rFonts w:ascii="Arial" w:eastAsia="Arial" w:hAnsi="Arial" w:cs="Arial"/>
          <w:color w:val="000000"/>
          <w:sz w:val="20"/>
          <w:szCs w:val="20"/>
        </w:rPr>
        <w:t xml:space="preserve">Výsledkem akceptačního řízení mohou být 3 stavy: </w:t>
      </w:r>
    </w:p>
    <w:p w14:paraId="63572532" w14:textId="77777777" w:rsidR="006E359D" w:rsidRDefault="009B1D28">
      <w:pPr>
        <w:pBdr>
          <w:top w:val="nil"/>
          <w:left w:val="nil"/>
          <w:bottom w:val="nil"/>
          <w:right w:val="nil"/>
          <w:between w:val="nil"/>
        </w:pBdr>
        <w:spacing w:after="120"/>
        <w:ind w:left="56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Akceptováno bez výhrad</w:t>
      </w:r>
      <w:r>
        <w:rPr>
          <w:rFonts w:ascii="Arial" w:eastAsia="Arial" w:hAnsi="Arial" w:cs="Arial"/>
          <w:color w:val="000000"/>
          <w:sz w:val="20"/>
          <w:szCs w:val="20"/>
        </w:rPr>
        <w:t xml:space="preserve">.“ V případě, že Objednatel v průběhu akceptačního řízení nenalezne ve výstupu plnění žádné vady ani nedodělky či jiné nedostatky, k předanému výstupu plnění nemá výhrady. V tomto případě uvede Objednatel do akceptačního protokolu, že předaný výstup plnění byl akceptován bez výhrad a akceptační protokol stvrdí obě smluvní strany svým podpisem. </w:t>
      </w:r>
    </w:p>
    <w:p w14:paraId="213ACEED" w14:textId="77777777" w:rsidR="006E359D" w:rsidRDefault="009B1D28">
      <w:pPr>
        <w:pBdr>
          <w:top w:val="nil"/>
          <w:left w:val="nil"/>
          <w:bottom w:val="nil"/>
          <w:right w:val="nil"/>
          <w:between w:val="nil"/>
        </w:pBdr>
        <w:spacing w:after="120"/>
        <w:ind w:left="56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Akceptováno s výhradami</w:t>
      </w:r>
      <w:r>
        <w:rPr>
          <w:rFonts w:ascii="Arial" w:eastAsia="Arial" w:hAnsi="Arial" w:cs="Arial"/>
          <w:color w:val="000000"/>
          <w:sz w:val="20"/>
          <w:szCs w:val="20"/>
        </w:rPr>
        <w:t xml:space="preserve">.“ V případě, že budou Objednatelem v průběhu akceptačního řízení shledány v předaném výstupu plnění vady, nedodělky či jiné nedostatky nebránící užití výstupu plnění nebo jeho části, stanoví Objednatel Zpracovateli přiměřenou lhůtu k odstranění zjištěných vad, nedodělků či jiných nedostatků a Zpracovatel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 odstranění vad, nedodělků a jiných nedostatků výstupu plnění je přiměřená množství a charakteru zjištěných vad, nedodělků a jiných nedostatků. Dodatečná přiměřená lhůta by neměla být kratší než 5 pracovních dnů a běží ode dne doručení akceptačního protokolu Zpracovateli. Nedodržení dodatečné přiměřené lhůty ze strany Zpracovatele je považováno za podstatné porušení této Smlouvy a Objednatel je oprávněn od této Smlouvy odstoupit. Akceptační protokol stvrdí obě smluvní strany svým podpisem. </w:t>
      </w:r>
    </w:p>
    <w:p w14:paraId="682112D1" w14:textId="77777777" w:rsidR="006E359D" w:rsidRDefault="009B1D28">
      <w:pPr>
        <w:pBdr>
          <w:top w:val="nil"/>
          <w:left w:val="nil"/>
          <w:bottom w:val="nil"/>
          <w:right w:val="nil"/>
          <w:between w:val="nil"/>
        </w:pBdr>
        <w:spacing w:after="120"/>
        <w:ind w:left="567"/>
        <w:jc w:val="both"/>
        <w:rPr>
          <w:rFonts w:ascii="Arial" w:eastAsia="Arial" w:hAnsi="Arial" w:cs="Arial"/>
          <w:color w:val="000000"/>
          <w:sz w:val="20"/>
          <w:szCs w:val="20"/>
        </w:rPr>
      </w:pPr>
      <w:r>
        <w:rPr>
          <w:rFonts w:ascii="Arial" w:eastAsia="Arial" w:hAnsi="Arial" w:cs="Arial"/>
          <w:b/>
          <w:color w:val="000000"/>
          <w:sz w:val="20"/>
          <w:szCs w:val="20"/>
        </w:rPr>
        <w:t>„Neakceptováno</w:t>
      </w:r>
      <w:r>
        <w:rPr>
          <w:rFonts w:ascii="Arial" w:eastAsia="Arial" w:hAnsi="Arial" w:cs="Arial"/>
          <w:color w:val="000000"/>
          <w:sz w:val="20"/>
          <w:szCs w:val="20"/>
        </w:rPr>
        <w:t xml:space="preserve">.“ V případě, že budou v průběhu akceptačního řízení stanoveny </w:t>
      </w:r>
      <w:r>
        <w:rPr>
          <w:rFonts w:ascii="Arial" w:eastAsia="Arial" w:hAnsi="Arial" w:cs="Arial"/>
          <w:color w:val="000000"/>
          <w:sz w:val="20"/>
          <w:szCs w:val="20"/>
        </w:rPr>
        <w:br/>
        <w:t xml:space="preserve">v předaném výstupu takové vady, nedodělky či jiné nedostatky, pro které by výstup plnění neodpovídal požadavkům Objednatele stanoveným v této Smlouvě, nebude předaný výstup plnění Objednatelem akceptován. Předložení výstupu plnění Zpracovatelem ve výše uvedené kvalitě je považováno za podstatné porušení této Smlouvy a Objednatel je oprávněn od této Smlouvy odstoupit. Trvá-li Objednatel na plnění výstupu, uvede v akceptačním protokolu, </w:t>
      </w:r>
      <w:r>
        <w:rPr>
          <w:rFonts w:ascii="Arial" w:eastAsia="Arial" w:hAnsi="Arial" w:cs="Arial"/>
          <w:color w:val="000000"/>
          <w:sz w:val="20"/>
          <w:szCs w:val="20"/>
        </w:rPr>
        <w:br/>
        <w:t>že předmětný výstup plnění nebyl akceptován a současně stanoví Zpracovateli dodatečnou přiměřenou lhůtu k předání nově zpracovaného výstupu plnění a obě smluvní strany poté potvrdí akceptační protokol svým podpisem. Pro případ, že nedojde k podpisu akceptačního protokolu Zpracovatelem, je Objednatel oprávněn akceptační protokol zaslat Zpracovateli na adresu uvedenou v záhlaví této Smlouvy a předávaný výstup neakceptovat. Dodatečná přiměřená lhůta běží ode dne doručení akceptačního protokolu Zpracovateli a nesmí být kratší než 10 pracovních dnů. Nedodržení této lhůty ze strany Zpracovatele je považováno za podstatné porušení této Smlouvy.</w:t>
      </w:r>
    </w:p>
    <w:p w14:paraId="57DBC905"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Akceptační protokol bude zasílán v elektronické podobě ve formátu *.</w:t>
      </w:r>
      <w:proofErr w:type="spellStart"/>
      <w:r>
        <w:rPr>
          <w:rFonts w:ascii="Arial" w:eastAsia="Arial" w:hAnsi="Arial" w:cs="Arial"/>
          <w:color w:val="000000"/>
          <w:sz w:val="20"/>
          <w:szCs w:val="20"/>
        </w:rPr>
        <w:t>pdf</w:t>
      </w:r>
      <w:proofErr w:type="spellEnd"/>
      <w:r>
        <w:rPr>
          <w:rFonts w:ascii="Arial" w:eastAsia="Arial" w:hAnsi="Arial" w:cs="Arial"/>
          <w:color w:val="000000"/>
          <w:sz w:val="20"/>
          <w:szCs w:val="20"/>
        </w:rPr>
        <w:t>. Obsahem každého akceptačního protokolu budou následující údaje:</w:t>
      </w:r>
    </w:p>
    <w:p w14:paraId="25BBB0A4" w14:textId="77777777" w:rsidR="006E359D" w:rsidRDefault="009B1D28">
      <w:pPr>
        <w:numPr>
          <w:ilvl w:val="0"/>
          <w:numId w:val="2"/>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označení smluvních stran této Smlouvy,</w:t>
      </w:r>
    </w:p>
    <w:p w14:paraId="2C7445AB" w14:textId="77777777" w:rsidR="006E359D" w:rsidRDefault="009B1D28">
      <w:pPr>
        <w:numPr>
          <w:ilvl w:val="0"/>
          <w:numId w:val="2"/>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co je předmětem akceptačního řízení,</w:t>
      </w:r>
    </w:p>
    <w:p w14:paraId="03A16C8B" w14:textId="77777777" w:rsidR="006E359D" w:rsidRDefault="009B1D28">
      <w:pPr>
        <w:numPr>
          <w:ilvl w:val="0"/>
          <w:numId w:val="2"/>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shrnutí průběhu akceptačního řízení (zejména budou v akceptačním protokolu uvedena data odeslání/přijetí předmětného výstupu, jakožto i další významné skutečnosti),</w:t>
      </w:r>
    </w:p>
    <w:p w14:paraId="62CDC58B" w14:textId="77777777" w:rsidR="006E359D" w:rsidRDefault="009B1D28">
      <w:pPr>
        <w:numPr>
          <w:ilvl w:val="0"/>
          <w:numId w:val="2"/>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výsledek akceptačního řízení, tj. bude explicitně uvedeno, že Objednatel již k předanému výstupu nemá žádné další připomínky a výstup akceptuje bez výhrad, či je akceptováno s výhradou či výstup neakceptuje,</w:t>
      </w:r>
    </w:p>
    <w:p w14:paraId="0B20566B" w14:textId="77777777" w:rsidR="006E359D" w:rsidRDefault="009B1D28">
      <w:pPr>
        <w:numPr>
          <w:ilvl w:val="0"/>
          <w:numId w:val="2"/>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jméno a příjmení (čitelně napsané) osoby/osob provádějící akceptační řízení včetně jejich vlastnoručního podpisu (může být nahrazeno elektronickým podpisem oprávněné osoby dle odst. 6.1. této Smlouvy),</w:t>
      </w:r>
    </w:p>
    <w:p w14:paraId="729FF014" w14:textId="77777777" w:rsidR="006E359D" w:rsidRDefault="009B1D28">
      <w:pPr>
        <w:numPr>
          <w:ilvl w:val="0"/>
          <w:numId w:val="2"/>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datum a čas vystavení akceptačního protokolu Objednatelem.</w:t>
      </w:r>
    </w:p>
    <w:p w14:paraId="7CCA2BB8"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Předání a převzetí výstupů plnění dle této Smlouvy je možné pouze na základě akceptačního řízení ukončeného se závěrem „Akceptováno bez výhrad“. Podpis akceptačního protokolu Objednatelem se závěrem „Akceptováno bez výhrad“ je podmínkou pro vznik oprávnění Zpracovatele vystavit účetní či daňový doklad za příslušné akceptované výstupy plnění dle této Smlouvy.</w:t>
      </w:r>
    </w:p>
    <w:p w14:paraId="72FC26CE" w14:textId="77777777" w:rsidR="006E359D" w:rsidRDefault="009B1D28">
      <w:pPr>
        <w:numPr>
          <w:ilvl w:val="1"/>
          <w:numId w:val="12"/>
        </w:numPr>
        <w:pBdr>
          <w:top w:val="nil"/>
          <w:left w:val="nil"/>
          <w:bottom w:val="nil"/>
          <w:right w:val="nil"/>
          <w:between w:val="nil"/>
        </w:pBdr>
        <w:spacing w:after="120"/>
        <w:ind w:left="567" w:hanging="574"/>
        <w:jc w:val="both"/>
        <w:rPr>
          <w:rFonts w:ascii="Arial" w:eastAsia="Arial" w:hAnsi="Arial" w:cs="Arial"/>
          <w:color w:val="FF0000"/>
          <w:sz w:val="20"/>
          <w:szCs w:val="20"/>
        </w:rPr>
      </w:pPr>
      <w:r>
        <w:rPr>
          <w:rFonts w:ascii="Arial" w:eastAsia="Arial" w:hAnsi="Arial" w:cs="Arial"/>
          <w:color w:val="000000"/>
          <w:sz w:val="20"/>
          <w:szCs w:val="20"/>
        </w:rPr>
        <w:lastRenderedPageBreak/>
        <w:t>Výstupy předmětu plnění této Smlouvy (po příp. schválení vypořádání připomínek) se Zpracovatel zavazuje bezodkladně osobně (na adresu pracoviště Objednatele: Kartouzská 200/4, 150 00 Praha 5), nebo prostřednictvím doporučené pošty (na adresu sídla Objednatele: Na Poříčním Právu 1/376, 128 01 Praha 2) předat finální akceptovanou verzi výstupu plnění v dohodnutém elektronickém formátu a v tištěné podobě v 1 vyhotovení.</w:t>
      </w:r>
    </w:p>
    <w:p w14:paraId="4E699B81" w14:textId="77777777" w:rsidR="006E359D" w:rsidRDefault="006E359D">
      <w:pPr>
        <w:pBdr>
          <w:top w:val="nil"/>
          <w:left w:val="nil"/>
          <w:bottom w:val="nil"/>
          <w:right w:val="nil"/>
          <w:between w:val="nil"/>
        </w:pBdr>
        <w:spacing w:after="120"/>
        <w:ind w:left="426"/>
        <w:jc w:val="both"/>
        <w:rPr>
          <w:rFonts w:ascii="Arial" w:eastAsia="Arial" w:hAnsi="Arial" w:cs="Arial"/>
          <w:color w:val="000000"/>
          <w:sz w:val="20"/>
          <w:szCs w:val="20"/>
        </w:rPr>
      </w:pPr>
    </w:p>
    <w:p w14:paraId="447F88A4" w14:textId="77777777" w:rsidR="006E359D" w:rsidRDefault="009B1D28">
      <w:pPr>
        <w:pStyle w:val="Nadpis1"/>
        <w:numPr>
          <w:ilvl w:val="0"/>
          <w:numId w:val="12"/>
        </w:numPr>
        <w:tabs>
          <w:tab w:val="left" w:pos="454"/>
        </w:tabs>
        <w:spacing w:after="240"/>
        <w:jc w:val="center"/>
        <w:rPr>
          <w:rFonts w:ascii="Arial" w:eastAsia="Arial" w:hAnsi="Arial" w:cs="Arial"/>
          <w:sz w:val="20"/>
        </w:rPr>
      </w:pPr>
      <w:r>
        <w:rPr>
          <w:rFonts w:ascii="Arial" w:eastAsia="Arial" w:hAnsi="Arial" w:cs="Arial"/>
          <w:sz w:val="20"/>
        </w:rPr>
        <w:t>Povinnosti smluvních stran</w:t>
      </w:r>
    </w:p>
    <w:p w14:paraId="6BA9E12E"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poskytovat plnění dle této Smlouvy svědomitě, s řádnou a odbornou péčí a potřebnými odbornými schopnostmi. Při poskytování plnění dle této Smlouvy je Zpracovatel vázán platnými a účinnými právními předpisy a pokyny Objednatele, pokud tyto nejsou v rozporu s těmito právními předpisy či zájmy Objednatele.</w:t>
      </w:r>
    </w:p>
    <w:p w14:paraId="6F30873C"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se zavazuje předat Zpracovateli veškeré potřebné podklady či informace nezbytné ke splnění předmětu této Smlouvy, tj. ke zpracování a předání výstupů plnění a k zajištění prezentace Závěrečné zprávy, a Zpracovatel se zavazuje Objednatelem poskytnuté podklady či informace použít pouze za účelem splnění předmětu této Smlouvy, nebude-li smluvními stranami sjednáno jinak.</w:t>
      </w:r>
    </w:p>
    <w:p w14:paraId="33C10DCC"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strany se zavazují vzájemně se informovat o všech okolnostech důležitých pro řádné a včasné splnění předmětu této Smlouvy a poskytovat si navzájem za tímto účelem nezbytnou součinnost. </w:t>
      </w:r>
    </w:p>
    <w:p w14:paraId="103B0E79"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zabezpečit, že předmět plnění dle této Smlouvy, resp. hmotné výstupy plnění dle této Smlouvy budou zpracovány v souladu s touto Smlouvou, nebudou zatíženy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w:t>
      </w:r>
    </w:p>
    <w:p w14:paraId="44A6F6BF"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jím poskytované plnění dle této Smlouvy odpovídá všem požadavkům vyplývajícím z platných a účinných právních předpisů či příslušných norem, které se na dané plnění vztahují.</w:t>
      </w:r>
    </w:p>
    <w:p w14:paraId="5454DF78"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je oprávněn provádět monitoring a kontrolu realizace předmětu plnění z pohledu naplňování účelu a předmětu plnění Smlouvy. V rámci monitoringu a kontrol je Zpracovatel povinen umožnit Objednateli přístup ke všem dokladům souvisejícím s realizací předmětu plnění.</w:t>
      </w:r>
    </w:p>
    <w:p w14:paraId="570DCF84"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 Tuto povinnost rovněž zajistí Zpracovatel u případných poddodavatelů Zpracovatele. Zpracovatel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14:paraId="47DEDB63"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poskytnout Objednateli součinnost nezbytnou ke splnění povinnosti Objednatele vyplývající z </w:t>
      </w:r>
      <w:proofErr w:type="spellStart"/>
      <w:r>
        <w:rPr>
          <w:rFonts w:ascii="Arial" w:eastAsia="Arial" w:hAnsi="Arial" w:cs="Arial"/>
          <w:color w:val="000000"/>
          <w:sz w:val="20"/>
          <w:szCs w:val="20"/>
        </w:rPr>
        <w:t>ust</w:t>
      </w:r>
      <w:proofErr w:type="spellEnd"/>
      <w:r>
        <w:rPr>
          <w:rFonts w:ascii="Arial" w:eastAsia="Arial" w:hAnsi="Arial" w:cs="Arial"/>
          <w:color w:val="000000"/>
          <w:sz w:val="20"/>
          <w:szCs w:val="20"/>
        </w:rPr>
        <w:t>. § 219 zákona č. 134/2016 Sb., o zadávání veřejných zakázek, ve znění pozdějších předpisů.</w:t>
      </w:r>
    </w:p>
    <w:p w14:paraId="4B933609"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poskytovat plnění dle této Smlouvy a provádět veškeré činnosti s tím spojené vlastním jménem, samostatně a dle požadavků Objednatele.</w:t>
      </w:r>
    </w:p>
    <w:p w14:paraId="698CE5A3"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v průběhu plnění této Smlouvy podávat Objednateli, na jeho vyžádání, dílčí zprávy o své činnosti. Nebude-li v konkrétním případě dohodnuto jinak, veškerá komunikace bude prováděna elektronicky nebo písemně. </w:t>
      </w:r>
    </w:p>
    <w:p w14:paraId="5D528D68"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Zpracovatel se zavazuje Objednateli poskytnout součinnost při realizaci evaluačních doporučení, která jsou součástí výstupů plnění dle této Smlouvy, a to prostřednictvím poskytnutí ad-hoc konzultací (telefonických či e-mailových) v případě, že Objednatel k těmto doporučením vznese dotazy již po akceptaci výstupu plnění (závěrečné evaluační zprávy), a to do 6 měsíců od akceptace daného výstupu plnění (závěrečné evaluační zprávy). Zpracovatel se zavazuje tuto součinnost poskytnout bezplatně. </w:t>
      </w:r>
    </w:p>
    <w:p w14:paraId="4307BDE6"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je povinen provádět plnění dle této Smlouvy sám nebo prostřednictvím osob poddodavatelů uvedených v Příloze č. 4 této Smlouvy – Seznam poddodavatelů. Zpracovatel je oprávněn provádět změny poddodavatelů pouze s předchozím písemným souhlasem oprávněné osoby Objednatele uvedené v článku 6 odst. 6.1. této Smlouvy. Zpracovatel bere na vědomí, že veškeré povinnosti pro něj vyplývající z této Smlouvy, se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půjdou v plném rozsahu k tíži Zpracovatele. </w:t>
      </w:r>
    </w:p>
    <w:p w14:paraId="1B0D08B5"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je povinen provádět plnění dle této Smlouvy prostřednictvím osob realizačního týmu uvedeného v Příloze č. 4 této </w:t>
      </w:r>
      <w:proofErr w:type="gramStart"/>
      <w:r>
        <w:rPr>
          <w:rFonts w:ascii="Arial" w:eastAsia="Arial" w:hAnsi="Arial" w:cs="Arial"/>
          <w:color w:val="000000"/>
          <w:sz w:val="20"/>
          <w:szCs w:val="20"/>
        </w:rPr>
        <w:t>Smlouvy - Realizačním</w:t>
      </w:r>
      <w:proofErr w:type="gramEnd"/>
      <w:r>
        <w:rPr>
          <w:rFonts w:ascii="Arial" w:eastAsia="Arial" w:hAnsi="Arial" w:cs="Arial"/>
          <w:color w:val="000000"/>
          <w:sz w:val="20"/>
          <w:szCs w:val="20"/>
        </w:rPr>
        <w:t xml:space="preserve"> tým. Zpracovatel je oprávněn provádět změny ve složení realizačního týmu pouze s předchozím písemným souhlasem kontaktní osoby Objednatele uvedené v článku 6 odst. 6.1. této Smlouvy. Při změně ve složení realizačního týmu musí být zachováno splnění předpokladů uvedených pro potřeby hodnocení těchto osob. Nová osoba nahrazující předchozí osobu musí být stejně odborně zdatná (tj. musí mít min. stejně dlouhou praxi a min. stejné množství relevantních zkušeností). Žádná z osob realizačního týmu nesmí být ve střetu zájmů. V případě pochybností smluvní strana neprodleně o takovém podezření informuje druhou smluvní stranu. Osoba realizačního týmu, u níž je podezření, že je ve střetu zájmů, pak musí být nejpozději do 15 pracovních dnů vyměněna dle pravidel pro výměnu osob realizačního týmu dle tohoto odstavce</w:t>
      </w:r>
    </w:p>
    <w:p w14:paraId="5E13CDA9" w14:textId="77777777" w:rsidR="006E359D" w:rsidRDefault="006E359D">
      <w:pPr>
        <w:pBdr>
          <w:top w:val="nil"/>
          <w:left w:val="nil"/>
          <w:bottom w:val="nil"/>
          <w:right w:val="nil"/>
          <w:between w:val="nil"/>
        </w:pBdr>
        <w:spacing w:after="120"/>
        <w:ind w:left="567"/>
        <w:jc w:val="both"/>
        <w:rPr>
          <w:rFonts w:ascii="Arial" w:eastAsia="Arial" w:hAnsi="Arial" w:cs="Arial"/>
          <w:color w:val="000000"/>
          <w:sz w:val="20"/>
          <w:szCs w:val="20"/>
        </w:rPr>
      </w:pPr>
    </w:p>
    <w:p w14:paraId="38C5B84B" w14:textId="77777777" w:rsidR="006E359D" w:rsidRDefault="009B1D28">
      <w:pPr>
        <w:pStyle w:val="Nadpis1"/>
        <w:numPr>
          <w:ilvl w:val="0"/>
          <w:numId w:val="12"/>
        </w:numPr>
        <w:tabs>
          <w:tab w:val="left" w:pos="454"/>
        </w:tabs>
        <w:spacing w:after="240"/>
        <w:jc w:val="center"/>
        <w:rPr>
          <w:rFonts w:ascii="Arial" w:eastAsia="Arial" w:hAnsi="Arial" w:cs="Arial"/>
          <w:sz w:val="20"/>
        </w:rPr>
      </w:pPr>
      <w:r>
        <w:rPr>
          <w:rFonts w:ascii="Arial" w:eastAsia="Arial" w:hAnsi="Arial" w:cs="Arial"/>
          <w:sz w:val="20"/>
        </w:rPr>
        <w:t>oprávněné osoby smluvních stran</w:t>
      </w:r>
    </w:p>
    <w:p w14:paraId="143BDE4E" w14:textId="00E81861"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Oprávněnou osobou Objednatele ve věcech týkajících se této Smlouvy, vyjma jednání o změnách obsahu této Smlouvy, </w:t>
      </w:r>
      <w:r w:rsidRPr="002D5E04">
        <w:rPr>
          <w:rFonts w:ascii="Arial" w:eastAsia="Arial" w:hAnsi="Arial" w:cs="Arial"/>
          <w:sz w:val="20"/>
          <w:szCs w:val="20"/>
        </w:rPr>
        <w:t>jsou</w:t>
      </w:r>
      <w:r>
        <w:rPr>
          <w:rFonts w:ascii="Arial" w:eastAsia="Arial" w:hAnsi="Arial" w:cs="Arial"/>
          <w:color w:val="000000"/>
          <w:sz w:val="20"/>
          <w:szCs w:val="20"/>
        </w:rPr>
        <w:t>:</w:t>
      </w:r>
    </w:p>
    <w:p w14:paraId="26579FAD" w14:textId="03A8568E" w:rsidR="005974EA" w:rsidRPr="006A7875" w:rsidRDefault="006A7875" w:rsidP="005974EA">
      <w:pPr>
        <w:pStyle w:val="Odstavecseseznamem"/>
        <w:numPr>
          <w:ilvl w:val="0"/>
          <w:numId w:val="23"/>
        </w:numPr>
        <w:spacing w:after="120" w:line="280" w:lineRule="atLeast"/>
        <w:contextualSpacing w:val="0"/>
        <w:jc w:val="both"/>
        <w:rPr>
          <w:rFonts w:ascii="Arial" w:hAnsi="Arial" w:cs="Arial"/>
          <w:i/>
          <w:iCs/>
          <w:sz w:val="20"/>
          <w:szCs w:val="20"/>
        </w:rPr>
      </w:pPr>
      <w:r w:rsidRPr="006A7875">
        <w:rPr>
          <w:rFonts w:ascii="Arial" w:hAnsi="Arial" w:cs="Arial"/>
          <w:i/>
          <w:iCs/>
          <w:sz w:val="20"/>
          <w:szCs w:val="20"/>
        </w:rPr>
        <w:t>neveřejný údaj</w:t>
      </w:r>
    </w:p>
    <w:p w14:paraId="4A33DBA3"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Oprávněnou osobou Zpracovatele ve věcech této Smlouvy, vyjma jednání o změnách obsahu této Smlouvy, jsou:</w:t>
      </w:r>
    </w:p>
    <w:p w14:paraId="59E5E954" w14:textId="52E00F9C" w:rsidR="006E359D" w:rsidRDefault="006A7875">
      <w:pPr>
        <w:numPr>
          <w:ilvl w:val="0"/>
          <w:numId w:val="4"/>
        </w:numPr>
        <w:spacing w:after="120"/>
        <w:jc w:val="both"/>
        <w:rPr>
          <w:rFonts w:ascii="Arial" w:eastAsia="Arial" w:hAnsi="Arial" w:cs="Arial"/>
          <w:sz w:val="20"/>
          <w:szCs w:val="20"/>
        </w:rPr>
      </w:pPr>
      <w:r w:rsidRPr="006A7875">
        <w:rPr>
          <w:rFonts w:ascii="Arial" w:eastAsia="Arial" w:hAnsi="Arial" w:cs="Arial"/>
          <w:i/>
          <w:iCs/>
          <w:sz w:val="20"/>
          <w:szCs w:val="20"/>
        </w:rPr>
        <w:t>neveřejný údaj</w:t>
      </w:r>
    </w:p>
    <w:p w14:paraId="64351EF2" w14:textId="77777777" w:rsidR="006E359D" w:rsidRDefault="009B1D28">
      <w:pPr>
        <w:pStyle w:val="Nadpis1"/>
        <w:numPr>
          <w:ilvl w:val="0"/>
          <w:numId w:val="12"/>
        </w:numPr>
        <w:tabs>
          <w:tab w:val="left" w:pos="454"/>
        </w:tabs>
        <w:spacing w:after="240"/>
        <w:jc w:val="center"/>
        <w:rPr>
          <w:rFonts w:ascii="Arial" w:eastAsia="Arial" w:hAnsi="Arial" w:cs="Arial"/>
          <w:sz w:val="20"/>
        </w:rPr>
      </w:pPr>
      <w:r>
        <w:rPr>
          <w:rFonts w:ascii="Arial" w:eastAsia="Arial" w:hAnsi="Arial" w:cs="Arial"/>
          <w:sz w:val="20"/>
        </w:rPr>
        <w:t>vlastnické právo</w:t>
      </w:r>
    </w:p>
    <w:p w14:paraId="64F1052D"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Vlastnické právo k veškerým předaným výstupům plnění dle této Smlouvy přechází na Objednatele dnem jejich předání a převzetí Objednatelem na základě akceptačního řízení dle článku 4 této Smlouvy.</w:t>
      </w:r>
    </w:p>
    <w:p w14:paraId="0D607255"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Autorskoprávní režim výstupů plnění zpracovaných na základě této Smlouvy se řídí § 61 odst. 1 zákona č. 121/2000 Sb. o právu autorském, právech souvisejících s právem autorským a </w:t>
      </w:r>
      <w:r>
        <w:rPr>
          <w:rFonts w:ascii="Arial" w:eastAsia="Arial" w:hAnsi="Arial" w:cs="Arial"/>
          <w:color w:val="000000"/>
          <w:sz w:val="20"/>
          <w:szCs w:val="20"/>
        </w:rPr>
        <w:br/>
        <w:t>o změně některých zákonů (autorský zákon), ve znění pozdějších předpisů.</w:t>
      </w:r>
    </w:p>
    <w:p w14:paraId="480ED855"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na Objednatele převést veškerá práva k duševnímu vlastnictví spojená s předmětem plnění této Smlouvy, a to ke dni předání a převzetí jednotlivých výstupů plnění Objednatelem na základě akceptačního řízení.</w:t>
      </w:r>
    </w:p>
    <w:p w14:paraId="7C8E0A38"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neposkytne jednotlivé výstupy plnění třetí osobě bez předchozího písemného souhlasu Objednatele.</w:t>
      </w:r>
    </w:p>
    <w:p w14:paraId="702B0246"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je oprávněn do jednotlivých výstupů zasahovat a modifikovat je a dále tyto výstupy poskytnout ke specifickému využití třetím osobám. </w:t>
      </w:r>
    </w:p>
    <w:p w14:paraId="3D03220E" w14:textId="77777777" w:rsidR="006E359D" w:rsidRDefault="009B1D28">
      <w:pPr>
        <w:pStyle w:val="Nadpis1"/>
        <w:numPr>
          <w:ilvl w:val="0"/>
          <w:numId w:val="12"/>
        </w:numPr>
        <w:tabs>
          <w:tab w:val="left" w:pos="454"/>
        </w:tabs>
        <w:spacing w:after="240"/>
        <w:jc w:val="center"/>
        <w:rPr>
          <w:rFonts w:ascii="Arial" w:eastAsia="Arial" w:hAnsi="Arial" w:cs="Arial"/>
          <w:sz w:val="20"/>
        </w:rPr>
      </w:pPr>
      <w:r>
        <w:rPr>
          <w:rFonts w:ascii="Arial" w:eastAsia="Arial" w:hAnsi="Arial" w:cs="Arial"/>
          <w:sz w:val="20"/>
        </w:rPr>
        <w:lastRenderedPageBreak/>
        <w:t>Cena a platební podmínky</w:t>
      </w:r>
    </w:p>
    <w:p w14:paraId="3C3E38D8"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Celková cena za realizaci za realizaci předmětu plnění dle této Smlouvy činí 350 000- Kč (Zpracovatel není plátce DPH). </w:t>
      </w:r>
    </w:p>
    <w:p w14:paraId="3A17946E"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K Celkové ceně bude připočítána DPH dle příslušných předpisů ve výši platné ke dni uskutečnění zdanitelného plnění.</w:t>
      </w:r>
    </w:p>
    <w:p w14:paraId="35A61142"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neposkytuje zálohy. Objednatel se zavazuje zaplatit Zpracovateli sjednanou cenu za plnění skutečně poskytnuté Zpracovatelem a odsouhlasené Objednatelem, a to na základě řádně vystaveného účetního či daňového dokladu (dále jen „faktura“) vystaveného Zpracovatelem do 5 kalendářních dnů ode dne oboustranného podpisu akceptačního protokolu obsahujícího závěr „Akceptováno bez výhrad“ dle čl. 4 této Smlouvy po ukončení dílčích výstupů uvedených v kapitole č. 6 </w:t>
      </w:r>
      <w:r>
        <w:rPr>
          <w:rFonts w:ascii="Arial" w:eastAsia="Arial" w:hAnsi="Arial" w:cs="Arial"/>
          <w:i/>
          <w:color w:val="000000"/>
          <w:sz w:val="20"/>
          <w:szCs w:val="20"/>
        </w:rPr>
        <w:t xml:space="preserve">Indikativní harmonogram </w:t>
      </w:r>
      <w:r>
        <w:rPr>
          <w:rFonts w:ascii="Arial" w:eastAsia="Arial" w:hAnsi="Arial" w:cs="Arial"/>
          <w:color w:val="000000"/>
          <w:sz w:val="20"/>
          <w:szCs w:val="20"/>
        </w:rPr>
        <w:t xml:space="preserve">Přílohy č. 2 této Smlouvy – Specifikace předmětu plnění. Jednotlivé faktury budou vystaveny následovně: </w:t>
      </w:r>
    </w:p>
    <w:p w14:paraId="3EF0EDE3" w14:textId="77777777" w:rsidR="006E359D" w:rsidRDefault="009B1D28">
      <w:pPr>
        <w:numPr>
          <w:ilvl w:val="0"/>
          <w:numId w:val="4"/>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Průběžná zpráva – finální verze – 40 % z celkové ceny uvedené v bodě 8.1. této Smlouvy,</w:t>
      </w:r>
    </w:p>
    <w:p w14:paraId="3BE3004C" w14:textId="77777777" w:rsidR="006E359D" w:rsidRDefault="009B1D28">
      <w:pPr>
        <w:numPr>
          <w:ilvl w:val="0"/>
          <w:numId w:val="4"/>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Závěrečná zpráva – finální verze – 60 % z celkové ceny uvedené v bodě 8.1. této Smlouvy</w:t>
      </w:r>
    </w:p>
    <w:p w14:paraId="0E8F2D7E"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Výše uvedená celková cena v Kč bez DPH je cenou nejvýše přípustnou a nepřekročitelnou a musí zahrnovat služby, dodávky či jiné činnosti, které v této Smlouvě nejsou výslovně uvedeny a které jsou však nezbytné pro provedení předmětu plnění dle této Smlouvy.</w:t>
      </w:r>
    </w:p>
    <w:p w14:paraId="25D0F1FF"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Splatnost faktur je sjednána na 30 kalendářních dnů a počíná běžet od data doručení faktury na adresu sídla Objednatele. Nedílnou součástí faktury musí být Objednatelem potvrzený akceptační protokol.</w:t>
      </w:r>
      <w:r>
        <w:rPr>
          <w:color w:val="000000"/>
        </w:rPr>
        <w:t xml:space="preserve"> </w:t>
      </w:r>
      <w:r>
        <w:rPr>
          <w:rFonts w:ascii="Arial" w:eastAsia="Arial" w:hAnsi="Arial" w:cs="Arial"/>
          <w:color w:val="000000"/>
          <w:sz w:val="20"/>
          <w:szCs w:val="20"/>
        </w:rPr>
        <w:t>Poslední faktura v kalendářním roce musí být Objednateli doručena nejpozději 10. prosince příslušného roku. Splatnost faktur doručených Objednateli od 11. prosince do 31. ledna následujícího roku bude prodloužena až na 60 kalendářních dnů, a to v souvislosti s procesem schvalování státního rozpočtu.</w:t>
      </w:r>
    </w:p>
    <w:p w14:paraId="5BE09874"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Cena uvedená na faktuře musí být členěna na cenu v Kč bez DPH, výše DPH v Kč a cenu v Kč včetně DPH. Faktura musí dále obsahovat číslo účtu Zpracovatele, název Veřejné zakázky a </w:t>
      </w:r>
      <w:proofErr w:type="spellStart"/>
      <w:r>
        <w:rPr>
          <w:rFonts w:ascii="Arial" w:eastAsia="Arial" w:hAnsi="Arial" w:cs="Arial"/>
          <w:color w:val="000000"/>
          <w:sz w:val="20"/>
          <w:szCs w:val="20"/>
        </w:rPr>
        <w:t>reg</w:t>
      </w:r>
      <w:proofErr w:type="spellEnd"/>
      <w:r>
        <w:rPr>
          <w:rFonts w:ascii="Arial" w:eastAsia="Arial" w:hAnsi="Arial" w:cs="Arial"/>
          <w:color w:val="000000"/>
          <w:sz w:val="20"/>
          <w:szCs w:val="20"/>
        </w:rPr>
        <w:t xml:space="preserve">. č. projektu a všechny náležitosti dle platných a účinných právních předpisů. Faktura musí dále obsahovat číslo PRV, které sdělí Zpracovateli Objednatel při podpisu této Smlouvy.  </w:t>
      </w:r>
    </w:p>
    <w:p w14:paraId="52458BA8"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Veškeré platby musí probíhat výhradně v Kč a rovněž veškeré uvedené cenové údaje musí být v Kč.</w:t>
      </w:r>
    </w:p>
    <w:p w14:paraId="510B8CFD"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Uhrazením se pro účely této Smlouvy rozumí připsání příslušné částky na účet Zpracovatele. </w:t>
      </w:r>
    </w:p>
    <w:p w14:paraId="432CA166" w14:textId="77777777" w:rsidR="006E359D" w:rsidRDefault="009B1D28">
      <w:pPr>
        <w:numPr>
          <w:ilvl w:val="1"/>
          <w:numId w:val="12"/>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si vyhrazuje právo před uplynutím lhůty splatnosti vrátit fakturu Zpracovateli,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14:paraId="22389794" w14:textId="77777777" w:rsidR="006E359D" w:rsidRDefault="006E359D">
      <w:pPr>
        <w:pBdr>
          <w:top w:val="nil"/>
          <w:left w:val="nil"/>
          <w:bottom w:val="nil"/>
          <w:right w:val="nil"/>
          <w:between w:val="nil"/>
        </w:pBdr>
        <w:spacing w:after="120"/>
        <w:ind w:left="567"/>
        <w:jc w:val="both"/>
        <w:rPr>
          <w:rFonts w:ascii="Arial" w:eastAsia="Arial" w:hAnsi="Arial" w:cs="Arial"/>
          <w:color w:val="000000"/>
          <w:sz w:val="20"/>
          <w:szCs w:val="20"/>
        </w:rPr>
      </w:pPr>
    </w:p>
    <w:p w14:paraId="701BD437" w14:textId="77777777" w:rsidR="006E359D" w:rsidRDefault="009B1D28">
      <w:pPr>
        <w:pStyle w:val="Nadpis1"/>
        <w:numPr>
          <w:ilvl w:val="0"/>
          <w:numId w:val="12"/>
        </w:numPr>
        <w:tabs>
          <w:tab w:val="left" w:pos="454"/>
        </w:tabs>
        <w:spacing w:after="240"/>
        <w:jc w:val="center"/>
        <w:rPr>
          <w:rFonts w:ascii="Arial" w:eastAsia="Arial" w:hAnsi="Arial" w:cs="Arial"/>
          <w:sz w:val="20"/>
        </w:rPr>
      </w:pPr>
      <w:r>
        <w:rPr>
          <w:rFonts w:ascii="Arial" w:eastAsia="Arial" w:hAnsi="Arial" w:cs="Arial"/>
          <w:sz w:val="20"/>
        </w:rPr>
        <w:t xml:space="preserve">Ochrana informací </w:t>
      </w:r>
    </w:p>
    <w:p w14:paraId="76A93ECF" w14:textId="77777777" w:rsidR="006E359D" w:rsidRDefault="009B1D28">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55DB7CB7" w14:textId="77777777" w:rsidR="006E359D" w:rsidRDefault="009B1D28">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14:paraId="604C5983" w14:textId="77777777" w:rsidR="006E359D" w:rsidRDefault="009B1D28">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Zpracovatel se zavazuje zajistit při plnění této Smlouvy ochranu osobních údajů zaměstnanců Objednatele, příp. i dalších osob. Smluvní strany se zavazují postupovat v souvislosti s plněním dohody v souladu s platnými a účinnými právními předpisy </w:t>
      </w:r>
      <w:r>
        <w:rPr>
          <w:rFonts w:ascii="Arial" w:eastAsia="Arial" w:hAnsi="Arial" w:cs="Arial"/>
          <w:color w:val="000000"/>
          <w:sz w:val="20"/>
          <w:szCs w:val="20"/>
        </w:rPr>
        <w:br/>
        <w:t xml:space="preserve">na ochranu osobních údajů, podle Nařízení Evropského parlamentu a Rady (EU) 2016/679 </w:t>
      </w:r>
      <w:r>
        <w:rPr>
          <w:rFonts w:ascii="Arial" w:eastAsia="Arial" w:hAnsi="Arial" w:cs="Arial"/>
          <w:color w:val="000000"/>
          <w:sz w:val="20"/>
          <w:szCs w:val="20"/>
        </w:rPr>
        <w:br/>
        <w:t>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příp. i dalších osob, zavazuje se zpracovávat tyto osobní údaje pouze v rozsahu nezbytném pro plnění této Smlouvy a po dobu nezbytnou k plnění této Smlouvy.</w:t>
      </w:r>
    </w:p>
    <w:p w14:paraId="6C12D90B" w14:textId="77777777" w:rsidR="006E359D" w:rsidRDefault="009B1D28">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zabezpečit veškeré podklady poskytnuté mu Objednatelem mající charakter Důvěrné informace, proti jejich odcizení nebo jinému zneužití třetí osobou. </w:t>
      </w:r>
    </w:p>
    <w:p w14:paraId="2A1D6EC3" w14:textId="77777777" w:rsidR="006E359D" w:rsidRDefault="009B1D28">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462EFABE" w14:textId="77777777" w:rsidR="006E359D" w:rsidRDefault="009B1D28">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Povinnost zachovávat mlčenlivost se nevztahuje na informace: </w:t>
      </w:r>
    </w:p>
    <w:p w14:paraId="135624F1" w14:textId="77777777" w:rsidR="006E359D" w:rsidRDefault="009B1D28">
      <w:pPr>
        <w:numPr>
          <w:ilvl w:val="1"/>
          <w:numId w:val="14"/>
        </w:numPr>
        <w:pBdr>
          <w:top w:val="nil"/>
          <w:left w:val="nil"/>
          <w:bottom w:val="nil"/>
          <w:right w:val="nil"/>
          <w:between w:val="nil"/>
        </w:pBdr>
        <w:tabs>
          <w:tab w:val="left" w:pos="1418"/>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které jsou nebo se stanou všeobecně a veřejně přístupnými jinak, než porušením ustanovení tohoto článku této Smlouvy ze strany Zpracovatele;</w:t>
      </w:r>
    </w:p>
    <w:p w14:paraId="6AD3E3D3" w14:textId="77777777" w:rsidR="006E359D" w:rsidRDefault="009B1D28">
      <w:pPr>
        <w:numPr>
          <w:ilvl w:val="1"/>
          <w:numId w:val="14"/>
        </w:numPr>
        <w:pBdr>
          <w:top w:val="nil"/>
          <w:left w:val="nil"/>
          <w:bottom w:val="nil"/>
          <w:right w:val="nil"/>
          <w:between w:val="nil"/>
        </w:pBdr>
        <w:tabs>
          <w:tab w:val="left" w:pos="1418"/>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které jsou Zpracovateli známy a byly mu volně k dispozici ještě před přijetím těchto informací od Objednatele;</w:t>
      </w:r>
    </w:p>
    <w:p w14:paraId="5DD81148" w14:textId="77777777" w:rsidR="006E359D" w:rsidRDefault="009B1D28">
      <w:pPr>
        <w:numPr>
          <w:ilvl w:val="1"/>
          <w:numId w:val="14"/>
        </w:numPr>
        <w:pBdr>
          <w:top w:val="nil"/>
          <w:left w:val="nil"/>
          <w:bottom w:val="nil"/>
          <w:right w:val="nil"/>
          <w:between w:val="nil"/>
        </w:pBdr>
        <w:tabs>
          <w:tab w:val="left" w:pos="1418"/>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 xml:space="preserve">které budou následně Zpracovateli sděleny bez závazku mlčenlivosti třetích osob, jež rovněž nejsou ve vztahu k nim nijak vázány; a </w:t>
      </w:r>
    </w:p>
    <w:p w14:paraId="451BEC45" w14:textId="77777777" w:rsidR="006E359D" w:rsidRDefault="009B1D28">
      <w:pPr>
        <w:numPr>
          <w:ilvl w:val="1"/>
          <w:numId w:val="14"/>
        </w:numPr>
        <w:pBdr>
          <w:top w:val="nil"/>
          <w:left w:val="nil"/>
          <w:bottom w:val="nil"/>
          <w:right w:val="nil"/>
          <w:between w:val="nil"/>
        </w:pBdr>
        <w:tabs>
          <w:tab w:val="left" w:pos="1418"/>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jejichž sdělení vyžadují platné a účinné právní předpisy České republiky.</w:t>
      </w:r>
    </w:p>
    <w:p w14:paraId="5B43E93C" w14:textId="77777777" w:rsidR="006E359D" w:rsidRDefault="009B1D28">
      <w:pPr>
        <w:pStyle w:val="Nadpis1"/>
        <w:numPr>
          <w:ilvl w:val="0"/>
          <w:numId w:val="12"/>
        </w:numPr>
        <w:tabs>
          <w:tab w:val="left" w:pos="454"/>
        </w:tabs>
        <w:spacing w:after="240"/>
        <w:jc w:val="center"/>
        <w:rPr>
          <w:rFonts w:ascii="Arial" w:eastAsia="Arial" w:hAnsi="Arial" w:cs="Arial"/>
          <w:sz w:val="20"/>
        </w:rPr>
      </w:pPr>
      <w:r>
        <w:rPr>
          <w:rFonts w:ascii="Arial" w:eastAsia="Arial" w:hAnsi="Arial" w:cs="Arial"/>
          <w:sz w:val="20"/>
        </w:rPr>
        <w:t>sanKční ujednání</w:t>
      </w:r>
    </w:p>
    <w:p w14:paraId="5757784A" w14:textId="77777777" w:rsidR="006E359D" w:rsidRDefault="006E359D"/>
    <w:p w14:paraId="51AE9263"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prodlení Zpracovatele s předáním výstupů plnění v termínech stanovených v kapitole 6 Indikativní harmonogram Přílohy č. 2 této Smlouvy – Specifikace předmětu plnění se Zpracovatel zavazuje Objednateli zaplatit smluvní pokutu ve výši </w:t>
      </w:r>
      <w:proofErr w:type="gramStart"/>
      <w:r>
        <w:rPr>
          <w:rFonts w:ascii="Arial" w:eastAsia="Arial" w:hAnsi="Arial" w:cs="Arial"/>
          <w:color w:val="000000"/>
          <w:sz w:val="20"/>
          <w:szCs w:val="20"/>
        </w:rPr>
        <w:t>1.000,-</w:t>
      </w:r>
      <w:proofErr w:type="gramEnd"/>
      <w:r>
        <w:rPr>
          <w:rFonts w:ascii="Arial" w:eastAsia="Arial" w:hAnsi="Arial" w:cs="Arial"/>
          <w:color w:val="000000"/>
          <w:sz w:val="20"/>
          <w:szCs w:val="20"/>
        </w:rPr>
        <w:t xml:space="preserve"> Kč za příslušný výstup, kterého se prodlení týká, a to za každý i započatý den prodlení.</w:t>
      </w:r>
    </w:p>
    <w:p w14:paraId="3132C232"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prodlení Zpracovatele s odstraněním vad, nedodělků či jiných nedostatků výstupu plnění v termínech dle čl. 4 této Smlouvy, se Zpracovatel zavazuje Objednateli zaplatit smluvní pokutu ve výši </w:t>
      </w:r>
      <w:proofErr w:type="gramStart"/>
      <w:r>
        <w:rPr>
          <w:rFonts w:ascii="Arial" w:eastAsia="Arial" w:hAnsi="Arial" w:cs="Arial"/>
          <w:color w:val="000000"/>
          <w:sz w:val="20"/>
          <w:szCs w:val="20"/>
        </w:rPr>
        <w:t>1.000,-</w:t>
      </w:r>
      <w:proofErr w:type="gramEnd"/>
      <w:r>
        <w:rPr>
          <w:rFonts w:ascii="Arial" w:eastAsia="Arial" w:hAnsi="Arial" w:cs="Arial"/>
          <w:color w:val="000000"/>
          <w:sz w:val="20"/>
          <w:szCs w:val="20"/>
        </w:rPr>
        <w:t xml:space="preserve"> Kč za každý výstup, kterého se prodlení týká, a to za každý i započatý den prodlení. </w:t>
      </w:r>
    </w:p>
    <w:p w14:paraId="0350D707"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Zašle-li Zpracovatel dle čl. 4.1. této Smlouvy Objednateli k akceptaci natolik nekvalitní výstup plnění, že tento nemůže být Objednatelem akceptován a Objednatel se rozhodne od této Smlouvy odstoupit, zavazuje se Zpracovatel zaplatit Objednateli smluvní pokutu ve výši </w:t>
      </w:r>
      <w:proofErr w:type="gramStart"/>
      <w:r>
        <w:rPr>
          <w:rFonts w:ascii="Arial" w:eastAsia="Arial" w:hAnsi="Arial" w:cs="Arial"/>
          <w:color w:val="000000"/>
          <w:sz w:val="20"/>
          <w:szCs w:val="20"/>
        </w:rPr>
        <w:t>5.000,-</w:t>
      </w:r>
      <w:proofErr w:type="gramEnd"/>
      <w:r>
        <w:rPr>
          <w:rFonts w:ascii="Arial" w:eastAsia="Arial" w:hAnsi="Arial" w:cs="Arial"/>
          <w:color w:val="000000"/>
          <w:sz w:val="20"/>
          <w:szCs w:val="20"/>
        </w:rPr>
        <w:t xml:space="preserve">, a to za každý jednotlivý zaslaný nekvalitní výstup. </w:t>
      </w:r>
    </w:p>
    <w:p w14:paraId="4F55D95F"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porušení povinnosti stanovené v odst. 5.6., 5.7. a 5.8. této Smlouvy, se Zpracovatel zavazuje zaplatit Objednateli smluvní pokutu ve výši </w:t>
      </w:r>
      <w:proofErr w:type="gramStart"/>
      <w:r>
        <w:rPr>
          <w:rFonts w:ascii="Arial" w:eastAsia="Arial" w:hAnsi="Arial" w:cs="Arial"/>
          <w:color w:val="000000"/>
          <w:sz w:val="20"/>
          <w:szCs w:val="20"/>
        </w:rPr>
        <w:t>10.000,-</w:t>
      </w:r>
      <w:proofErr w:type="gramEnd"/>
      <w:r>
        <w:rPr>
          <w:rFonts w:ascii="Arial" w:eastAsia="Arial" w:hAnsi="Arial" w:cs="Arial"/>
          <w:color w:val="000000"/>
          <w:sz w:val="20"/>
          <w:szCs w:val="20"/>
        </w:rPr>
        <w:t xml:space="preserve"> Kč, a to za každý jednotlivý případ porušení.</w:t>
      </w:r>
    </w:p>
    <w:p w14:paraId="2B80E356"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porušení povinnosti stanovené v odst. 5.12. a 5.13 této Smlouvy, se Zpracovatel zavazuje zaplatit Objednateli smluvní pokutu ve výši </w:t>
      </w:r>
      <w:proofErr w:type="gramStart"/>
      <w:r>
        <w:rPr>
          <w:rFonts w:ascii="Arial" w:eastAsia="Arial" w:hAnsi="Arial" w:cs="Arial"/>
          <w:color w:val="000000"/>
          <w:sz w:val="20"/>
          <w:szCs w:val="20"/>
        </w:rPr>
        <w:t>20.000,-</w:t>
      </w:r>
      <w:proofErr w:type="gramEnd"/>
      <w:r>
        <w:rPr>
          <w:rFonts w:ascii="Arial" w:eastAsia="Arial" w:hAnsi="Arial" w:cs="Arial"/>
          <w:color w:val="000000"/>
          <w:sz w:val="20"/>
          <w:szCs w:val="20"/>
        </w:rPr>
        <w:t xml:space="preserve"> Kč, a to za každý jednotlivý případ porušení.</w:t>
      </w:r>
    </w:p>
    <w:p w14:paraId="0A9E3236"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porušení povinnosti stanovené v odst. 7.4. této Smlouvy, se Zpracovatel zavazuje zaplatit Objednateli smluvní pokutu ve výši </w:t>
      </w:r>
      <w:proofErr w:type="gramStart"/>
      <w:r>
        <w:rPr>
          <w:rFonts w:ascii="Arial" w:eastAsia="Arial" w:hAnsi="Arial" w:cs="Arial"/>
          <w:color w:val="000000"/>
          <w:sz w:val="20"/>
          <w:szCs w:val="20"/>
        </w:rPr>
        <w:t>50.000,-</w:t>
      </w:r>
      <w:proofErr w:type="gramEnd"/>
      <w:r>
        <w:rPr>
          <w:rFonts w:ascii="Arial" w:eastAsia="Arial" w:hAnsi="Arial" w:cs="Arial"/>
          <w:color w:val="000000"/>
          <w:sz w:val="20"/>
          <w:szCs w:val="20"/>
        </w:rPr>
        <w:t xml:space="preserve"> Kč, a to za každý jednotlivý případ porušení.</w:t>
      </w:r>
    </w:p>
    <w:p w14:paraId="71F8FE88"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že Zpracovatel poruší povinnost mlčenlivosti či povinnost zajistit ochranu osobních údajů dle článku 9 této Smlouvy, zavazuje se Objednateli zaplatit smluvní pokutu ve výši </w:t>
      </w:r>
      <w:proofErr w:type="gramStart"/>
      <w:r>
        <w:rPr>
          <w:rFonts w:ascii="Arial" w:eastAsia="Arial" w:hAnsi="Arial" w:cs="Arial"/>
          <w:color w:val="000000"/>
          <w:sz w:val="20"/>
          <w:szCs w:val="20"/>
        </w:rPr>
        <w:t>50.000,-</w:t>
      </w:r>
      <w:proofErr w:type="gramEnd"/>
      <w:r>
        <w:rPr>
          <w:rFonts w:ascii="Arial" w:eastAsia="Arial" w:hAnsi="Arial" w:cs="Arial"/>
          <w:color w:val="000000"/>
          <w:sz w:val="20"/>
          <w:szCs w:val="20"/>
        </w:rPr>
        <w:t xml:space="preserve"> Kč, a to za každý jednotlivý případ porušení dané povinnosti.</w:t>
      </w:r>
    </w:p>
    <w:p w14:paraId="78499B18"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pokutu stejně jako případnou škodu či jinou újmu vzniklou Objednateli vlivem činnosti Zpracovatele se Zpracovatel zavazuje zaplatit Objednateli nejpozději do 30 kalendářních dnů </w:t>
      </w:r>
      <w:r>
        <w:rPr>
          <w:rFonts w:ascii="Arial" w:eastAsia="Arial" w:hAnsi="Arial" w:cs="Arial"/>
          <w:color w:val="000000"/>
          <w:sz w:val="20"/>
          <w:szCs w:val="20"/>
        </w:rPr>
        <w:lastRenderedPageBreak/>
        <w:t>ode dne následujícího po dni v němž mu bylo doporučeno písemné sdělení Objednatele o vzniku jeho nároku na úhradu smluvní pokuty a její výši, resp. vzniklé škody či jiné újmy a její výši.</w:t>
      </w:r>
    </w:p>
    <w:p w14:paraId="3ACFD2F1"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nařízení vlády č. 184/2019 Sb.</w:t>
      </w:r>
    </w:p>
    <w:p w14:paraId="51DC3EB1"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Smluvní strany sjednávají, že v případě vzniku nároku Objednatele na více smluvních pokut uložených Zpracovateli podle této Smlouvy se takové pokuty sčítají.</w:t>
      </w:r>
    </w:p>
    <w:p w14:paraId="095DEFA9"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Není-li v této Smlouvě stanoveno jinak, zaplacením jakékoliv smluvní pokuty nezbavuje povinnou smluvní stranu povinnosti splnit své povinnosti vyplývající z této Smlouvy. Ujednáním smluvní pokuty není dotčeno právo Objednatele na náhradu škody vzniklé z porušení povinnosti, ke kterému se tato smluvní pokuta vztahuje. </w:t>
      </w:r>
    </w:p>
    <w:p w14:paraId="73BFD453"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 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14:paraId="21415B42" w14:textId="77777777" w:rsidR="006E359D" w:rsidRDefault="006E359D">
      <w:pPr>
        <w:pBdr>
          <w:top w:val="nil"/>
          <w:left w:val="nil"/>
          <w:bottom w:val="nil"/>
          <w:right w:val="nil"/>
          <w:between w:val="nil"/>
        </w:pBdr>
        <w:spacing w:after="120"/>
        <w:ind w:left="567"/>
        <w:jc w:val="both"/>
        <w:rPr>
          <w:rFonts w:ascii="Arial" w:eastAsia="Arial" w:hAnsi="Arial" w:cs="Arial"/>
          <w:color w:val="000000"/>
          <w:sz w:val="20"/>
          <w:szCs w:val="20"/>
        </w:rPr>
      </w:pPr>
    </w:p>
    <w:p w14:paraId="6356A40E" w14:textId="77777777" w:rsidR="006E359D" w:rsidRDefault="009B1D28">
      <w:pPr>
        <w:pStyle w:val="Nadpis1"/>
        <w:numPr>
          <w:ilvl w:val="0"/>
          <w:numId w:val="9"/>
        </w:numPr>
        <w:tabs>
          <w:tab w:val="left" w:pos="454"/>
        </w:tabs>
        <w:spacing w:after="240"/>
        <w:jc w:val="center"/>
        <w:rPr>
          <w:rFonts w:ascii="Arial" w:eastAsia="Arial" w:hAnsi="Arial" w:cs="Arial"/>
          <w:sz w:val="20"/>
        </w:rPr>
      </w:pPr>
      <w:r>
        <w:rPr>
          <w:rFonts w:ascii="Arial" w:eastAsia="Arial" w:hAnsi="Arial" w:cs="Arial"/>
          <w:sz w:val="20"/>
        </w:rPr>
        <w:t>Náhrada škody</w:t>
      </w:r>
    </w:p>
    <w:p w14:paraId="0DE085F4"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797FA573"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30FB1561"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2B6FF398" w14:textId="77777777" w:rsidR="006E359D" w:rsidRDefault="009B1D28">
      <w:pPr>
        <w:pStyle w:val="Nadpis1"/>
        <w:numPr>
          <w:ilvl w:val="0"/>
          <w:numId w:val="9"/>
        </w:numPr>
        <w:tabs>
          <w:tab w:val="left" w:pos="454"/>
        </w:tabs>
        <w:spacing w:after="240"/>
        <w:jc w:val="center"/>
        <w:rPr>
          <w:rFonts w:ascii="Arial" w:eastAsia="Arial" w:hAnsi="Arial" w:cs="Arial"/>
          <w:sz w:val="20"/>
        </w:rPr>
      </w:pPr>
      <w:r>
        <w:rPr>
          <w:rFonts w:ascii="Arial" w:eastAsia="Arial" w:hAnsi="Arial" w:cs="Arial"/>
          <w:sz w:val="20"/>
        </w:rPr>
        <w:t>Platnost a doba trvání smlouvy</w:t>
      </w:r>
    </w:p>
    <w:p w14:paraId="00E0E165"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Tato Smlouva nabývá platnosti dnem jejího podpisu oběma smluvními stranami. V případě, že k podpisu Smlouvy smluvními stranami nedojde v jednom dni, nabývá tato Smlouva platnosti dnem podpisu poslední smluvní stranou. Účinnosti však tato smlouva v souladu s </w:t>
      </w:r>
      <w:proofErr w:type="spellStart"/>
      <w:r>
        <w:rPr>
          <w:rFonts w:ascii="Arial" w:eastAsia="Arial" w:hAnsi="Arial" w:cs="Arial"/>
          <w:color w:val="000000"/>
          <w:sz w:val="20"/>
          <w:szCs w:val="20"/>
        </w:rPr>
        <w:t>ust</w:t>
      </w:r>
      <w:proofErr w:type="spellEnd"/>
      <w:r>
        <w:rPr>
          <w:rFonts w:ascii="Arial" w:eastAsia="Arial" w:hAnsi="Arial" w:cs="Arial"/>
          <w:color w:val="000000"/>
          <w:sz w:val="20"/>
          <w:szCs w:val="20"/>
        </w:rPr>
        <w:t xml:space="preserve">. § 6 odst. 1 zákona č. 340/2015 Sb. o registru smluv, nabývá dnem uveřejnění v registru smluv ve smyslu </w:t>
      </w:r>
      <w:proofErr w:type="spellStart"/>
      <w:r>
        <w:rPr>
          <w:rFonts w:ascii="Arial" w:eastAsia="Arial" w:hAnsi="Arial" w:cs="Arial"/>
          <w:color w:val="000000"/>
          <w:sz w:val="20"/>
          <w:szCs w:val="20"/>
        </w:rPr>
        <w:t>ust</w:t>
      </w:r>
      <w:proofErr w:type="spellEnd"/>
      <w:r>
        <w:rPr>
          <w:rFonts w:ascii="Arial" w:eastAsia="Arial" w:hAnsi="Arial" w:cs="Arial"/>
          <w:color w:val="000000"/>
          <w:sz w:val="20"/>
          <w:szCs w:val="20"/>
        </w:rPr>
        <w:t>. § 4 zákona č. 340/2015 Sb. o registru smluv.</w:t>
      </w:r>
    </w:p>
    <w:p w14:paraId="4E3384A1"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Tato Smlouva se uzavírá na dobu určitou, a to do splnění předmětu smlouvy v termínech dle čl. 4, resp. Přílohy č. 2 této Smlouvy.</w:t>
      </w:r>
    </w:p>
    <w:p w14:paraId="29740363"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je oprávněn odstoupit od této Smlouvy, v případě, že Zpracovatel nezahájí řádné poskytování plnění ani do </w:t>
      </w:r>
      <w:r>
        <w:rPr>
          <w:rFonts w:ascii="Arial" w:eastAsia="Arial" w:hAnsi="Arial" w:cs="Arial"/>
          <w:color w:val="000000"/>
          <w:sz w:val="20"/>
          <w:szCs w:val="20"/>
          <w:u w:val="single"/>
        </w:rPr>
        <w:t>5 kalendářních dnů</w:t>
      </w:r>
      <w:r>
        <w:rPr>
          <w:rFonts w:ascii="Arial" w:eastAsia="Arial" w:hAnsi="Arial" w:cs="Arial"/>
          <w:color w:val="000000"/>
          <w:sz w:val="20"/>
          <w:szCs w:val="20"/>
        </w:rPr>
        <w:t xml:space="preserve"> od písemné výzvy Objednatele nebo je opakovaně v prodlení s plněním jakékoliv povinnosti dle této Smlouvy po dobu </w:t>
      </w:r>
      <w:r>
        <w:rPr>
          <w:rFonts w:ascii="Arial" w:eastAsia="Arial" w:hAnsi="Arial" w:cs="Arial"/>
          <w:color w:val="000000"/>
          <w:sz w:val="20"/>
          <w:szCs w:val="20"/>
          <w:u w:val="single"/>
        </w:rPr>
        <w:t>14 kalendářních dnů</w:t>
      </w:r>
      <w:r>
        <w:rPr>
          <w:rFonts w:ascii="Arial" w:eastAsia="Arial" w:hAnsi="Arial" w:cs="Arial"/>
          <w:color w:val="000000"/>
          <w:sz w:val="20"/>
          <w:szCs w:val="20"/>
        </w:rPr>
        <w:t xml:space="preserve">. Odstoupení od této Smlouvy nabývá účinnosti dnem následujícím po dni prokazatelného doručení 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w:t>
      </w:r>
      <w:r>
        <w:rPr>
          <w:rFonts w:ascii="Arial" w:eastAsia="Arial" w:hAnsi="Arial" w:cs="Arial"/>
          <w:color w:val="000000"/>
          <w:sz w:val="20"/>
          <w:szCs w:val="20"/>
        </w:rPr>
        <w:lastRenderedPageBreak/>
        <w:t>Smlouvy.</w:t>
      </w:r>
      <w:r>
        <w:rPr>
          <w:rFonts w:ascii="Arial" w:eastAsia="Arial" w:hAnsi="Arial" w:cs="Arial"/>
          <w:color w:val="000000"/>
          <w:sz w:val="20"/>
          <w:szCs w:val="20"/>
        </w:rPr>
        <w:tab/>
        <w:t>Odstoupení od této Smlouvy ze strany Objednatele nesmí být spojeno s uložením jakékoliv sankce ze strany Zpracovatele k tíži Objednatele.</w:t>
      </w:r>
    </w:p>
    <w:p w14:paraId="62B2A54F"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je dále oprávněn odstoupit od této Smlouvy v případě jejího podstatného porušení ze strany Zpracovatele. Za takové podstatné porušení se považuje zejména, nikoli však výlučně: </w:t>
      </w:r>
    </w:p>
    <w:p w14:paraId="7A7CB850" w14:textId="77777777" w:rsidR="006E359D" w:rsidRDefault="009B1D28">
      <w:pPr>
        <w:pBdr>
          <w:top w:val="nil"/>
          <w:left w:val="nil"/>
          <w:bottom w:val="nil"/>
          <w:right w:val="nil"/>
          <w:between w:val="nil"/>
        </w:pBdr>
        <w:spacing w:after="120"/>
        <w:ind w:left="1134" w:hanging="283"/>
        <w:jc w:val="both"/>
        <w:rPr>
          <w:rFonts w:ascii="Arial" w:eastAsia="Arial" w:hAnsi="Arial" w:cs="Arial"/>
          <w:color w:val="000000"/>
          <w:sz w:val="20"/>
          <w:szCs w:val="20"/>
        </w:rPr>
      </w:pPr>
      <w:r>
        <w:rPr>
          <w:rFonts w:ascii="Arial" w:eastAsia="Arial" w:hAnsi="Arial" w:cs="Arial"/>
          <w:color w:val="000000"/>
          <w:sz w:val="20"/>
          <w:szCs w:val="20"/>
        </w:rPr>
        <w:t xml:space="preserve">a) pokud Zpracovatel použije výstupy plnění k jinému než touto Smlouvou stanovenému účelu (např. ke komerčním účelům), </w:t>
      </w:r>
    </w:p>
    <w:p w14:paraId="1DB7D57E" w14:textId="77777777" w:rsidR="006E359D" w:rsidRDefault="009B1D28">
      <w:pPr>
        <w:pBdr>
          <w:top w:val="nil"/>
          <w:left w:val="nil"/>
          <w:bottom w:val="nil"/>
          <w:right w:val="nil"/>
          <w:between w:val="nil"/>
        </w:pBdr>
        <w:spacing w:after="120"/>
        <w:ind w:left="1134" w:hanging="283"/>
        <w:jc w:val="both"/>
        <w:rPr>
          <w:rFonts w:ascii="Arial" w:eastAsia="Arial" w:hAnsi="Arial" w:cs="Arial"/>
          <w:color w:val="000000"/>
          <w:sz w:val="20"/>
          <w:szCs w:val="20"/>
        </w:rPr>
      </w:pPr>
      <w:r>
        <w:rPr>
          <w:rFonts w:ascii="Arial" w:eastAsia="Arial" w:hAnsi="Arial" w:cs="Arial"/>
          <w:color w:val="000000"/>
          <w:sz w:val="20"/>
          <w:szCs w:val="20"/>
        </w:rPr>
        <w:t>b) pokud Zpracovatel neumožní či jakkoliv zmaří Objednateli postupovat dle odstavce 5.6. této Smlouvy,</w:t>
      </w:r>
    </w:p>
    <w:p w14:paraId="30860323" w14:textId="77777777" w:rsidR="006E359D" w:rsidRDefault="009B1D28">
      <w:pPr>
        <w:pBdr>
          <w:top w:val="nil"/>
          <w:left w:val="nil"/>
          <w:bottom w:val="nil"/>
          <w:right w:val="nil"/>
          <w:between w:val="nil"/>
        </w:pBdr>
        <w:spacing w:after="120"/>
        <w:ind w:left="1134" w:hanging="283"/>
        <w:jc w:val="both"/>
        <w:rPr>
          <w:rFonts w:ascii="Arial" w:eastAsia="Arial" w:hAnsi="Arial" w:cs="Arial"/>
          <w:color w:val="000000"/>
          <w:sz w:val="20"/>
          <w:szCs w:val="20"/>
        </w:rPr>
      </w:pPr>
      <w:r>
        <w:rPr>
          <w:rFonts w:ascii="Arial" w:eastAsia="Arial" w:hAnsi="Arial" w:cs="Arial"/>
          <w:color w:val="000000"/>
          <w:sz w:val="20"/>
          <w:szCs w:val="20"/>
        </w:rPr>
        <w:t>c) pokud Zpracovatel postupuje v rozporu s odstavcem 5.4. této Smlouvy</w:t>
      </w:r>
    </w:p>
    <w:p w14:paraId="203330AE"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Kterákoliv ze smluvních stran je dále oprávněna odstoupit od této Smlouvy za podmínek stanovených zákonem č. 89/2012 Sb., občanský zákoník.</w:t>
      </w:r>
    </w:p>
    <w:p w14:paraId="66DF4A51"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je oprávněn tuto Smlouvu vypovědět i bez uvedení důvodu. Výpovědní lhůta činí </w:t>
      </w:r>
      <w:r>
        <w:rPr>
          <w:rFonts w:ascii="Arial" w:eastAsia="Arial" w:hAnsi="Arial" w:cs="Arial"/>
          <w:color w:val="000000"/>
          <w:sz w:val="20"/>
          <w:szCs w:val="20"/>
          <w:u w:val="single"/>
        </w:rPr>
        <w:t>1 měsíc</w:t>
      </w:r>
      <w:r>
        <w:rPr>
          <w:rFonts w:ascii="Arial" w:eastAsia="Arial" w:hAnsi="Arial" w:cs="Arial"/>
          <w:color w:val="000000"/>
          <w:sz w:val="20"/>
          <w:szCs w:val="20"/>
        </w:rPr>
        <w:t xml:space="preserve"> a počíná běžet dnem následujícím po dni prokazatelného doručení písemné výpovědi 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w:t>
      </w:r>
    </w:p>
    <w:p w14:paraId="1F32EDBA"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 případě ukončení této Smlouvy před uplynutím sjednané doby trvání může Objednatel požadovat, že určité dílčí plnění nebude dokončeno nebo že s jeho plněním Zpracovatel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na úhradu nákladů dle předchozí věty však Zpracovateli nevzniká v případě, že k ukončení této Smlouvy před uplynutím stranami ujednané doby jejího trvání, byť ze strany Objednatele došlo z důvodů stojících na straně Zpracovatele.</w:t>
      </w:r>
    </w:p>
    <w:p w14:paraId="7FD6CC69"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Smluvní strany se zavazují si poskytnout v případě předčasného ukončení této Smlouvy nezbytnou součinnost tak, aby ani jedné z nich nevznikla škoda či újma.</w:t>
      </w:r>
    </w:p>
    <w:p w14:paraId="6E6CE229" w14:textId="77777777" w:rsidR="006E359D" w:rsidRDefault="009B1D28">
      <w:pPr>
        <w:pStyle w:val="Nadpis1"/>
        <w:numPr>
          <w:ilvl w:val="0"/>
          <w:numId w:val="9"/>
        </w:numPr>
        <w:tabs>
          <w:tab w:val="left" w:pos="454"/>
        </w:tabs>
        <w:spacing w:after="240"/>
        <w:jc w:val="center"/>
        <w:rPr>
          <w:rFonts w:ascii="Arial" w:eastAsia="Arial" w:hAnsi="Arial" w:cs="Arial"/>
          <w:sz w:val="20"/>
        </w:rPr>
      </w:pPr>
      <w:r>
        <w:rPr>
          <w:rFonts w:ascii="Arial" w:eastAsia="Arial" w:hAnsi="Arial" w:cs="Arial"/>
          <w:sz w:val="20"/>
        </w:rPr>
        <w:t>Rozhodné právo</w:t>
      </w:r>
    </w:p>
    <w:p w14:paraId="622D2F36"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Vztahy mezi smluvními stranami touto Smlouvou výslovně neupravené se řídí platnými a účinnými právními předpisy, zejména zákonem č. 89/2012 Sb., občanský zákoník.</w:t>
      </w:r>
    </w:p>
    <w:p w14:paraId="7A790F3E"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Spory vzniklé ze závazkových vztahů založených touto Smlouvou, budou rozhodovat věcně a místně příslušné soudy České republiky. </w:t>
      </w:r>
    </w:p>
    <w:p w14:paraId="114ABB8E" w14:textId="77777777" w:rsidR="006E359D" w:rsidRDefault="009B1D28">
      <w:pPr>
        <w:pStyle w:val="Nadpis1"/>
        <w:numPr>
          <w:ilvl w:val="0"/>
          <w:numId w:val="9"/>
        </w:numPr>
        <w:tabs>
          <w:tab w:val="left" w:pos="454"/>
        </w:tabs>
        <w:spacing w:after="240"/>
        <w:jc w:val="center"/>
        <w:rPr>
          <w:rFonts w:ascii="Arial" w:eastAsia="Arial" w:hAnsi="Arial" w:cs="Arial"/>
          <w:sz w:val="20"/>
        </w:rPr>
      </w:pPr>
      <w:r>
        <w:rPr>
          <w:rFonts w:ascii="Arial" w:eastAsia="Arial" w:hAnsi="Arial" w:cs="Arial"/>
          <w:sz w:val="20"/>
        </w:rPr>
        <w:t>Závěrečná ustanovení</w:t>
      </w:r>
    </w:p>
    <w:p w14:paraId="7B09FE24"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496796D3"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2611FE49"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Tato Smlouva je sepsána v elektronické podobě, ve formátu, který umožňuje elektronický certifikovaný podpis, přičemž elektronické kopie souboru s podpisy obou stran se považují </w:t>
      </w:r>
      <w:r>
        <w:rPr>
          <w:rFonts w:ascii="Arial" w:eastAsia="Arial" w:hAnsi="Arial" w:cs="Arial"/>
          <w:color w:val="000000"/>
          <w:sz w:val="20"/>
          <w:szCs w:val="20"/>
        </w:rPr>
        <w:br/>
        <w:t>za rovnocenné originály. Každá ze smluvních stran obdrží 1 kopii elektronického souboru se Smlouvou s podpisem obou stran s platností originálu.</w:t>
      </w:r>
    </w:p>
    <w:p w14:paraId="1B5503FF"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podpisem této Smlouvy vzal na vědomí, že Smlouva bude uveřejněna na profilu Objednatele a v registru smluv.</w:t>
      </w:r>
    </w:p>
    <w:p w14:paraId="2787206F"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5F41127" w14:textId="77777777" w:rsidR="006E359D" w:rsidRDefault="009B1D28">
      <w:pPr>
        <w:numPr>
          <w:ilvl w:val="1"/>
          <w:numId w:val="9"/>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Nedílné součásti této Smlouvy tvoří tyto přílohy:</w:t>
      </w:r>
    </w:p>
    <w:p w14:paraId="7F42BBF0" w14:textId="77777777" w:rsidR="006E359D" w:rsidRDefault="009B1D28">
      <w:pPr>
        <w:spacing w:before="120" w:after="120"/>
        <w:ind w:left="1985" w:hanging="1418"/>
        <w:jc w:val="both"/>
        <w:rPr>
          <w:rFonts w:ascii="Arial" w:eastAsia="Arial" w:hAnsi="Arial" w:cs="Arial"/>
          <w:sz w:val="20"/>
          <w:szCs w:val="20"/>
        </w:rPr>
      </w:pPr>
      <w:r>
        <w:rPr>
          <w:rFonts w:ascii="Arial" w:eastAsia="Arial" w:hAnsi="Arial" w:cs="Arial"/>
          <w:sz w:val="20"/>
          <w:szCs w:val="20"/>
        </w:rPr>
        <w:t xml:space="preserve">Příloha č. 1: </w:t>
      </w:r>
      <w:r>
        <w:rPr>
          <w:rFonts w:ascii="Arial" w:eastAsia="Arial" w:hAnsi="Arial" w:cs="Arial"/>
          <w:sz w:val="20"/>
          <w:szCs w:val="20"/>
        </w:rPr>
        <w:tab/>
        <w:t>Etický kodex</w:t>
      </w:r>
    </w:p>
    <w:p w14:paraId="3E30DDEC" w14:textId="77777777" w:rsidR="006E359D" w:rsidRDefault="009B1D28">
      <w:pPr>
        <w:spacing w:before="120" w:after="120"/>
        <w:ind w:left="1985" w:hanging="1418"/>
        <w:jc w:val="both"/>
        <w:rPr>
          <w:rFonts w:ascii="Arial" w:eastAsia="Arial" w:hAnsi="Arial" w:cs="Arial"/>
          <w:sz w:val="20"/>
          <w:szCs w:val="20"/>
        </w:rPr>
      </w:pPr>
      <w:r>
        <w:rPr>
          <w:rFonts w:ascii="Arial" w:eastAsia="Arial" w:hAnsi="Arial" w:cs="Arial"/>
          <w:sz w:val="20"/>
          <w:szCs w:val="20"/>
        </w:rPr>
        <w:t>Příloha č. 2:</w:t>
      </w:r>
      <w:r>
        <w:rPr>
          <w:rFonts w:ascii="Arial" w:eastAsia="Arial" w:hAnsi="Arial" w:cs="Arial"/>
          <w:sz w:val="20"/>
          <w:szCs w:val="20"/>
        </w:rPr>
        <w:tab/>
        <w:t xml:space="preserve">Specifikace předmětu plnění </w:t>
      </w:r>
    </w:p>
    <w:p w14:paraId="73BE8AC3" w14:textId="77777777" w:rsidR="006E359D" w:rsidRDefault="009B1D28">
      <w:pPr>
        <w:spacing w:before="120" w:after="120"/>
        <w:ind w:left="567"/>
        <w:jc w:val="both"/>
        <w:rPr>
          <w:rFonts w:ascii="Arial" w:eastAsia="Arial" w:hAnsi="Arial" w:cs="Arial"/>
          <w:sz w:val="20"/>
          <w:szCs w:val="20"/>
        </w:rPr>
      </w:pPr>
      <w:r>
        <w:rPr>
          <w:rFonts w:ascii="Arial" w:eastAsia="Arial" w:hAnsi="Arial" w:cs="Arial"/>
          <w:sz w:val="20"/>
          <w:szCs w:val="20"/>
        </w:rPr>
        <w:t xml:space="preserve">Příloha č. </w:t>
      </w:r>
      <w:proofErr w:type="gramStart"/>
      <w:r>
        <w:rPr>
          <w:rFonts w:ascii="Arial" w:eastAsia="Arial" w:hAnsi="Arial" w:cs="Arial"/>
          <w:sz w:val="20"/>
          <w:szCs w:val="20"/>
        </w:rPr>
        <w:t xml:space="preserve">3:   </w:t>
      </w:r>
      <w:proofErr w:type="gramEnd"/>
      <w:r>
        <w:rPr>
          <w:rFonts w:ascii="Arial" w:eastAsia="Arial" w:hAnsi="Arial" w:cs="Arial"/>
          <w:sz w:val="20"/>
          <w:szCs w:val="20"/>
        </w:rPr>
        <w:t xml:space="preserve">   Popis realizace předmětu plnění </w:t>
      </w:r>
    </w:p>
    <w:p w14:paraId="6FDE477C" w14:textId="77777777" w:rsidR="006E359D" w:rsidRDefault="009B1D28">
      <w:pPr>
        <w:spacing w:before="120" w:after="120"/>
        <w:ind w:left="1985" w:hanging="1418"/>
        <w:jc w:val="both"/>
        <w:rPr>
          <w:rFonts w:ascii="Arial" w:eastAsia="Arial" w:hAnsi="Arial" w:cs="Arial"/>
          <w:sz w:val="20"/>
          <w:szCs w:val="20"/>
        </w:rPr>
      </w:pPr>
      <w:r>
        <w:rPr>
          <w:rFonts w:ascii="Arial" w:eastAsia="Arial" w:hAnsi="Arial" w:cs="Arial"/>
          <w:sz w:val="20"/>
          <w:szCs w:val="20"/>
        </w:rPr>
        <w:t xml:space="preserve">Příloha č. 4: </w:t>
      </w:r>
      <w:r>
        <w:rPr>
          <w:rFonts w:ascii="Arial" w:eastAsia="Arial" w:hAnsi="Arial" w:cs="Arial"/>
          <w:sz w:val="20"/>
          <w:szCs w:val="20"/>
        </w:rPr>
        <w:tab/>
        <w:t xml:space="preserve">Realizační tým </w:t>
      </w:r>
    </w:p>
    <w:p w14:paraId="3D694893" w14:textId="77777777" w:rsidR="006E359D" w:rsidRDefault="009B1D28">
      <w:pPr>
        <w:spacing w:before="120" w:after="120"/>
        <w:ind w:left="1985" w:hanging="1418"/>
        <w:jc w:val="both"/>
        <w:rPr>
          <w:rFonts w:ascii="Arial" w:eastAsia="Arial" w:hAnsi="Arial" w:cs="Arial"/>
          <w:sz w:val="20"/>
          <w:szCs w:val="20"/>
        </w:rPr>
      </w:pPr>
      <w:r>
        <w:rPr>
          <w:rFonts w:ascii="Arial" w:eastAsia="Arial" w:hAnsi="Arial" w:cs="Arial"/>
          <w:sz w:val="20"/>
          <w:szCs w:val="20"/>
        </w:rPr>
        <w:t xml:space="preserve">Příloha č. 5: </w:t>
      </w:r>
      <w:r>
        <w:rPr>
          <w:rFonts w:ascii="Arial" w:eastAsia="Arial" w:hAnsi="Arial" w:cs="Arial"/>
          <w:sz w:val="20"/>
          <w:szCs w:val="20"/>
        </w:rPr>
        <w:tab/>
        <w:t xml:space="preserve">Seznam poddodavatelů </w:t>
      </w:r>
    </w:p>
    <w:tbl>
      <w:tblPr>
        <w:tblStyle w:val="a"/>
        <w:tblW w:w="9503" w:type="dxa"/>
        <w:tblInd w:w="0" w:type="dxa"/>
        <w:tblLayout w:type="fixed"/>
        <w:tblLook w:val="0000" w:firstRow="0" w:lastRow="0" w:firstColumn="0" w:lastColumn="0" w:noHBand="0" w:noVBand="0"/>
      </w:tblPr>
      <w:tblGrid>
        <w:gridCol w:w="4388"/>
        <w:gridCol w:w="5115"/>
      </w:tblGrid>
      <w:tr w:rsidR="006E359D" w14:paraId="255A8098" w14:textId="77777777">
        <w:trPr>
          <w:trHeight w:val="1368"/>
        </w:trPr>
        <w:tc>
          <w:tcPr>
            <w:tcW w:w="4388" w:type="dxa"/>
          </w:tcPr>
          <w:p w14:paraId="0B11F1DE" w14:textId="77777777" w:rsidR="006E359D" w:rsidRDefault="009B1D28">
            <w:pPr>
              <w:jc w:val="center"/>
              <w:rPr>
                <w:rFonts w:ascii="Arial" w:eastAsia="Arial" w:hAnsi="Arial" w:cs="Arial"/>
                <w:sz w:val="20"/>
                <w:szCs w:val="20"/>
              </w:rPr>
            </w:pPr>
            <w:r>
              <w:rPr>
                <w:rFonts w:ascii="Arial" w:eastAsia="Arial" w:hAnsi="Arial" w:cs="Arial"/>
                <w:b/>
                <w:sz w:val="20"/>
                <w:szCs w:val="20"/>
              </w:rPr>
              <w:t>Zpracovatel</w:t>
            </w:r>
          </w:p>
          <w:p w14:paraId="4A78898B" w14:textId="77777777" w:rsidR="006E359D" w:rsidRDefault="009B1D28">
            <w:pPr>
              <w:jc w:val="center"/>
              <w:rPr>
                <w:rFonts w:ascii="Arial" w:eastAsia="Arial" w:hAnsi="Arial" w:cs="Arial"/>
                <w:sz w:val="20"/>
                <w:szCs w:val="20"/>
              </w:rPr>
            </w:pPr>
            <w:r>
              <w:rPr>
                <w:rFonts w:ascii="Arial" w:eastAsia="Arial" w:hAnsi="Arial" w:cs="Arial"/>
                <w:sz w:val="20"/>
                <w:szCs w:val="20"/>
              </w:rPr>
              <w:t xml:space="preserve">V </w:t>
            </w:r>
            <w:sdt>
              <w:sdtPr>
                <w:tag w:val="goog_rdk_3"/>
                <w:id w:val="1457534643"/>
              </w:sdtPr>
              <w:sdtEndPr/>
              <w:sdtContent>
                <w:r>
                  <w:rPr>
                    <w:rFonts w:ascii="Arial" w:eastAsia="Arial" w:hAnsi="Arial" w:cs="Arial"/>
                    <w:sz w:val="20"/>
                    <w:szCs w:val="20"/>
                  </w:rPr>
                  <w:t>Praze</w:t>
                </w:r>
              </w:sdtContent>
            </w:sdt>
            <w:r>
              <w:rPr>
                <w:rFonts w:ascii="Arial" w:eastAsia="Arial" w:hAnsi="Arial" w:cs="Arial"/>
                <w:sz w:val="20"/>
                <w:szCs w:val="20"/>
              </w:rPr>
              <w:t xml:space="preserve"> dne dle elektronického podpisu</w:t>
            </w:r>
          </w:p>
          <w:p w14:paraId="0D4186AC" w14:textId="77777777" w:rsidR="006E359D" w:rsidRDefault="006E359D">
            <w:pPr>
              <w:rPr>
                <w:rFonts w:ascii="Arial" w:eastAsia="Arial" w:hAnsi="Arial" w:cs="Arial"/>
                <w:sz w:val="20"/>
                <w:szCs w:val="20"/>
              </w:rPr>
            </w:pPr>
          </w:p>
        </w:tc>
        <w:tc>
          <w:tcPr>
            <w:tcW w:w="5115" w:type="dxa"/>
          </w:tcPr>
          <w:p w14:paraId="25D81A8D" w14:textId="77777777" w:rsidR="006E359D" w:rsidRDefault="009B1D28">
            <w:pPr>
              <w:jc w:val="center"/>
              <w:rPr>
                <w:rFonts w:ascii="Arial" w:eastAsia="Arial" w:hAnsi="Arial" w:cs="Arial"/>
                <w:sz w:val="20"/>
                <w:szCs w:val="20"/>
              </w:rPr>
            </w:pPr>
            <w:r>
              <w:rPr>
                <w:rFonts w:ascii="Arial" w:eastAsia="Arial" w:hAnsi="Arial" w:cs="Arial"/>
                <w:b/>
                <w:sz w:val="20"/>
                <w:szCs w:val="20"/>
              </w:rPr>
              <w:t>Objednatel</w:t>
            </w:r>
          </w:p>
          <w:p w14:paraId="6E7F5130" w14:textId="77777777" w:rsidR="006E359D" w:rsidRDefault="009B1D28">
            <w:pPr>
              <w:jc w:val="center"/>
              <w:rPr>
                <w:rFonts w:ascii="Arial" w:eastAsia="Arial" w:hAnsi="Arial" w:cs="Arial"/>
                <w:sz w:val="20"/>
                <w:szCs w:val="20"/>
              </w:rPr>
            </w:pPr>
            <w:r>
              <w:rPr>
                <w:rFonts w:ascii="Arial" w:eastAsia="Arial" w:hAnsi="Arial" w:cs="Arial"/>
                <w:sz w:val="20"/>
                <w:szCs w:val="20"/>
              </w:rPr>
              <w:t>V Praze dne dle elektronického podpisu</w:t>
            </w:r>
          </w:p>
        </w:tc>
      </w:tr>
      <w:tr w:rsidR="006E359D" w14:paraId="376652C0" w14:textId="77777777">
        <w:trPr>
          <w:trHeight w:val="1682"/>
        </w:trPr>
        <w:tc>
          <w:tcPr>
            <w:tcW w:w="4388" w:type="dxa"/>
          </w:tcPr>
          <w:p w14:paraId="1C041F43" w14:textId="77777777" w:rsidR="006E359D" w:rsidRDefault="009B1D28">
            <w:pPr>
              <w:jc w:val="center"/>
              <w:rPr>
                <w:rFonts w:ascii="Arial" w:eastAsia="Arial" w:hAnsi="Arial" w:cs="Arial"/>
                <w:sz w:val="20"/>
                <w:szCs w:val="20"/>
              </w:rPr>
            </w:pPr>
            <w:r>
              <w:rPr>
                <w:rFonts w:ascii="Arial" w:eastAsia="Arial" w:hAnsi="Arial" w:cs="Arial"/>
                <w:sz w:val="20"/>
                <w:szCs w:val="20"/>
              </w:rPr>
              <w:t>...........................................................</w:t>
            </w:r>
          </w:p>
          <w:p w14:paraId="65301139" w14:textId="77777777" w:rsidR="006E359D" w:rsidRDefault="009B1D28">
            <w:pPr>
              <w:tabs>
                <w:tab w:val="left" w:pos="5103"/>
              </w:tabs>
              <w:jc w:val="center"/>
              <w:rPr>
                <w:rFonts w:ascii="Arial" w:eastAsia="Arial" w:hAnsi="Arial" w:cs="Arial"/>
                <w:b/>
                <w:sz w:val="20"/>
                <w:szCs w:val="20"/>
              </w:rPr>
            </w:pPr>
            <w:r>
              <w:rPr>
                <w:rFonts w:ascii="Arial" w:eastAsia="Arial" w:hAnsi="Arial" w:cs="Arial"/>
                <w:b/>
                <w:sz w:val="20"/>
                <w:szCs w:val="20"/>
              </w:rPr>
              <w:t>Mgr. Jan Kleňha</w:t>
            </w:r>
          </w:p>
          <w:p w14:paraId="0011A748" w14:textId="77777777" w:rsidR="006E359D" w:rsidRDefault="009B1D28">
            <w:pPr>
              <w:tabs>
                <w:tab w:val="left" w:pos="5103"/>
              </w:tabs>
              <w:jc w:val="center"/>
              <w:rPr>
                <w:rFonts w:ascii="Arial" w:eastAsia="Arial" w:hAnsi="Arial" w:cs="Arial"/>
                <w:sz w:val="20"/>
                <w:szCs w:val="20"/>
              </w:rPr>
            </w:pPr>
            <w:r>
              <w:rPr>
                <w:rFonts w:ascii="Arial" w:eastAsia="Arial" w:hAnsi="Arial" w:cs="Arial"/>
                <w:sz w:val="20"/>
                <w:szCs w:val="20"/>
              </w:rPr>
              <w:t>ředitel</w:t>
            </w:r>
          </w:p>
          <w:p w14:paraId="404B1407" w14:textId="77777777" w:rsidR="006E359D" w:rsidRDefault="009B1D28">
            <w:pPr>
              <w:spacing w:after="120"/>
              <w:jc w:val="center"/>
              <w:rPr>
                <w:rFonts w:ascii="Arial" w:eastAsia="Arial" w:hAnsi="Arial" w:cs="Arial"/>
                <w:sz w:val="20"/>
                <w:szCs w:val="20"/>
              </w:rPr>
            </w:pPr>
            <w:r>
              <w:rPr>
                <w:rFonts w:ascii="Arial" w:eastAsia="Arial" w:hAnsi="Arial" w:cs="Arial"/>
                <w:sz w:val="20"/>
                <w:szCs w:val="20"/>
              </w:rPr>
              <w:t xml:space="preserve">České priority, </w:t>
            </w:r>
            <w:proofErr w:type="spellStart"/>
            <w:r>
              <w:rPr>
                <w:rFonts w:ascii="Arial" w:eastAsia="Arial" w:hAnsi="Arial" w:cs="Arial"/>
                <w:sz w:val="20"/>
                <w:szCs w:val="20"/>
              </w:rPr>
              <w:t>z.ú</w:t>
            </w:r>
            <w:proofErr w:type="spellEnd"/>
            <w:r>
              <w:rPr>
                <w:rFonts w:ascii="Arial" w:eastAsia="Arial" w:hAnsi="Arial" w:cs="Arial"/>
                <w:sz w:val="20"/>
                <w:szCs w:val="20"/>
              </w:rPr>
              <w:t>.</w:t>
            </w:r>
          </w:p>
        </w:tc>
        <w:tc>
          <w:tcPr>
            <w:tcW w:w="5115" w:type="dxa"/>
          </w:tcPr>
          <w:p w14:paraId="1B4C2418" w14:textId="77777777" w:rsidR="006E359D" w:rsidRDefault="009B1D28">
            <w:pPr>
              <w:jc w:val="center"/>
              <w:rPr>
                <w:rFonts w:ascii="Arial" w:eastAsia="Arial" w:hAnsi="Arial" w:cs="Arial"/>
                <w:sz w:val="20"/>
                <w:szCs w:val="20"/>
              </w:rPr>
            </w:pPr>
            <w:r>
              <w:rPr>
                <w:rFonts w:ascii="Arial" w:eastAsia="Arial" w:hAnsi="Arial" w:cs="Arial"/>
                <w:sz w:val="20"/>
                <w:szCs w:val="20"/>
              </w:rPr>
              <w:t>.......................................................</w:t>
            </w:r>
          </w:p>
          <w:p w14:paraId="53115BC6" w14:textId="77777777" w:rsidR="006E359D" w:rsidRDefault="009B1D28">
            <w:pPr>
              <w:jc w:val="center"/>
              <w:rPr>
                <w:rFonts w:ascii="Arial" w:eastAsia="Arial" w:hAnsi="Arial" w:cs="Arial"/>
                <w:b/>
                <w:sz w:val="20"/>
                <w:szCs w:val="20"/>
              </w:rPr>
            </w:pPr>
            <w:r>
              <w:rPr>
                <w:rFonts w:ascii="Arial" w:eastAsia="Arial" w:hAnsi="Arial" w:cs="Arial"/>
                <w:b/>
                <w:sz w:val="20"/>
                <w:szCs w:val="20"/>
              </w:rPr>
              <w:t>Mgr. Martin Dytrych</w:t>
            </w:r>
          </w:p>
          <w:p w14:paraId="5BFA9777" w14:textId="77777777" w:rsidR="006E359D" w:rsidRDefault="009B1D28">
            <w:pPr>
              <w:jc w:val="center"/>
              <w:rPr>
                <w:rFonts w:ascii="Arial" w:eastAsia="Arial" w:hAnsi="Arial" w:cs="Arial"/>
                <w:sz w:val="20"/>
                <w:szCs w:val="20"/>
              </w:rPr>
            </w:pPr>
            <w:r>
              <w:rPr>
                <w:rFonts w:ascii="Arial" w:eastAsia="Arial" w:hAnsi="Arial" w:cs="Arial"/>
                <w:sz w:val="20"/>
                <w:szCs w:val="20"/>
              </w:rPr>
              <w:t xml:space="preserve">vedoucí oddělení evaluací sekce evropských fondů </w:t>
            </w:r>
          </w:p>
          <w:p w14:paraId="37919695" w14:textId="77777777" w:rsidR="006E359D" w:rsidRDefault="009B1D28">
            <w:pPr>
              <w:jc w:val="center"/>
              <w:rPr>
                <w:rFonts w:ascii="Arial" w:eastAsia="Arial" w:hAnsi="Arial" w:cs="Arial"/>
                <w:sz w:val="20"/>
                <w:szCs w:val="20"/>
              </w:rPr>
            </w:pPr>
            <w:r>
              <w:rPr>
                <w:rFonts w:ascii="Arial" w:eastAsia="Arial" w:hAnsi="Arial" w:cs="Arial"/>
                <w:sz w:val="20"/>
                <w:szCs w:val="20"/>
              </w:rPr>
              <w:t>Česká republika – Ministerstvo práce</w:t>
            </w:r>
          </w:p>
          <w:p w14:paraId="674AB09D" w14:textId="77777777" w:rsidR="006E359D" w:rsidRDefault="009B1D28">
            <w:pPr>
              <w:jc w:val="center"/>
              <w:rPr>
                <w:rFonts w:ascii="Arial" w:eastAsia="Arial" w:hAnsi="Arial" w:cs="Arial"/>
                <w:sz w:val="20"/>
                <w:szCs w:val="20"/>
              </w:rPr>
            </w:pPr>
            <w:r>
              <w:rPr>
                <w:rFonts w:ascii="Arial" w:eastAsia="Arial" w:hAnsi="Arial" w:cs="Arial"/>
                <w:sz w:val="20"/>
                <w:szCs w:val="20"/>
              </w:rPr>
              <w:t>a sociálních věcí</w:t>
            </w:r>
          </w:p>
        </w:tc>
      </w:tr>
    </w:tbl>
    <w:p w14:paraId="6B814FD0" w14:textId="77777777" w:rsidR="006E359D" w:rsidRDefault="006E359D">
      <w:pPr>
        <w:rPr>
          <w:rFonts w:ascii="Arial" w:eastAsia="Arial" w:hAnsi="Arial" w:cs="Arial"/>
          <w:sz w:val="20"/>
          <w:szCs w:val="20"/>
        </w:rPr>
      </w:pPr>
    </w:p>
    <w:p w14:paraId="5ADFC404" w14:textId="77777777" w:rsidR="009B1D28" w:rsidRDefault="009B1D28">
      <w:pPr>
        <w:rPr>
          <w:rFonts w:ascii="Arial" w:eastAsia="Arial" w:hAnsi="Arial" w:cs="Arial"/>
          <w:sz w:val="20"/>
          <w:szCs w:val="20"/>
        </w:rPr>
      </w:pPr>
    </w:p>
    <w:p w14:paraId="556FA531" w14:textId="77777777" w:rsidR="009B1D28" w:rsidRDefault="009B1D28">
      <w:pPr>
        <w:rPr>
          <w:rFonts w:ascii="Arial" w:eastAsia="Arial" w:hAnsi="Arial" w:cs="Arial"/>
          <w:sz w:val="20"/>
          <w:szCs w:val="20"/>
        </w:rPr>
      </w:pPr>
    </w:p>
    <w:p w14:paraId="37213D8A" w14:textId="77777777" w:rsidR="009B1D28" w:rsidRDefault="009B1D28">
      <w:pPr>
        <w:rPr>
          <w:rFonts w:ascii="Arial" w:eastAsia="Arial" w:hAnsi="Arial" w:cs="Arial"/>
          <w:sz w:val="20"/>
          <w:szCs w:val="20"/>
        </w:rPr>
      </w:pPr>
    </w:p>
    <w:p w14:paraId="1142B0D3" w14:textId="77777777" w:rsidR="009B1D28" w:rsidRDefault="009B1D28">
      <w:pPr>
        <w:rPr>
          <w:rFonts w:ascii="Arial" w:eastAsia="Arial" w:hAnsi="Arial" w:cs="Arial"/>
          <w:sz w:val="20"/>
          <w:szCs w:val="20"/>
        </w:rPr>
      </w:pPr>
    </w:p>
    <w:p w14:paraId="46865263" w14:textId="77777777" w:rsidR="009B1D28" w:rsidRDefault="009B1D28">
      <w:pPr>
        <w:rPr>
          <w:rFonts w:ascii="Arial" w:eastAsia="Arial" w:hAnsi="Arial" w:cs="Arial"/>
          <w:sz w:val="20"/>
          <w:szCs w:val="20"/>
        </w:rPr>
      </w:pPr>
    </w:p>
    <w:p w14:paraId="2A138199" w14:textId="77777777" w:rsidR="009B1D28" w:rsidRDefault="009B1D28">
      <w:pPr>
        <w:rPr>
          <w:rFonts w:ascii="Arial" w:eastAsia="Arial" w:hAnsi="Arial" w:cs="Arial"/>
          <w:sz w:val="20"/>
          <w:szCs w:val="20"/>
        </w:rPr>
      </w:pPr>
    </w:p>
    <w:p w14:paraId="495F980F" w14:textId="77777777" w:rsidR="009B1D28" w:rsidRDefault="009B1D28">
      <w:pPr>
        <w:rPr>
          <w:rFonts w:ascii="Arial" w:eastAsia="Arial" w:hAnsi="Arial" w:cs="Arial"/>
          <w:sz w:val="20"/>
          <w:szCs w:val="20"/>
        </w:rPr>
      </w:pPr>
    </w:p>
    <w:p w14:paraId="73594A3E" w14:textId="77777777" w:rsidR="009B1D28" w:rsidRDefault="009B1D28">
      <w:pPr>
        <w:rPr>
          <w:rFonts w:ascii="Arial" w:eastAsia="Arial" w:hAnsi="Arial" w:cs="Arial"/>
          <w:sz w:val="20"/>
          <w:szCs w:val="20"/>
        </w:rPr>
      </w:pPr>
    </w:p>
    <w:p w14:paraId="438221B6" w14:textId="77777777" w:rsidR="009B1D28" w:rsidRDefault="009B1D28">
      <w:pPr>
        <w:rPr>
          <w:rFonts w:ascii="Arial" w:eastAsia="Arial" w:hAnsi="Arial" w:cs="Arial"/>
          <w:sz w:val="20"/>
          <w:szCs w:val="20"/>
        </w:rPr>
      </w:pPr>
    </w:p>
    <w:p w14:paraId="72542040" w14:textId="77777777" w:rsidR="009B1D28" w:rsidRDefault="009B1D28">
      <w:pPr>
        <w:rPr>
          <w:rFonts w:ascii="Arial" w:eastAsia="Arial" w:hAnsi="Arial" w:cs="Arial"/>
          <w:sz w:val="20"/>
          <w:szCs w:val="20"/>
        </w:rPr>
      </w:pPr>
    </w:p>
    <w:p w14:paraId="20662EFD" w14:textId="77777777" w:rsidR="009B1D28" w:rsidRDefault="009B1D28">
      <w:pPr>
        <w:rPr>
          <w:rFonts w:ascii="Arial" w:eastAsia="Arial" w:hAnsi="Arial" w:cs="Arial"/>
          <w:sz w:val="20"/>
          <w:szCs w:val="20"/>
        </w:rPr>
      </w:pPr>
    </w:p>
    <w:p w14:paraId="0B255D94" w14:textId="77777777" w:rsidR="009B1D28" w:rsidRDefault="009B1D28">
      <w:pPr>
        <w:rPr>
          <w:rFonts w:ascii="Arial" w:eastAsia="Arial" w:hAnsi="Arial" w:cs="Arial"/>
          <w:sz w:val="20"/>
          <w:szCs w:val="20"/>
        </w:rPr>
      </w:pPr>
    </w:p>
    <w:p w14:paraId="3383BD0D" w14:textId="77777777" w:rsidR="009B1D28" w:rsidRDefault="009B1D28">
      <w:pPr>
        <w:rPr>
          <w:rFonts w:ascii="Arial" w:eastAsia="Arial" w:hAnsi="Arial" w:cs="Arial"/>
          <w:sz w:val="20"/>
          <w:szCs w:val="20"/>
        </w:rPr>
      </w:pPr>
    </w:p>
    <w:p w14:paraId="5FF85DBC" w14:textId="77777777" w:rsidR="009B1D28" w:rsidRDefault="009B1D28">
      <w:pPr>
        <w:rPr>
          <w:rFonts w:ascii="Arial" w:eastAsia="Arial" w:hAnsi="Arial" w:cs="Arial"/>
          <w:sz w:val="20"/>
          <w:szCs w:val="20"/>
        </w:rPr>
      </w:pPr>
    </w:p>
    <w:p w14:paraId="5630D01C" w14:textId="77777777" w:rsidR="009B1D28" w:rsidRDefault="009B1D28">
      <w:pPr>
        <w:rPr>
          <w:rFonts w:ascii="Arial" w:eastAsia="Arial" w:hAnsi="Arial" w:cs="Arial"/>
          <w:sz w:val="20"/>
          <w:szCs w:val="20"/>
        </w:rPr>
      </w:pPr>
    </w:p>
    <w:p w14:paraId="29ACA1B5" w14:textId="77777777" w:rsidR="009B1D28" w:rsidRDefault="009B1D28">
      <w:pPr>
        <w:rPr>
          <w:rFonts w:ascii="Arial" w:eastAsia="Arial" w:hAnsi="Arial" w:cs="Arial"/>
          <w:sz w:val="20"/>
          <w:szCs w:val="20"/>
        </w:rPr>
      </w:pPr>
    </w:p>
    <w:p w14:paraId="5EC466EE" w14:textId="77777777" w:rsidR="009B1D28" w:rsidRDefault="009B1D28">
      <w:pPr>
        <w:rPr>
          <w:rFonts w:ascii="Arial" w:eastAsia="Arial" w:hAnsi="Arial" w:cs="Arial"/>
          <w:sz w:val="20"/>
          <w:szCs w:val="20"/>
        </w:rPr>
      </w:pPr>
    </w:p>
    <w:p w14:paraId="2FADB1EC" w14:textId="77777777" w:rsidR="009B1D28" w:rsidRDefault="009B1D28">
      <w:pPr>
        <w:rPr>
          <w:rFonts w:ascii="Arial" w:eastAsia="Arial" w:hAnsi="Arial" w:cs="Arial"/>
          <w:sz w:val="20"/>
          <w:szCs w:val="20"/>
        </w:rPr>
      </w:pPr>
    </w:p>
    <w:p w14:paraId="358F6F12" w14:textId="77777777" w:rsidR="009B1D28" w:rsidRDefault="009B1D28">
      <w:pPr>
        <w:rPr>
          <w:rFonts w:ascii="Arial" w:eastAsia="Arial" w:hAnsi="Arial" w:cs="Arial"/>
          <w:sz w:val="20"/>
          <w:szCs w:val="20"/>
        </w:rPr>
      </w:pPr>
    </w:p>
    <w:p w14:paraId="5AA4D230" w14:textId="77777777" w:rsidR="009B1D28" w:rsidRDefault="009B1D28">
      <w:pPr>
        <w:rPr>
          <w:rFonts w:ascii="Arial" w:eastAsia="Arial" w:hAnsi="Arial" w:cs="Arial"/>
          <w:sz w:val="20"/>
          <w:szCs w:val="20"/>
        </w:rPr>
      </w:pPr>
    </w:p>
    <w:p w14:paraId="002074AD" w14:textId="77777777" w:rsidR="009B1D28" w:rsidRDefault="009B1D28">
      <w:pPr>
        <w:rPr>
          <w:rFonts w:ascii="Arial" w:eastAsia="Arial" w:hAnsi="Arial" w:cs="Arial"/>
          <w:sz w:val="20"/>
          <w:szCs w:val="20"/>
        </w:rPr>
      </w:pPr>
    </w:p>
    <w:p w14:paraId="7828C046" w14:textId="6CC46614" w:rsidR="009B1D28" w:rsidRDefault="009B1D28">
      <w:pPr>
        <w:rPr>
          <w:rFonts w:ascii="Arial" w:eastAsia="Arial" w:hAnsi="Arial" w:cs="Arial"/>
          <w:sz w:val="20"/>
          <w:szCs w:val="20"/>
        </w:rPr>
      </w:pPr>
    </w:p>
    <w:p w14:paraId="458CFF4E" w14:textId="4D2B3EDC" w:rsidR="006A7875" w:rsidRDefault="006A7875">
      <w:pPr>
        <w:rPr>
          <w:rFonts w:ascii="Arial" w:eastAsia="Arial" w:hAnsi="Arial" w:cs="Arial"/>
          <w:sz w:val="20"/>
          <w:szCs w:val="20"/>
        </w:rPr>
      </w:pPr>
    </w:p>
    <w:p w14:paraId="0F174A80" w14:textId="0B91DC68" w:rsidR="006A7875" w:rsidRDefault="006A7875">
      <w:pPr>
        <w:rPr>
          <w:rFonts w:ascii="Arial" w:eastAsia="Arial" w:hAnsi="Arial" w:cs="Arial"/>
          <w:sz w:val="20"/>
          <w:szCs w:val="20"/>
        </w:rPr>
      </w:pPr>
    </w:p>
    <w:p w14:paraId="75C13554" w14:textId="1027D686" w:rsidR="006A7875" w:rsidRDefault="006A7875">
      <w:pPr>
        <w:rPr>
          <w:rFonts w:ascii="Arial" w:eastAsia="Arial" w:hAnsi="Arial" w:cs="Arial"/>
          <w:sz w:val="20"/>
          <w:szCs w:val="20"/>
        </w:rPr>
      </w:pPr>
    </w:p>
    <w:p w14:paraId="635D81A8" w14:textId="154405F7" w:rsidR="006A7875" w:rsidRDefault="006A7875">
      <w:pPr>
        <w:rPr>
          <w:rFonts w:ascii="Arial" w:eastAsia="Arial" w:hAnsi="Arial" w:cs="Arial"/>
          <w:sz w:val="20"/>
          <w:szCs w:val="20"/>
        </w:rPr>
      </w:pPr>
    </w:p>
    <w:p w14:paraId="6DA598D6" w14:textId="77777777" w:rsidR="006A7875" w:rsidRDefault="006A7875">
      <w:pPr>
        <w:rPr>
          <w:rFonts w:ascii="Arial" w:eastAsia="Arial" w:hAnsi="Arial" w:cs="Arial"/>
          <w:sz w:val="20"/>
          <w:szCs w:val="20"/>
        </w:rPr>
      </w:pPr>
    </w:p>
    <w:p w14:paraId="4E653CCF" w14:textId="77777777" w:rsidR="009B1D28" w:rsidRDefault="009B1D28">
      <w:pPr>
        <w:rPr>
          <w:rFonts w:ascii="Arial" w:eastAsia="Arial" w:hAnsi="Arial" w:cs="Arial"/>
          <w:sz w:val="20"/>
          <w:szCs w:val="20"/>
        </w:rPr>
      </w:pPr>
    </w:p>
    <w:p w14:paraId="1CDAB156" w14:textId="77777777" w:rsidR="009B1D28" w:rsidRDefault="009B1D28">
      <w:pPr>
        <w:rPr>
          <w:rFonts w:ascii="Arial" w:eastAsia="Arial" w:hAnsi="Arial" w:cs="Arial"/>
          <w:sz w:val="20"/>
          <w:szCs w:val="20"/>
        </w:rPr>
      </w:pPr>
    </w:p>
    <w:p w14:paraId="0CD1E572" w14:textId="77777777" w:rsidR="009B1D28" w:rsidRDefault="009B1D28">
      <w:pPr>
        <w:rPr>
          <w:rFonts w:ascii="Arial" w:eastAsia="Arial" w:hAnsi="Arial" w:cs="Arial"/>
          <w:sz w:val="20"/>
          <w:szCs w:val="20"/>
        </w:rPr>
      </w:pPr>
    </w:p>
    <w:p w14:paraId="6B5BF88A" w14:textId="77777777" w:rsidR="009B1D28" w:rsidRDefault="009B1D28">
      <w:pPr>
        <w:rPr>
          <w:rFonts w:ascii="Arial" w:eastAsia="Arial" w:hAnsi="Arial" w:cs="Arial"/>
          <w:sz w:val="20"/>
          <w:szCs w:val="20"/>
        </w:rPr>
      </w:pPr>
    </w:p>
    <w:p w14:paraId="425AB3D4" w14:textId="77777777" w:rsidR="006E359D" w:rsidRDefault="009B1D28">
      <w:pPr>
        <w:pBdr>
          <w:top w:val="single" w:sz="4" w:space="1" w:color="000000"/>
          <w:left w:val="single" w:sz="4" w:space="4" w:color="000000"/>
          <w:bottom w:val="single" w:sz="4" w:space="1" w:color="000000"/>
          <w:right w:val="single" w:sz="4" w:space="4" w:color="000000"/>
        </w:pBdr>
        <w:shd w:val="clear" w:color="auto" w:fill="BFBFBF"/>
        <w:jc w:val="center"/>
        <w:rPr>
          <w:rFonts w:ascii="Arial" w:eastAsia="Arial" w:hAnsi="Arial" w:cs="Arial"/>
          <w:sz w:val="28"/>
          <w:szCs w:val="28"/>
        </w:rPr>
      </w:pPr>
      <w:r>
        <w:rPr>
          <w:rFonts w:ascii="Arial" w:eastAsia="Arial" w:hAnsi="Arial" w:cs="Arial"/>
          <w:sz w:val="28"/>
          <w:szCs w:val="28"/>
        </w:rPr>
        <w:lastRenderedPageBreak/>
        <w:t>Příloha č. 1: Etický kodex</w:t>
      </w:r>
    </w:p>
    <w:p w14:paraId="2CB1A2DC" w14:textId="77777777" w:rsidR="006E359D" w:rsidRDefault="006E359D">
      <w:pPr>
        <w:rPr>
          <w:rFonts w:ascii="Arial" w:eastAsia="Arial" w:hAnsi="Arial" w:cs="Arial"/>
          <w:sz w:val="20"/>
          <w:szCs w:val="20"/>
        </w:rPr>
      </w:pPr>
    </w:p>
    <w:p w14:paraId="35C19968" w14:textId="77777777" w:rsidR="006E359D" w:rsidRDefault="009B1D28">
      <w:pPr>
        <w:ind w:left="284" w:hanging="284"/>
        <w:jc w:val="both"/>
        <w:rPr>
          <w:rFonts w:ascii="Arial" w:eastAsia="Arial" w:hAnsi="Arial" w:cs="Arial"/>
          <w:sz w:val="20"/>
          <w:szCs w:val="20"/>
        </w:rPr>
      </w:pPr>
      <w:bookmarkStart w:id="2" w:name="_heading=h.30j0zll" w:colFirst="0" w:colLast="0"/>
      <w:bookmarkEnd w:id="2"/>
      <w:r>
        <w:rPr>
          <w:rFonts w:ascii="Arial" w:eastAsia="Arial" w:hAnsi="Arial" w:cs="Arial"/>
          <w:sz w:val="20"/>
          <w:szCs w:val="20"/>
        </w:rPr>
        <w:t>1)</w:t>
      </w:r>
      <w:r>
        <w:rPr>
          <w:rFonts w:ascii="Arial" w:eastAsia="Arial" w:hAnsi="Arial" w:cs="Arial"/>
          <w:sz w:val="20"/>
          <w:szCs w:val="20"/>
        </w:rPr>
        <w:tab/>
        <w:t>FÉROVÁ HOSPODÁŘSKÁ SOUTĚŽ</w:t>
      </w:r>
    </w:p>
    <w:p w14:paraId="5F26E932" w14:textId="77777777" w:rsidR="006E359D" w:rsidRDefault="009B1D28">
      <w:pPr>
        <w:ind w:left="284"/>
        <w:jc w:val="both"/>
        <w:rPr>
          <w:rFonts w:ascii="Arial" w:eastAsia="Arial" w:hAnsi="Arial" w:cs="Arial"/>
          <w:sz w:val="20"/>
          <w:szCs w:val="20"/>
        </w:rPr>
      </w:pPr>
      <w:r>
        <w:rPr>
          <w:rFonts w:ascii="Arial" w:eastAsia="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72CD08C4" w14:textId="77777777" w:rsidR="006E359D" w:rsidRDefault="006E359D">
      <w:pPr>
        <w:ind w:left="284" w:hanging="284"/>
        <w:jc w:val="both"/>
        <w:rPr>
          <w:rFonts w:ascii="Arial" w:eastAsia="Arial" w:hAnsi="Arial" w:cs="Arial"/>
          <w:sz w:val="20"/>
          <w:szCs w:val="20"/>
        </w:rPr>
      </w:pPr>
    </w:p>
    <w:p w14:paraId="3ED62CBB" w14:textId="77777777" w:rsidR="006E359D" w:rsidRDefault="009B1D28">
      <w:pPr>
        <w:ind w:left="284" w:hanging="284"/>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STŘET ZÁJMŮ</w:t>
      </w:r>
    </w:p>
    <w:p w14:paraId="397EE092" w14:textId="77777777" w:rsidR="006E359D" w:rsidRDefault="009B1D28">
      <w:pPr>
        <w:ind w:left="284"/>
        <w:jc w:val="both"/>
        <w:rPr>
          <w:rFonts w:ascii="Arial" w:eastAsia="Arial" w:hAnsi="Arial" w:cs="Arial"/>
          <w:sz w:val="20"/>
          <w:szCs w:val="20"/>
        </w:rPr>
      </w:pPr>
      <w:r>
        <w:rPr>
          <w:rFonts w:ascii="Arial" w:eastAsia="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37A0453" w14:textId="77777777" w:rsidR="006E359D" w:rsidRDefault="006E359D">
      <w:pPr>
        <w:ind w:left="284" w:hanging="284"/>
        <w:jc w:val="both"/>
        <w:rPr>
          <w:rFonts w:ascii="Arial" w:eastAsia="Arial" w:hAnsi="Arial" w:cs="Arial"/>
          <w:sz w:val="20"/>
          <w:szCs w:val="20"/>
        </w:rPr>
      </w:pPr>
    </w:p>
    <w:p w14:paraId="0B04C257" w14:textId="77777777" w:rsidR="006E359D" w:rsidRDefault="009B1D28">
      <w:pPr>
        <w:ind w:left="284" w:hanging="284"/>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PŘIJATELNÉ PRACOVNÍ PODMÍNKY</w:t>
      </w:r>
    </w:p>
    <w:p w14:paraId="50A04372" w14:textId="77777777" w:rsidR="006E359D" w:rsidRDefault="009B1D28">
      <w:pPr>
        <w:ind w:left="284"/>
        <w:jc w:val="both"/>
        <w:rPr>
          <w:rFonts w:ascii="Arial" w:eastAsia="Arial" w:hAnsi="Arial" w:cs="Arial"/>
          <w:sz w:val="20"/>
          <w:szCs w:val="20"/>
        </w:rPr>
      </w:pPr>
      <w:r>
        <w:rPr>
          <w:rFonts w:ascii="Arial" w:eastAsia="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2F483CF7" w14:textId="77777777" w:rsidR="006E359D" w:rsidRDefault="006E359D">
      <w:pPr>
        <w:ind w:left="284" w:hanging="284"/>
        <w:jc w:val="both"/>
        <w:rPr>
          <w:rFonts w:ascii="Arial" w:eastAsia="Arial" w:hAnsi="Arial" w:cs="Arial"/>
          <w:sz w:val="20"/>
          <w:szCs w:val="20"/>
        </w:rPr>
      </w:pPr>
    </w:p>
    <w:p w14:paraId="01578D53" w14:textId="77777777" w:rsidR="006E359D" w:rsidRDefault="009B1D28">
      <w:pPr>
        <w:ind w:left="284" w:hanging="284"/>
        <w:jc w:val="both"/>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ZÁKAZ DISKRIMINACE A ZAJIŠTĚNÍ ROVNÝCH PŘÍLEŽITOSTÍ</w:t>
      </w:r>
    </w:p>
    <w:p w14:paraId="16D56878" w14:textId="77777777" w:rsidR="006E359D" w:rsidRDefault="009B1D28">
      <w:pPr>
        <w:ind w:left="284"/>
        <w:jc w:val="both"/>
        <w:rPr>
          <w:rFonts w:ascii="Arial" w:eastAsia="Arial" w:hAnsi="Arial" w:cs="Arial"/>
          <w:sz w:val="20"/>
          <w:szCs w:val="20"/>
        </w:rPr>
      </w:pPr>
      <w:r>
        <w:rPr>
          <w:rFonts w:ascii="Arial" w:eastAsia="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41589BB" w14:textId="77777777" w:rsidR="006E359D" w:rsidRDefault="006E359D">
      <w:pPr>
        <w:ind w:left="284" w:hanging="284"/>
        <w:jc w:val="both"/>
        <w:rPr>
          <w:rFonts w:ascii="Arial" w:eastAsia="Arial" w:hAnsi="Arial" w:cs="Arial"/>
          <w:sz w:val="20"/>
          <w:szCs w:val="20"/>
        </w:rPr>
      </w:pPr>
    </w:p>
    <w:p w14:paraId="19518A83" w14:textId="77777777" w:rsidR="006E359D" w:rsidRDefault="009B1D28">
      <w:pPr>
        <w:ind w:left="284" w:hanging="284"/>
        <w:jc w:val="both"/>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EKONOMICKÉ ASPEKTY</w:t>
      </w:r>
    </w:p>
    <w:p w14:paraId="683B8EEE" w14:textId="77777777" w:rsidR="006E359D" w:rsidRDefault="009B1D28">
      <w:pPr>
        <w:ind w:left="284"/>
        <w:jc w:val="both"/>
        <w:rPr>
          <w:rFonts w:ascii="Arial" w:eastAsia="Arial" w:hAnsi="Arial" w:cs="Arial"/>
          <w:sz w:val="20"/>
          <w:szCs w:val="20"/>
        </w:rPr>
      </w:pPr>
      <w:r>
        <w:rPr>
          <w:rFonts w:ascii="Arial" w:eastAsia="Arial" w:hAnsi="Arial" w:cs="Arial"/>
          <w:sz w:val="20"/>
          <w:szCs w:val="20"/>
        </w:rPr>
        <w:t xml:space="preserve">Smluvní strany se hlásí k hodnotám odsuzujícím jednání nežádoucí z ekonomického hlediska, čímž se rozumí zejména snaha o praní špinavých peněz, snaha o legalizaci nezákonných </w:t>
      </w:r>
    </w:p>
    <w:p w14:paraId="4FE71FA8" w14:textId="77777777" w:rsidR="006E359D" w:rsidRDefault="009B1D28">
      <w:pPr>
        <w:ind w:left="284"/>
        <w:jc w:val="both"/>
        <w:rPr>
          <w:rFonts w:ascii="Arial" w:eastAsia="Arial" w:hAnsi="Arial" w:cs="Arial"/>
          <w:sz w:val="20"/>
          <w:szCs w:val="20"/>
        </w:rPr>
      </w:pPr>
      <w:r>
        <w:rPr>
          <w:rFonts w:ascii="Arial" w:eastAsia="Arial" w:hAnsi="Arial" w:cs="Arial"/>
          <w:sz w:val="20"/>
          <w:szCs w:val="20"/>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70B6546F" w14:textId="77777777" w:rsidR="006E359D" w:rsidRDefault="006E359D">
      <w:pPr>
        <w:ind w:left="284" w:hanging="284"/>
        <w:jc w:val="both"/>
        <w:rPr>
          <w:rFonts w:ascii="Arial" w:eastAsia="Arial" w:hAnsi="Arial" w:cs="Arial"/>
          <w:sz w:val="20"/>
          <w:szCs w:val="20"/>
        </w:rPr>
      </w:pPr>
    </w:p>
    <w:p w14:paraId="1DD20F73" w14:textId="77777777" w:rsidR="006E359D" w:rsidRDefault="009B1D28">
      <w:pPr>
        <w:ind w:left="284" w:hanging="284"/>
        <w:jc w:val="both"/>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t>EKOLOGICKÉ ASPEKTY</w:t>
      </w:r>
    </w:p>
    <w:p w14:paraId="1EA782A0" w14:textId="04E54E38" w:rsidR="006E359D" w:rsidRDefault="009B1D28">
      <w:pPr>
        <w:ind w:left="284"/>
        <w:jc w:val="both"/>
        <w:rPr>
          <w:rFonts w:ascii="Arial" w:eastAsia="Arial" w:hAnsi="Arial" w:cs="Arial"/>
          <w:sz w:val="20"/>
          <w:szCs w:val="20"/>
        </w:rPr>
      </w:pPr>
      <w:r>
        <w:rPr>
          <w:rFonts w:ascii="Arial" w:eastAsia="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6BF67336" w14:textId="68AED9A6" w:rsidR="006A7875" w:rsidRDefault="006A7875">
      <w:pPr>
        <w:ind w:left="284"/>
        <w:jc w:val="both"/>
        <w:rPr>
          <w:rFonts w:ascii="Arial" w:eastAsia="Arial" w:hAnsi="Arial" w:cs="Arial"/>
          <w:sz w:val="20"/>
          <w:szCs w:val="20"/>
        </w:rPr>
      </w:pPr>
    </w:p>
    <w:p w14:paraId="16E09909" w14:textId="415BBF0B" w:rsidR="006A7875" w:rsidRDefault="006A7875">
      <w:pPr>
        <w:ind w:left="284"/>
        <w:jc w:val="both"/>
        <w:rPr>
          <w:rFonts w:ascii="Arial" w:eastAsia="Arial" w:hAnsi="Arial" w:cs="Arial"/>
          <w:sz w:val="20"/>
          <w:szCs w:val="20"/>
        </w:rPr>
      </w:pPr>
    </w:p>
    <w:p w14:paraId="77BCDB7D" w14:textId="233D4A17" w:rsidR="006A7875" w:rsidRDefault="006A7875">
      <w:pPr>
        <w:ind w:left="284"/>
        <w:jc w:val="both"/>
        <w:rPr>
          <w:rFonts w:ascii="Arial" w:eastAsia="Arial" w:hAnsi="Arial" w:cs="Arial"/>
          <w:sz w:val="20"/>
          <w:szCs w:val="20"/>
        </w:rPr>
      </w:pPr>
    </w:p>
    <w:p w14:paraId="01501B9E" w14:textId="794025E8" w:rsidR="006A7875" w:rsidRDefault="006A7875">
      <w:pPr>
        <w:ind w:left="284"/>
        <w:jc w:val="both"/>
        <w:rPr>
          <w:rFonts w:ascii="Arial" w:eastAsia="Arial" w:hAnsi="Arial" w:cs="Arial"/>
          <w:sz w:val="20"/>
          <w:szCs w:val="20"/>
        </w:rPr>
      </w:pPr>
    </w:p>
    <w:p w14:paraId="2CFB2740" w14:textId="3A1D8BE8" w:rsidR="006A7875" w:rsidRDefault="006A7875">
      <w:pPr>
        <w:ind w:left="284"/>
        <w:jc w:val="both"/>
        <w:rPr>
          <w:rFonts w:ascii="Arial" w:eastAsia="Arial" w:hAnsi="Arial" w:cs="Arial"/>
          <w:sz w:val="20"/>
          <w:szCs w:val="20"/>
        </w:rPr>
      </w:pPr>
    </w:p>
    <w:p w14:paraId="1A8D0BF7" w14:textId="3010BD8D" w:rsidR="006A7875" w:rsidRDefault="006A7875">
      <w:pPr>
        <w:ind w:left="284"/>
        <w:jc w:val="both"/>
        <w:rPr>
          <w:rFonts w:ascii="Arial" w:eastAsia="Arial" w:hAnsi="Arial" w:cs="Arial"/>
          <w:sz w:val="20"/>
          <w:szCs w:val="20"/>
        </w:rPr>
      </w:pPr>
    </w:p>
    <w:p w14:paraId="0D449441" w14:textId="1AF846C6" w:rsidR="006A7875" w:rsidRDefault="006A7875">
      <w:pPr>
        <w:ind w:left="284"/>
        <w:jc w:val="both"/>
        <w:rPr>
          <w:rFonts w:ascii="Arial" w:eastAsia="Arial" w:hAnsi="Arial" w:cs="Arial"/>
          <w:sz w:val="20"/>
          <w:szCs w:val="20"/>
        </w:rPr>
      </w:pPr>
    </w:p>
    <w:p w14:paraId="41BFE682" w14:textId="79FAD520" w:rsidR="006A7875" w:rsidRDefault="006A7875">
      <w:pPr>
        <w:ind w:left="284"/>
        <w:jc w:val="both"/>
        <w:rPr>
          <w:rFonts w:ascii="Arial" w:eastAsia="Arial" w:hAnsi="Arial" w:cs="Arial"/>
          <w:sz w:val="20"/>
          <w:szCs w:val="20"/>
        </w:rPr>
      </w:pPr>
    </w:p>
    <w:p w14:paraId="26CF2CE7" w14:textId="74FA728E" w:rsidR="006A7875" w:rsidRDefault="006A7875">
      <w:pPr>
        <w:ind w:left="284"/>
        <w:jc w:val="both"/>
        <w:rPr>
          <w:rFonts w:ascii="Arial" w:eastAsia="Arial" w:hAnsi="Arial" w:cs="Arial"/>
          <w:sz w:val="20"/>
          <w:szCs w:val="20"/>
        </w:rPr>
      </w:pPr>
    </w:p>
    <w:p w14:paraId="4709AD38" w14:textId="77777777" w:rsidR="006A7875" w:rsidRDefault="006A7875">
      <w:pPr>
        <w:ind w:left="284"/>
        <w:jc w:val="both"/>
        <w:rPr>
          <w:rFonts w:ascii="Arial" w:eastAsia="Arial" w:hAnsi="Arial" w:cs="Arial"/>
          <w:sz w:val="20"/>
          <w:szCs w:val="20"/>
        </w:rPr>
      </w:pPr>
    </w:p>
    <w:p w14:paraId="1B4AF16B" w14:textId="77777777" w:rsidR="006E359D" w:rsidRDefault="009B1D28">
      <w:pPr>
        <w:pBdr>
          <w:top w:val="single" w:sz="4" w:space="1" w:color="000000"/>
          <w:left w:val="single" w:sz="4" w:space="4" w:color="000000"/>
          <w:bottom w:val="single" w:sz="4" w:space="1" w:color="000000"/>
          <w:right w:val="single" w:sz="4" w:space="4" w:color="000000"/>
        </w:pBdr>
        <w:shd w:val="clear" w:color="auto" w:fill="BFBFBF"/>
        <w:jc w:val="center"/>
        <w:rPr>
          <w:rFonts w:ascii="Arial" w:eastAsia="Arial" w:hAnsi="Arial" w:cs="Arial"/>
          <w:sz w:val="28"/>
          <w:szCs w:val="28"/>
        </w:rPr>
      </w:pPr>
      <w:bookmarkStart w:id="3" w:name="_heading=h.1fob9te" w:colFirst="0" w:colLast="0"/>
      <w:bookmarkEnd w:id="3"/>
      <w:r>
        <w:rPr>
          <w:rFonts w:ascii="Arial" w:eastAsia="Arial" w:hAnsi="Arial" w:cs="Arial"/>
          <w:sz w:val="28"/>
          <w:szCs w:val="28"/>
        </w:rPr>
        <w:lastRenderedPageBreak/>
        <w:t>Příloha č. 2: Specifikace předmětu plnění</w:t>
      </w:r>
    </w:p>
    <w:p w14:paraId="251C5FAD" w14:textId="77777777" w:rsidR="006E359D" w:rsidRDefault="006E359D">
      <w:pPr>
        <w:keepNext/>
        <w:keepLines/>
        <w:pBdr>
          <w:top w:val="nil"/>
          <w:left w:val="nil"/>
          <w:bottom w:val="nil"/>
          <w:right w:val="nil"/>
          <w:between w:val="nil"/>
        </w:pBdr>
        <w:spacing w:before="200" w:line="276" w:lineRule="auto"/>
        <w:ind w:left="284" w:hanging="284"/>
        <w:rPr>
          <w:rFonts w:ascii="Arial" w:eastAsia="Arial" w:hAnsi="Arial" w:cs="Arial"/>
          <w:b/>
          <w:color w:val="4F81BD"/>
          <w:sz w:val="22"/>
          <w:szCs w:val="22"/>
        </w:rPr>
      </w:pPr>
    </w:p>
    <w:p w14:paraId="4C8F4677" w14:textId="77777777" w:rsidR="006E359D" w:rsidRDefault="009B1D28">
      <w:pPr>
        <w:keepNext/>
        <w:keepLines/>
        <w:numPr>
          <w:ilvl w:val="0"/>
          <w:numId w:val="7"/>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Východiska a cíle</w:t>
      </w:r>
    </w:p>
    <w:p w14:paraId="2F8F1C2C" w14:textId="77777777" w:rsidR="006E359D" w:rsidRDefault="006E359D">
      <w:pPr>
        <w:spacing w:line="276" w:lineRule="auto"/>
        <w:rPr>
          <w:rFonts w:ascii="Arial" w:eastAsia="Arial" w:hAnsi="Arial" w:cs="Arial"/>
          <w:color w:val="4F81BD"/>
          <w:sz w:val="20"/>
          <w:szCs w:val="20"/>
        </w:rPr>
      </w:pPr>
    </w:p>
    <w:p w14:paraId="20388EC4" w14:textId="77777777" w:rsidR="006E359D" w:rsidRDefault="009B1D28">
      <w:pPr>
        <w:spacing w:after="200" w:line="276" w:lineRule="auto"/>
        <w:jc w:val="both"/>
        <w:rPr>
          <w:rFonts w:ascii="Arial" w:eastAsia="Arial" w:hAnsi="Arial" w:cs="Arial"/>
          <w:sz w:val="20"/>
          <w:szCs w:val="20"/>
        </w:rPr>
      </w:pPr>
      <w:r>
        <w:rPr>
          <w:rFonts w:ascii="Arial" w:eastAsia="Arial" w:hAnsi="Arial" w:cs="Arial"/>
          <w:sz w:val="20"/>
          <w:szCs w:val="20"/>
        </w:rPr>
        <w:t xml:space="preserve">Předmětem plnění dle této Smlouvy je realizace Analýzy nákladů a přínosů u vybraných sociálně inovačních projektů, podpořených v rámci Operačního programu Zaměstnanost. Zakázka je dílčí součástí celkového Vyhodnocení výsledků podpory sociálních inovací v PO 3 OPZ. </w:t>
      </w:r>
    </w:p>
    <w:p w14:paraId="34C9B352" w14:textId="77777777" w:rsidR="006E359D" w:rsidRDefault="009B1D28">
      <w:pPr>
        <w:spacing w:after="200" w:line="276" w:lineRule="auto"/>
        <w:jc w:val="both"/>
        <w:rPr>
          <w:rFonts w:ascii="Arial" w:eastAsia="Arial" w:hAnsi="Arial" w:cs="Arial"/>
          <w:sz w:val="20"/>
          <w:szCs w:val="20"/>
        </w:rPr>
      </w:pPr>
      <w:r>
        <w:rPr>
          <w:rFonts w:ascii="Arial" w:eastAsia="Arial" w:hAnsi="Arial" w:cs="Arial"/>
          <w:sz w:val="20"/>
          <w:szCs w:val="20"/>
        </w:rPr>
        <w:t xml:space="preserve">Veřejná zakázka byla rozdělena na dvě části, které mají totožná východiska a cíle. Jedná se o: </w:t>
      </w:r>
    </w:p>
    <w:p w14:paraId="38F11A85" w14:textId="77777777" w:rsidR="006E359D" w:rsidRDefault="009B1D28">
      <w:pPr>
        <w:numPr>
          <w:ilvl w:val="0"/>
          <w:numId w:val="21"/>
        </w:numPr>
        <w:spacing w:line="276" w:lineRule="auto"/>
        <w:jc w:val="both"/>
        <w:rPr>
          <w:rFonts w:ascii="Arial" w:eastAsia="Arial" w:hAnsi="Arial" w:cs="Arial"/>
          <w:sz w:val="20"/>
          <w:szCs w:val="20"/>
        </w:rPr>
      </w:pPr>
      <w:bookmarkStart w:id="4" w:name="_heading=h.3znysh7" w:colFirst="0" w:colLast="0"/>
      <w:bookmarkEnd w:id="4"/>
      <w:r>
        <w:rPr>
          <w:rFonts w:ascii="Arial" w:eastAsia="Arial" w:hAnsi="Arial" w:cs="Arial"/>
          <w:sz w:val="20"/>
          <w:szCs w:val="20"/>
        </w:rPr>
        <w:t xml:space="preserve">část – Analýza nákladů a přínosů projektu Společně na svobodu </w:t>
      </w:r>
    </w:p>
    <w:p w14:paraId="14932FF8" w14:textId="77777777" w:rsidR="006E359D" w:rsidRDefault="009B1D28">
      <w:pPr>
        <w:numPr>
          <w:ilvl w:val="0"/>
          <w:numId w:val="21"/>
        </w:numPr>
        <w:spacing w:line="276" w:lineRule="auto"/>
        <w:jc w:val="both"/>
        <w:rPr>
          <w:rFonts w:ascii="Arial" w:eastAsia="Arial" w:hAnsi="Arial" w:cs="Arial"/>
          <w:sz w:val="20"/>
          <w:szCs w:val="20"/>
        </w:rPr>
      </w:pPr>
      <w:r>
        <w:rPr>
          <w:rFonts w:ascii="Arial" w:eastAsia="Arial" w:hAnsi="Arial" w:cs="Arial"/>
          <w:sz w:val="20"/>
          <w:szCs w:val="20"/>
        </w:rPr>
        <w:t xml:space="preserve">část – Analýza nákladů a přínosů projektu </w:t>
      </w:r>
      <w:proofErr w:type="spellStart"/>
      <w:r>
        <w:rPr>
          <w:rFonts w:ascii="Arial" w:eastAsia="Arial" w:hAnsi="Arial" w:cs="Arial"/>
          <w:sz w:val="20"/>
          <w:szCs w:val="20"/>
        </w:rPr>
        <w:t>Cochemský</w:t>
      </w:r>
      <w:proofErr w:type="spellEnd"/>
      <w:r>
        <w:rPr>
          <w:rFonts w:ascii="Arial" w:eastAsia="Arial" w:hAnsi="Arial" w:cs="Arial"/>
          <w:sz w:val="20"/>
          <w:szCs w:val="20"/>
        </w:rPr>
        <w:t xml:space="preserve"> model v ČR </w:t>
      </w:r>
    </w:p>
    <w:p w14:paraId="6DA3F3CA" w14:textId="77777777" w:rsidR="006E359D" w:rsidRDefault="006E359D">
      <w:pPr>
        <w:spacing w:after="200" w:line="276" w:lineRule="auto"/>
        <w:jc w:val="both"/>
        <w:rPr>
          <w:rFonts w:ascii="Arial" w:eastAsia="Arial" w:hAnsi="Arial" w:cs="Arial"/>
          <w:sz w:val="20"/>
          <w:szCs w:val="20"/>
        </w:rPr>
      </w:pPr>
    </w:p>
    <w:p w14:paraId="45CC7D26" w14:textId="77777777" w:rsidR="006E359D" w:rsidRDefault="009B1D28">
      <w:pPr>
        <w:spacing w:line="276" w:lineRule="auto"/>
        <w:jc w:val="both"/>
        <w:rPr>
          <w:rFonts w:ascii="Arial" w:eastAsia="Arial" w:hAnsi="Arial" w:cs="Arial"/>
          <w:sz w:val="20"/>
          <w:szCs w:val="20"/>
        </w:rPr>
      </w:pPr>
      <w:r>
        <w:rPr>
          <w:rFonts w:ascii="Arial" w:eastAsia="Arial" w:hAnsi="Arial" w:cs="Arial"/>
          <w:sz w:val="20"/>
          <w:szCs w:val="20"/>
        </w:rPr>
        <w:t>Předmětem této Smlouvy je 1. část – Analýza nákladů a přínosů projektu Společně na svobodu.</w:t>
      </w:r>
    </w:p>
    <w:p w14:paraId="50EA02E1" w14:textId="77777777" w:rsidR="006E359D" w:rsidRDefault="006E359D">
      <w:pPr>
        <w:spacing w:line="276" w:lineRule="auto"/>
        <w:jc w:val="both"/>
        <w:rPr>
          <w:rFonts w:ascii="Arial" w:eastAsia="Arial" w:hAnsi="Arial" w:cs="Arial"/>
          <w:sz w:val="20"/>
          <w:szCs w:val="20"/>
        </w:rPr>
      </w:pPr>
    </w:p>
    <w:p w14:paraId="3C7D570B" w14:textId="77777777" w:rsidR="006E359D" w:rsidRDefault="009B1D28">
      <w:pPr>
        <w:spacing w:after="200" w:line="276" w:lineRule="auto"/>
        <w:jc w:val="both"/>
        <w:rPr>
          <w:rFonts w:ascii="Arial" w:eastAsia="Arial" w:hAnsi="Arial" w:cs="Arial"/>
          <w:sz w:val="20"/>
          <w:szCs w:val="20"/>
        </w:rPr>
      </w:pPr>
      <w:bookmarkStart w:id="5" w:name="_heading=h.2et92p0" w:colFirst="0" w:colLast="0"/>
      <w:bookmarkEnd w:id="5"/>
      <w:r>
        <w:rPr>
          <w:rFonts w:ascii="Arial" w:eastAsia="Arial" w:hAnsi="Arial" w:cs="Arial"/>
          <w:sz w:val="20"/>
          <w:szCs w:val="20"/>
        </w:rPr>
        <w:t>Jedním z cílů stanovených Objednatelem je zodpovědět, zda je u vybraného projektu při současné podobě nastavení inovačních výzev v rámci Operačního programu Zaměstnanost a se současnými dostupnými daty reálně možné Analýzu nákladů a přínosů realizovat, případně jaký typ dat je pro naplnění stanovených výzkumných cílů potřeba. V rámci zakázky by mělo dojít nejen k tomuto zhodnocení proveditelnosti a využitelnosti Analýzy nákladů a přínosů u vybraného projektu, ale také k identifikaci problémů a rizik při realizaci Analýzy nákladů a přínosů, spolu s definováním případných doporučení pro minimalizaci těchto rizik.</w:t>
      </w:r>
    </w:p>
    <w:p w14:paraId="2F810AA7" w14:textId="77777777" w:rsidR="006E359D" w:rsidRDefault="009B1D28">
      <w:pPr>
        <w:spacing w:after="200" w:line="276" w:lineRule="auto"/>
        <w:jc w:val="both"/>
        <w:rPr>
          <w:rFonts w:ascii="Arial" w:eastAsia="Arial" w:hAnsi="Arial" w:cs="Arial"/>
          <w:sz w:val="20"/>
          <w:szCs w:val="20"/>
        </w:rPr>
      </w:pPr>
      <w:r>
        <w:rPr>
          <w:rFonts w:ascii="Arial" w:eastAsia="Arial" w:hAnsi="Arial" w:cs="Arial"/>
          <w:sz w:val="20"/>
          <w:szCs w:val="20"/>
        </w:rPr>
        <w:t xml:space="preserve">Pokud se Analýza nákladů a přínosů ukáže u vybraného projektu jako proveditelná, bude dalším cílem zakázky zjistit, jaké efekty přináší daný projekt. V rámci zakázky by u daného projektu mělo dojít k změření ekonomického dopadu intervence – ke sledování a vyčíslení finančních nákladů a výnosů spjatých s realizací projektu spolu se zhodnocením skutečných efektů projektu/inovace pro celou společnost (přímých i nepřímých). Za tímto účelem byla zvolena redukovaná forma Analýzy společenských nákladů a společenských přínosů, kdy těžko kvantifikovatelné a </w:t>
      </w:r>
      <w:proofErr w:type="spellStart"/>
      <w:r>
        <w:rPr>
          <w:rFonts w:ascii="Arial" w:eastAsia="Arial" w:hAnsi="Arial" w:cs="Arial"/>
          <w:sz w:val="20"/>
          <w:szCs w:val="20"/>
        </w:rPr>
        <w:t>monetizovatelné</w:t>
      </w:r>
      <w:proofErr w:type="spellEnd"/>
      <w:r>
        <w:rPr>
          <w:rFonts w:ascii="Arial" w:eastAsia="Arial" w:hAnsi="Arial" w:cs="Arial"/>
          <w:sz w:val="20"/>
          <w:szCs w:val="20"/>
        </w:rPr>
        <w:t xml:space="preserve"> indikátory nebudou převáděny na měřitelné jednotky.</w:t>
      </w:r>
    </w:p>
    <w:p w14:paraId="0482715A" w14:textId="77777777" w:rsidR="006E359D" w:rsidRDefault="009B1D28">
      <w:pPr>
        <w:numPr>
          <w:ilvl w:val="0"/>
          <w:numId w:val="7"/>
        </w:numPr>
        <w:spacing w:line="276" w:lineRule="auto"/>
        <w:rPr>
          <w:rFonts w:ascii="Arial" w:eastAsia="Arial" w:hAnsi="Arial" w:cs="Arial"/>
          <w:b/>
          <w:color w:val="4F81BD"/>
          <w:sz w:val="20"/>
          <w:szCs w:val="20"/>
        </w:rPr>
      </w:pPr>
      <w:r>
        <w:rPr>
          <w:rFonts w:ascii="Arial" w:eastAsia="Arial" w:hAnsi="Arial" w:cs="Arial"/>
          <w:b/>
          <w:color w:val="4F81BD"/>
          <w:sz w:val="20"/>
          <w:szCs w:val="20"/>
        </w:rPr>
        <w:t>Parametry požadované analýzy</w:t>
      </w:r>
    </w:p>
    <w:p w14:paraId="1B434484" w14:textId="77777777" w:rsidR="006E359D" w:rsidRDefault="009B1D28">
      <w:pPr>
        <w:spacing w:line="276" w:lineRule="auto"/>
        <w:jc w:val="both"/>
        <w:rPr>
          <w:rFonts w:ascii="Arial" w:eastAsia="Arial" w:hAnsi="Arial" w:cs="Arial"/>
          <w:sz w:val="20"/>
          <w:szCs w:val="20"/>
        </w:rPr>
      </w:pPr>
      <w:r>
        <w:rPr>
          <w:rFonts w:ascii="Arial" w:eastAsia="Arial" w:hAnsi="Arial" w:cs="Arial"/>
          <w:sz w:val="20"/>
          <w:szCs w:val="20"/>
        </w:rPr>
        <w:t xml:space="preserve">Jako nejvhodnější typ Analýzy nákladů a přínosů byl Objednatelem identifikován širší typ analýzy – tzv. Analýza společenských nákladů a společenských přínosů. Na rozdíl od užší formy Analýzy nákladů a přínosů, při které dochází ke kalkulaci tzv. přímých nákladů, bezprostředně se vztahujících k dané intervenci, a tzv. přímých přínosů, tedy peněžně vyjádřených užitků pro danou cílovou skupinu, se širší pojetí Analýzy nákladů a přínosů zaměřuje i na společenské náklady a přínosy, tedy náklady a přínosy nepřímé, které souvisí s negativními a pozitivními externalitami. Při využití této formy analýzy dochází navíc ke kalkulaci nákladů obětovaných příležitosti a na straně přínosů i těch dopadů, které intervence způsobuje potenciálně všem členům společnosti bez ohledu na cílovou skupinu. Přínos zde lze formulovat jako každé zvýšení užitku, náklad pak jako jeho snížení (Ochrana 2004; 2005).  </w:t>
      </w:r>
    </w:p>
    <w:p w14:paraId="7EA845FB" w14:textId="77777777" w:rsidR="006E359D" w:rsidRDefault="006E359D">
      <w:pPr>
        <w:spacing w:line="276" w:lineRule="auto"/>
        <w:jc w:val="both"/>
        <w:rPr>
          <w:rFonts w:ascii="Arial" w:eastAsia="Arial" w:hAnsi="Arial" w:cs="Arial"/>
          <w:sz w:val="20"/>
          <w:szCs w:val="20"/>
        </w:rPr>
      </w:pPr>
    </w:p>
    <w:p w14:paraId="189199B5" w14:textId="77777777" w:rsidR="006E359D" w:rsidRDefault="006E359D">
      <w:pPr>
        <w:jc w:val="both"/>
        <w:rPr>
          <w:rFonts w:ascii="Arial" w:eastAsia="Arial" w:hAnsi="Arial" w:cs="Arial"/>
          <w:sz w:val="20"/>
          <w:szCs w:val="20"/>
        </w:rPr>
      </w:pPr>
    </w:p>
    <w:p w14:paraId="24C28168" w14:textId="77777777" w:rsidR="006E359D" w:rsidRDefault="009B1D28">
      <w:pPr>
        <w:keepNext/>
        <w:spacing w:after="200"/>
        <w:rPr>
          <w:rFonts w:ascii="Arial" w:eastAsia="Arial" w:hAnsi="Arial" w:cs="Arial"/>
          <w:b/>
          <w:i/>
          <w:color w:val="4E5B6F"/>
          <w:sz w:val="20"/>
          <w:szCs w:val="20"/>
        </w:rPr>
      </w:pPr>
      <w:r>
        <w:rPr>
          <w:rFonts w:ascii="Arial" w:eastAsia="Arial" w:hAnsi="Arial" w:cs="Arial"/>
          <w:b/>
          <w:i/>
          <w:color w:val="4E5B6F"/>
          <w:sz w:val="20"/>
          <w:szCs w:val="20"/>
        </w:rPr>
        <w:t>Tabulka 1: Formy a druhy CBA</w:t>
      </w:r>
    </w:p>
    <w:tbl>
      <w:tblPr>
        <w:tblStyle w:val="a0"/>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8"/>
        <w:gridCol w:w="3292"/>
        <w:gridCol w:w="3555"/>
      </w:tblGrid>
      <w:tr w:rsidR="006E359D" w14:paraId="3AF5CFD9" w14:textId="77777777">
        <w:tc>
          <w:tcPr>
            <w:tcW w:w="1908" w:type="dxa"/>
          </w:tcPr>
          <w:p w14:paraId="54EB45A7" w14:textId="77777777" w:rsidR="006E359D" w:rsidRDefault="009B1D28">
            <w:pPr>
              <w:rPr>
                <w:rFonts w:ascii="Arial" w:eastAsia="Arial" w:hAnsi="Arial" w:cs="Arial"/>
                <w:b/>
                <w:sz w:val="20"/>
                <w:szCs w:val="20"/>
              </w:rPr>
            </w:pPr>
            <w:r>
              <w:rPr>
                <w:rFonts w:ascii="Arial" w:eastAsia="Arial" w:hAnsi="Arial" w:cs="Arial"/>
                <w:b/>
                <w:sz w:val="20"/>
                <w:szCs w:val="20"/>
              </w:rPr>
              <w:t>Typy CBA</w:t>
            </w:r>
          </w:p>
        </w:tc>
        <w:tc>
          <w:tcPr>
            <w:tcW w:w="3292" w:type="dxa"/>
          </w:tcPr>
          <w:p w14:paraId="60DBED76" w14:textId="77777777" w:rsidR="006E359D" w:rsidRDefault="009B1D28">
            <w:pPr>
              <w:rPr>
                <w:rFonts w:ascii="Arial" w:eastAsia="Arial" w:hAnsi="Arial" w:cs="Arial"/>
                <w:b/>
                <w:sz w:val="20"/>
                <w:szCs w:val="20"/>
              </w:rPr>
            </w:pPr>
            <w:r>
              <w:rPr>
                <w:rFonts w:ascii="Arial" w:eastAsia="Arial" w:hAnsi="Arial" w:cs="Arial"/>
                <w:b/>
                <w:sz w:val="20"/>
                <w:szCs w:val="20"/>
              </w:rPr>
              <w:t>Druhy CBA</w:t>
            </w:r>
          </w:p>
        </w:tc>
        <w:tc>
          <w:tcPr>
            <w:tcW w:w="3555" w:type="dxa"/>
          </w:tcPr>
          <w:p w14:paraId="7031A0E1" w14:textId="77777777" w:rsidR="006E359D" w:rsidRDefault="009B1D28">
            <w:pPr>
              <w:rPr>
                <w:rFonts w:ascii="Arial" w:eastAsia="Arial" w:hAnsi="Arial" w:cs="Arial"/>
                <w:b/>
                <w:sz w:val="20"/>
                <w:szCs w:val="20"/>
              </w:rPr>
            </w:pPr>
            <w:r>
              <w:rPr>
                <w:rFonts w:ascii="Arial" w:eastAsia="Arial" w:hAnsi="Arial" w:cs="Arial"/>
                <w:b/>
                <w:sz w:val="20"/>
                <w:szCs w:val="20"/>
              </w:rPr>
              <w:t>Obvykle používané (a možné) označení</w:t>
            </w:r>
          </w:p>
        </w:tc>
      </w:tr>
      <w:tr w:rsidR="006E359D" w14:paraId="03941D98" w14:textId="77777777">
        <w:trPr>
          <w:trHeight w:val="785"/>
        </w:trPr>
        <w:tc>
          <w:tcPr>
            <w:tcW w:w="1908" w:type="dxa"/>
          </w:tcPr>
          <w:p w14:paraId="03339845" w14:textId="77777777" w:rsidR="006E359D" w:rsidRDefault="006E359D">
            <w:pPr>
              <w:rPr>
                <w:rFonts w:ascii="Arial" w:eastAsia="Arial" w:hAnsi="Arial" w:cs="Arial"/>
                <w:sz w:val="20"/>
                <w:szCs w:val="20"/>
              </w:rPr>
            </w:pPr>
          </w:p>
          <w:p w14:paraId="6D6539C6" w14:textId="77777777" w:rsidR="006E359D" w:rsidRDefault="009B1D28">
            <w:pPr>
              <w:rPr>
                <w:rFonts w:ascii="Arial" w:eastAsia="Arial" w:hAnsi="Arial" w:cs="Arial"/>
                <w:sz w:val="20"/>
                <w:szCs w:val="20"/>
              </w:rPr>
            </w:pPr>
            <w:r>
              <w:rPr>
                <w:rFonts w:ascii="Arial" w:eastAsia="Arial" w:hAnsi="Arial" w:cs="Arial"/>
                <w:sz w:val="20"/>
                <w:szCs w:val="20"/>
              </w:rPr>
              <w:t>„Užší“ CBA</w:t>
            </w:r>
          </w:p>
        </w:tc>
        <w:tc>
          <w:tcPr>
            <w:tcW w:w="3292" w:type="dxa"/>
          </w:tcPr>
          <w:p w14:paraId="5F664F4D" w14:textId="77777777" w:rsidR="006E359D" w:rsidRDefault="006E359D">
            <w:pPr>
              <w:rPr>
                <w:rFonts w:ascii="Arial" w:eastAsia="Arial" w:hAnsi="Arial" w:cs="Arial"/>
                <w:sz w:val="20"/>
                <w:szCs w:val="20"/>
              </w:rPr>
            </w:pPr>
          </w:p>
          <w:p w14:paraId="72FD1CCE" w14:textId="77777777" w:rsidR="006E359D" w:rsidRDefault="009B1D28">
            <w:pPr>
              <w:rPr>
                <w:rFonts w:ascii="Arial" w:eastAsia="Arial" w:hAnsi="Arial" w:cs="Arial"/>
                <w:sz w:val="20"/>
                <w:szCs w:val="20"/>
              </w:rPr>
            </w:pPr>
            <w:r>
              <w:rPr>
                <w:rFonts w:ascii="Arial" w:eastAsia="Arial" w:hAnsi="Arial" w:cs="Arial"/>
                <w:sz w:val="20"/>
                <w:szCs w:val="20"/>
              </w:rPr>
              <w:t>Nečlení se na druhy</w:t>
            </w:r>
          </w:p>
        </w:tc>
        <w:tc>
          <w:tcPr>
            <w:tcW w:w="3555" w:type="dxa"/>
          </w:tcPr>
          <w:p w14:paraId="7346F0E3" w14:textId="77777777" w:rsidR="006E359D" w:rsidRDefault="009B1D28">
            <w:pPr>
              <w:rPr>
                <w:rFonts w:ascii="Arial" w:eastAsia="Arial" w:hAnsi="Arial" w:cs="Arial"/>
                <w:sz w:val="20"/>
                <w:szCs w:val="20"/>
              </w:rPr>
            </w:pPr>
            <w:r>
              <w:rPr>
                <w:rFonts w:ascii="Arial" w:eastAsia="Arial" w:hAnsi="Arial" w:cs="Arial"/>
                <w:sz w:val="20"/>
                <w:szCs w:val="20"/>
              </w:rPr>
              <w:t>Imanentní, vlastní analýza nákladů a přínosů, analýza nákladů a přínosů</w:t>
            </w:r>
          </w:p>
        </w:tc>
      </w:tr>
      <w:tr w:rsidR="006E359D" w14:paraId="2710A380" w14:textId="77777777">
        <w:trPr>
          <w:trHeight w:val="412"/>
        </w:trPr>
        <w:tc>
          <w:tcPr>
            <w:tcW w:w="1908" w:type="dxa"/>
            <w:vMerge w:val="restart"/>
          </w:tcPr>
          <w:p w14:paraId="643FFDB3" w14:textId="77777777" w:rsidR="006E359D" w:rsidRDefault="006E359D">
            <w:pPr>
              <w:rPr>
                <w:rFonts w:ascii="Arial" w:eastAsia="Arial" w:hAnsi="Arial" w:cs="Arial"/>
                <w:sz w:val="20"/>
                <w:szCs w:val="20"/>
              </w:rPr>
            </w:pPr>
          </w:p>
          <w:p w14:paraId="05F49FB0" w14:textId="77777777" w:rsidR="006E359D" w:rsidRDefault="009B1D28">
            <w:pPr>
              <w:rPr>
                <w:rFonts w:ascii="Arial" w:eastAsia="Arial" w:hAnsi="Arial" w:cs="Arial"/>
                <w:sz w:val="20"/>
                <w:szCs w:val="20"/>
              </w:rPr>
            </w:pPr>
            <w:r>
              <w:rPr>
                <w:rFonts w:ascii="Arial" w:eastAsia="Arial" w:hAnsi="Arial" w:cs="Arial"/>
                <w:sz w:val="20"/>
                <w:szCs w:val="20"/>
              </w:rPr>
              <w:t>„Širší“ CBA</w:t>
            </w:r>
          </w:p>
        </w:tc>
        <w:tc>
          <w:tcPr>
            <w:tcW w:w="3292" w:type="dxa"/>
          </w:tcPr>
          <w:p w14:paraId="149EC662" w14:textId="77777777" w:rsidR="006E359D" w:rsidRDefault="009B1D28">
            <w:pPr>
              <w:rPr>
                <w:rFonts w:ascii="Arial" w:eastAsia="Arial" w:hAnsi="Arial" w:cs="Arial"/>
                <w:sz w:val="20"/>
                <w:szCs w:val="20"/>
              </w:rPr>
            </w:pPr>
            <w:r>
              <w:rPr>
                <w:rFonts w:ascii="Arial" w:eastAsia="Arial" w:hAnsi="Arial" w:cs="Arial"/>
                <w:sz w:val="20"/>
                <w:szCs w:val="20"/>
              </w:rPr>
              <w:t>Neredukovaná forma CBA</w:t>
            </w:r>
          </w:p>
        </w:tc>
        <w:tc>
          <w:tcPr>
            <w:tcW w:w="3555" w:type="dxa"/>
            <w:vMerge w:val="restart"/>
          </w:tcPr>
          <w:p w14:paraId="2A2D4DDB" w14:textId="77777777" w:rsidR="006E359D" w:rsidRDefault="009B1D28">
            <w:pPr>
              <w:rPr>
                <w:rFonts w:ascii="Arial" w:eastAsia="Arial" w:hAnsi="Arial" w:cs="Arial"/>
                <w:sz w:val="20"/>
                <w:szCs w:val="20"/>
              </w:rPr>
            </w:pPr>
            <w:r>
              <w:rPr>
                <w:rFonts w:ascii="Arial" w:eastAsia="Arial" w:hAnsi="Arial" w:cs="Arial"/>
                <w:sz w:val="20"/>
                <w:szCs w:val="20"/>
              </w:rPr>
              <w:t>Analýza společenských nákladů a společenských přínosů</w:t>
            </w:r>
          </w:p>
        </w:tc>
      </w:tr>
      <w:tr w:rsidR="006E359D" w14:paraId="3745778B" w14:textId="77777777">
        <w:trPr>
          <w:trHeight w:val="415"/>
        </w:trPr>
        <w:tc>
          <w:tcPr>
            <w:tcW w:w="1908" w:type="dxa"/>
            <w:vMerge/>
          </w:tcPr>
          <w:p w14:paraId="445D3047" w14:textId="77777777" w:rsidR="006E359D" w:rsidRDefault="006E359D">
            <w:pPr>
              <w:widowControl w:val="0"/>
              <w:pBdr>
                <w:top w:val="nil"/>
                <w:left w:val="nil"/>
                <w:bottom w:val="nil"/>
                <w:right w:val="nil"/>
                <w:between w:val="nil"/>
              </w:pBdr>
              <w:spacing w:line="276" w:lineRule="auto"/>
              <w:rPr>
                <w:rFonts w:ascii="Arial" w:eastAsia="Arial" w:hAnsi="Arial" w:cs="Arial"/>
                <w:sz w:val="20"/>
                <w:szCs w:val="20"/>
              </w:rPr>
            </w:pPr>
          </w:p>
        </w:tc>
        <w:tc>
          <w:tcPr>
            <w:tcW w:w="3292" w:type="dxa"/>
          </w:tcPr>
          <w:p w14:paraId="4611F846" w14:textId="77777777" w:rsidR="006E359D" w:rsidRDefault="009B1D28">
            <w:pPr>
              <w:rPr>
                <w:rFonts w:ascii="Arial" w:eastAsia="Arial" w:hAnsi="Arial" w:cs="Arial"/>
                <w:sz w:val="20"/>
                <w:szCs w:val="20"/>
              </w:rPr>
            </w:pPr>
            <w:r>
              <w:rPr>
                <w:rFonts w:ascii="Arial" w:eastAsia="Arial" w:hAnsi="Arial" w:cs="Arial"/>
                <w:sz w:val="20"/>
                <w:szCs w:val="20"/>
              </w:rPr>
              <w:t>Redukovaná forma CBA</w:t>
            </w:r>
          </w:p>
        </w:tc>
        <w:tc>
          <w:tcPr>
            <w:tcW w:w="3555" w:type="dxa"/>
            <w:vMerge/>
          </w:tcPr>
          <w:p w14:paraId="3A6E5F29" w14:textId="77777777" w:rsidR="006E359D" w:rsidRDefault="006E359D">
            <w:pPr>
              <w:widowControl w:val="0"/>
              <w:pBdr>
                <w:top w:val="nil"/>
                <w:left w:val="nil"/>
                <w:bottom w:val="nil"/>
                <w:right w:val="nil"/>
                <w:between w:val="nil"/>
              </w:pBdr>
              <w:spacing w:line="276" w:lineRule="auto"/>
              <w:rPr>
                <w:rFonts w:ascii="Arial" w:eastAsia="Arial" w:hAnsi="Arial" w:cs="Arial"/>
                <w:sz w:val="20"/>
                <w:szCs w:val="20"/>
              </w:rPr>
            </w:pPr>
          </w:p>
        </w:tc>
      </w:tr>
    </w:tbl>
    <w:p w14:paraId="7F07EC8E" w14:textId="77777777" w:rsidR="006E359D" w:rsidRDefault="009B1D28">
      <w:pPr>
        <w:keepNext/>
        <w:spacing w:after="200"/>
        <w:rPr>
          <w:rFonts w:ascii="Arial" w:eastAsia="Arial" w:hAnsi="Arial" w:cs="Arial"/>
          <w:i/>
          <w:color w:val="4E5B6F"/>
          <w:sz w:val="20"/>
          <w:szCs w:val="20"/>
        </w:rPr>
      </w:pP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b/>
          <w:i/>
          <w:color w:val="4E5B6F"/>
          <w:sz w:val="20"/>
          <w:szCs w:val="20"/>
        </w:rPr>
        <w:t>Zdroj: Ochrana (2005): 78</w:t>
      </w:r>
    </w:p>
    <w:p w14:paraId="6E0AF45A" w14:textId="77777777" w:rsidR="006E359D" w:rsidRDefault="009B1D28">
      <w:pPr>
        <w:spacing w:before="240" w:line="276" w:lineRule="auto"/>
        <w:jc w:val="both"/>
        <w:rPr>
          <w:rFonts w:ascii="Arial" w:eastAsia="Arial" w:hAnsi="Arial" w:cs="Arial"/>
          <w:sz w:val="20"/>
          <w:szCs w:val="20"/>
        </w:rPr>
      </w:pPr>
      <w:r>
        <w:rPr>
          <w:rFonts w:ascii="Arial" w:eastAsia="Arial" w:hAnsi="Arial" w:cs="Arial"/>
          <w:sz w:val="20"/>
          <w:szCs w:val="20"/>
        </w:rPr>
        <w:t>Z hlediska druhů Analýzy společenských nákladů a společenských přínosů se rozlišuje tzv. neredukovaná a redukovaná forma. Neredukovaná forma Analýzy společenských nákladů a společenských přínosů peněžně ohodnocuje (</w:t>
      </w:r>
      <w:proofErr w:type="spellStart"/>
      <w:r>
        <w:rPr>
          <w:rFonts w:ascii="Arial" w:eastAsia="Arial" w:hAnsi="Arial" w:cs="Arial"/>
          <w:sz w:val="20"/>
          <w:szCs w:val="20"/>
        </w:rPr>
        <w:t>monetizuje</w:t>
      </w:r>
      <w:proofErr w:type="spellEnd"/>
      <w:r>
        <w:rPr>
          <w:rFonts w:ascii="Arial" w:eastAsia="Arial" w:hAnsi="Arial" w:cs="Arial"/>
          <w:sz w:val="20"/>
          <w:szCs w:val="20"/>
        </w:rPr>
        <w:t>) veškeré společenské přínosy a veškeré společenské náklady a újmy. Zároveň kalkuluje i veškeré nehmotné přínosy (např. úspora času v souvislosti s výkonem práce v blízkosti bydliště, kdy osoby za prací již nemusí dojíždět). Z důvodu obtížné kvantifikace a monetizace společenských přínosů a nákladů (neboli společenské újmy) se využívá tzv. redukovaná forma společenských nákladů a společenských přínosů. V rámci redukované formy dochází k monetizaci položek, u kterých lze jejich hodnota relativně přesně nacenit. Efekty, které jsou obtížně peněžně kvantifikovatelné, se vyjadřují slovně, spolu s podrobným komentářem (</w:t>
      </w:r>
      <w:proofErr w:type="spellStart"/>
      <w:r>
        <w:rPr>
          <w:rFonts w:ascii="Arial" w:eastAsia="Arial" w:hAnsi="Arial" w:cs="Arial"/>
          <w:sz w:val="20"/>
          <w:szCs w:val="20"/>
        </w:rPr>
        <w:t>Ibid</w:t>
      </w:r>
      <w:proofErr w:type="spellEnd"/>
      <w:r>
        <w:rPr>
          <w:rFonts w:ascii="Arial" w:eastAsia="Arial" w:hAnsi="Arial" w:cs="Arial"/>
          <w:sz w:val="20"/>
          <w:szCs w:val="20"/>
        </w:rPr>
        <w:t>.).</w:t>
      </w:r>
    </w:p>
    <w:p w14:paraId="354D08C6" w14:textId="77777777" w:rsidR="006E359D" w:rsidRDefault="009B1D28">
      <w:pPr>
        <w:spacing w:before="240" w:after="240" w:line="276" w:lineRule="auto"/>
        <w:jc w:val="both"/>
        <w:rPr>
          <w:rFonts w:ascii="Arial" w:eastAsia="Arial" w:hAnsi="Arial" w:cs="Arial"/>
          <w:sz w:val="20"/>
          <w:szCs w:val="20"/>
        </w:rPr>
      </w:pPr>
      <w:r>
        <w:rPr>
          <w:rFonts w:ascii="Arial" w:eastAsia="Arial" w:hAnsi="Arial" w:cs="Arial"/>
          <w:sz w:val="20"/>
          <w:szCs w:val="20"/>
        </w:rPr>
        <w:t xml:space="preserve">Vypracované nabídky by měly být realizovány v souladu s konceptualizací redukované formy Analýzy společenských nákladů a společenských přínosů dle Ochrany (2004, 2005). Následně by dle dané konceptualizace analýzy měla být realizovaná i vysoutěžená veřejná zakázka. </w:t>
      </w:r>
    </w:p>
    <w:p w14:paraId="675652F1" w14:textId="77777777" w:rsidR="006E359D" w:rsidRDefault="009B1D28">
      <w:pPr>
        <w:spacing w:after="240" w:line="276" w:lineRule="auto"/>
        <w:jc w:val="both"/>
        <w:rPr>
          <w:rFonts w:ascii="Arial" w:eastAsia="Arial" w:hAnsi="Arial" w:cs="Arial"/>
          <w:sz w:val="20"/>
          <w:szCs w:val="20"/>
        </w:rPr>
      </w:pPr>
      <w:r>
        <w:rPr>
          <w:rFonts w:ascii="Arial" w:eastAsia="Arial" w:hAnsi="Arial" w:cs="Arial"/>
          <w:sz w:val="20"/>
          <w:szCs w:val="20"/>
        </w:rPr>
        <w:t>Objednatel poskytne Zpracovateli základní přehledová data týkající se projektu v podobě žádosti o podporu, jednotkového rozpočtu,</w:t>
      </w:r>
      <w:r>
        <w:rPr>
          <w:rFonts w:ascii="Arial" w:eastAsia="Arial" w:hAnsi="Arial" w:cs="Arial"/>
          <w:b/>
          <w:sz w:val="20"/>
          <w:szCs w:val="20"/>
        </w:rPr>
        <w:t xml:space="preserve"> </w:t>
      </w:r>
      <w:r>
        <w:rPr>
          <w:rFonts w:ascii="Arial" w:eastAsia="Arial" w:hAnsi="Arial" w:cs="Arial"/>
          <w:sz w:val="20"/>
          <w:szCs w:val="20"/>
        </w:rPr>
        <w:t>inovačního záměru,</w:t>
      </w:r>
      <w:r>
        <w:rPr>
          <w:rFonts w:ascii="Arial" w:eastAsia="Arial" w:hAnsi="Arial" w:cs="Arial"/>
          <w:b/>
          <w:sz w:val="20"/>
          <w:szCs w:val="20"/>
        </w:rPr>
        <w:t xml:space="preserve"> </w:t>
      </w:r>
      <w:r>
        <w:rPr>
          <w:rFonts w:ascii="Arial" w:eastAsia="Arial" w:hAnsi="Arial" w:cs="Arial"/>
          <w:sz w:val="20"/>
          <w:szCs w:val="20"/>
        </w:rPr>
        <w:t xml:space="preserve">evaluačních zpráv a v případě potřeby dat o podpořených osobách z Informačního systému ESF 2014+. Za získání dalších potřebných sekundárních dat potřebných k naplnění stanovených výzkumných cílů je zodpovědný Zpracovatel. Objednatel bude Zpracovateli nápomocný v získávání hůře dostupných dat, pokud to situace a postavení Objednatele umožní, za získání těchto dat je však zodpovědný primárně Zpracovatel a Objednateli neplyne žádná povinnost na spolupráci. </w:t>
      </w:r>
    </w:p>
    <w:p w14:paraId="75B8DE89" w14:textId="77777777" w:rsidR="006E359D" w:rsidRDefault="009B1D28">
      <w:pPr>
        <w:spacing w:after="240" w:line="276" w:lineRule="auto"/>
        <w:jc w:val="both"/>
        <w:rPr>
          <w:rFonts w:ascii="Arial" w:eastAsia="Arial" w:hAnsi="Arial" w:cs="Arial"/>
          <w:sz w:val="20"/>
          <w:szCs w:val="20"/>
        </w:rPr>
      </w:pPr>
      <w:r>
        <w:rPr>
          <w:rFonts w:ascii="Arial" w:eastAsia="Arial" w:hAnsi="Arial" w:cs="Arial"/>
          <w:sz w:val="20"/>
          <w:szCs w:val="20"/>
        </w:rPr>
        <w:t xml:space="preserve">V případě potřeby Zpracovatel využije adekvátní metody sběru dat (tj. rozhovory s aktéry, </w:t>
      </w:r>
      <w:proofErr w:type="spellStart"/>
      <w:r>
        <w:rPr>
          <w:rFonts w:ascii="Arial" w:eastAsia="Arial" w:hAnsi="Arial" w:cs="Arial"/>
          <w:sz w:val="20"/>
          <w:szCs w:val="20"/>
        </w:rPr>
        <w:t>fokusní</w:t>
      </w:r>
      <w:proofErr w:type="spellEnd"/>
      <w:r>
        <w:rPr>
          <w:rFonts w:ascii="Arial" w:eastAsia="Arial" w:hAnsi="Arial" w:cs="Arial"/>
          <w:sz w:val="20"/>
          <w:szCs w:val="20"/>
        </w:rPr>
        <w:t xml:space="preserve"> skupiny) pro získání primárních dat. Objednatel upozorňuje, že v rámci stanovení rozpočtu by měl Zpracovatel zohlednit případné náklady spojené se sběrem primárních dat (např. finanční odměny pro respondenty), s finančním ohodnocením projektového týmu zaštiťujícího daný projekt (při dlouhodobější spolupráci členů projektového týmu na realizaci Analýzy nákladů a přínosů), či případné náklady spojené se získáním neveřejných sekundárních dat potřebných pro realizaci dané analýzy.  </w:t>
      </w:r>
    </w:p>
    <w:p w14:paraId="503E18B1" w14:textId="77777777" w:rsidR="006E359D" w:rsidRDefault="006E359D">
      <w:pPr>
        <w:spacing w:after="240" w:line="276" w:lineRule="auto"/>
        <w:jc w:val="both"/>
        <w:rPr>
          <w:rFonts w:ascii="Arial" w:eastAsia="Arial" w:hAnsi="Arial" w:cs="Arial"/>
          <w:sz w:val="20"/>
          <w:szCs w:val="20"/>
        </w:rPr>
      </w:pPr>
    </w:p>
    <w:p w14:paraId="79461FEE" w14:textId="77777777" w:rsidR="006E359D" w:rsidRDefault="009B1D28">
      <w:pPr>
        <w:keepNext/>
        <w:keepLines/>
        <w:numPr>
          <w:ilvl w:val="0"/>
          <w:numId w:val="7"/>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Výzkumné cíle a otázky</w:t>
      </w:r>
    </w:p>
    <w:p w14:paraId="1243E14E" w14:textId="77777777" w:rsidR="006E359D" w:rsidRDefault="006E359D">
      <w:pPr>
        <w:spacing w:line="276" w:lineRule="auto"/>
        <w:jc w:val="both"/>
        <w:rPr>
          <w:rFonts w:ascii="Arial" w:eastAsia="Arial" w:hAnsi="Arial" w:cs="Arial"/>
          <w:color w:val="000000"/>
          <w:sz w:val="20"/>
          <w:szCs w:val="20"/>
        </w:rPr>
      </w:pPr>
    </w:p>
    <w:p w14:paraId="512719EB" w14:textId="77777777" w:rsidR="006E359D" w:rsidRDefault="009B1D28">
      <w:pPr>
        <w:spacing w:line="276" w:lineRule="auto"/>
        <w:jc w:val="both"/>
        <w:rPr>
          <w:rFonts w:ascii="Arial" w:eastAsia="Arial" w:hAnsi="Arial" w:cs="Arial"/>
          <w:color w:val="000000"/>
          <w:sz w:val="20"/>
          <w:szCs w:val="20"/>
        </w:rPr>
      </w:pPr>
      <w:r>
        <w:rPr>
          <w:rFonts w:ascii="Arial" w:eastAsia="Arial" w:hAnsi="Arial" w:cs="Arial"/>
          <w:color w:val="000000"/>
          <w:sz w:val="20"/>
          <w:szCs w:val="20"/>
        </w:rPr>
        <w:t>V rámci plnění této evaluační zakázky Zpracovatel naplní následující výzkumné cíle. Součástí výzkumné zprávy bude i podrobný popis průběhu realizované Analýzy nákladů a přínosů, shrnutí a syntéza výsledků všech výzkumných cílů, identifikace problémů a rizik při realizaci Analýzy nákladů a přínosů, spolu s definováním případných doporučení pro minimalizaci těchto rizik.</w:t>
      </w:r>
    </w:p>
    <w:p w14:paraId="641A2921" w14:textId="77777777" w:rsidR="006E359D" w:rsidRDefault="006E359D">
      <w:pPr>
        <w:spacing w:line="276" w:lineRule="auto"/>
        <w:rPr>
          <w:rFonts w:ascii="Arial" w:eastAsia="Arial" w:hAnsi="Arial" w:cs="Arial"/>
          <w:sz w:val="20"/>
          <w:szCs w:val="20"/>
          <w:highlight w:val="yellow"/>
        </w:rPr>
      </w:pPr>
    </w:p>
    <w:p w14:paraId="5AA8D23E" w14:textId="77777777" w:rsidR="006E359D" w:rsidRDefault="009B1D28">
      <w:pPr>
        <w:shd w:val="clear" w:color="auto" w:fill="CBECB0"/>
        <w:spacing w:line="276" w:lineRule="auto"/>
        <w:jc w:val="both"/>
        <w:rPr>
          <w:rFonts w:ascii="Arial" w:eastAsia="Arial" w:hAnsi="Arial" w:cs="Arial"/>
          <w:b/>
          <w:sz w:val="20"/>
          <w:szCs w:val="20"/>
        </w:rPr>
      </w:pPr>
      <w:bookmarkStart w:id="6" w:name="_heading=h.tyjcwt" w:colFirst="0" w:colLast="0"/>
      <w:bookmarkEnd w:id="6"/>
      <w:r>
        <w:rPr>
          <w:rFonts w:ascii="Arial" w:eastAsia="Arial" w:hAnsi="Arial" w:cs="Arial"/>
          <w:b/>
          <w:sz w:val="20"/>
          <w:szCs w:val="20"/>
        </w:rPr>
        <w:t>Výzkumný cíl 1: Zhodnocení proveditelnosti Analýzy nákladů a přínosů v rámci vybraného inovačního projektu Operačního programu Zaměstnanost (konkrétně projekt Společně na svobodu) a identifikace rizik dané analýzy, spolu s identifikací limitů Analýzy nákladů a přínosů u vybraného inovačního projektu.</w:t>
      </w:r>
    </w:p>
    <w:p w14:paraId="19968D03" w14:textId="77777777" w:rsidR="006E359D" w:rsidRDefault="006E359D">
      <w:pPr>
        <w:spacing w:line="276" w:lineRule="auto"/>
        <w:jc w:val="both"/>
        <w:rPr>
          <w:rFonts w:ascii="Arial" w:eastAsia="Arial" w:hAnsi="Arial" w:cs="Arial"/>
          <w:b/>
          <w:sz w:val="20"/>
          <w:szCs w:val="20"/>
        </w:rPr>
      </w:pPr>
    </w:p>
    <w:p w14:paraId="3FAC6290" w14:textId="77777777" w:rsidR="006E359D" w:rsidRDefault="009B1D28">
      <w:pPr>
        <w:rPr>
          <w:rFonts w:ascii="Arial" w:eastAsia="Arial" w:hAnsi="Arial" w:cs="Arial"/>
          <w:sz w:val="20"/>
          <w:szCs w:val="20"/>
        </w:rPr>
      </w:pPr>
      <w:r>
        <w:rPr>
          <w:rFonts w:ascii="Arial" w:eastAsia="Arial" w:hAnsi="Arial" w:cs="Arial"/>
          <w:sz w:val="20"/>
          <w:szCs w:val="20"/>
          <w:u w:val="single"/>
        </w:rPr>
        <w:t>Dílčí výzkumná otázka 1.1.:</w:t>
      </w:r>
      <w:r>
        <w:rPr>
          <w:rFonts w:ascii="Arial" w:eastAsia="Arial" w:hAnsi="Arial" w:cs="Arial"/>
          <w:sz w:val="20"/>
          <w:szCs w:val="20"/>
        </w:rPr>
        <w:t xml:space="preserve"> Je možné u vybraného inovačního projektu (vzhledem k povaze projektu a jeho nastavení) realizovat Analýzu nákladů a přínosů v plném rozsahu (a naplnit všechny aspekty této analýzy)?</w:t>
      </w:r>
    </w:p>
    <w:p w14:paraId="534E0A2C" w14:textId="77777777" w:rsidR="006E359D" w:rsidRDefault="006E359D">
      <w:pPr>
        <w:rPr>
          <w:rFonts w:ascii="Arial" w:eastAsia="Arial" w:hAnsi="Arial" w:cs="Arial"/>
          <w:sz w:val="20"/>
          <w:szCs w:val="20"/>
        </w:rPr>
      </w:pPr>
    </w:p>
    <w:p w14:paraId="73E92E58" w14:textId="77777777" w:rsidR="006E359D" w:rsidRDefault="009B1D28">
      <w:pPr>
        <w:rPr>
          <w:rFonts w:ascii="Arial" w:eastAsia="Arial" w:hAnsi="Arial" w:cs="Arial"/>
          <w:sz w:val="20"/>
          <w:szCs w:val="20"/>
        </w:rPr>
      </w:pPr>
      <w:r>
        <w:rPr>
          <w:rFonts w:ascii="Arial" w:eastAsia="Arial" w:hAnsi="Arial" w:cs="Arial"/>
          <w:sz w:val="20"/>
          <w:szCs w:val="20"/>
          <w:u w:val="single"/>
        </w:rPr>
        <w:lastRenderedPageBreak/>
        <w:t>Dílčí výzkumná otázka 1.2.:</w:t>
      </w:r>
      <w:r>
        <w:rPr>
          <w:rFonts w:ascii="Arial" w:eastAsia="Arial" w:hAnsi="Arial" w:cs="Arial"/>
          <w:sz w:val="20"/>
          <w:szCs w:val="20"/>
        </w:rPr>
        <w:t xml:space="preserve">  Jsou dostupná data pro realizaci Analýzy nákladů a přínosů u vybraného projektu dostačující? Pokud ne, jaký typ dat by bylo vhodné získat?</w:t>
      </w:r>
    </w:p>
    <w:p w14:paraId="53A3E98B" w14:textId="77777777" w:rsidR="006E359D" w:rsidRDefault="006E359D">
      <w:pPr>
        <w:rPr>
          <w:rFonts w:ascii="Arial" w:eastAsia="Arial" w:hAnsi="Arial" w:cs="Arial"/>
          <w:sz w:val="20"/>
          <w:szCs w:val="20"/>
        </w:rPr>
      </w:pPr>
    </w:p>
    <w:p w14:paraId="524351D6" w14:textId="77777777" w:rsidR="006E359D" w:rsidRDefault="009B1D28">
      <w:pPr>
        <w:rPr>
          <w:rFonts w:ascii="Arial" w:eastAsia="Arial" w:hAnsi="Arial" w:cs="Arial"/>
          <w:sz w:val="20"/>
          <w:szCs w:val="20"/>
        </w:rPr>
      </w:pPr>
      <w:r>
        <w:rPr>
          <w:rFonts w:ascii="Arial" w:eastAsia="Arial" w:hAnsi="Arial" w:cs="Arial"/>
          <w:sz w:val="20"/>
          <w:szCs w:val="20"/>
          <w:u w:val="single"/>
        </w:rPr>
        <w:t>Dílčí výzkumná otázka 1.3.:</w:t>
      </w:r>
      <w:r>
        <w:rPr>
          <w:rFonts w:ascii="Arial" w:eastAsia="Arial" w:hAnsi="Arial" w:cs="Arial"/>
          <w:sz w:val="20"/>
          <w:szCs w:val="20"/>
        </w:rPr>
        <w:t xml:space="preserve"> Jaká jsou identifikovaná rizika Analýzy nákladů a přínosů u vybraného inovačního projektu a jakým způsobem lze tato rizika minimalizovat? </w:t>
      </w:r>
    </w:p>
    <w:p w14:paraId="7BA75E7F" w14:textId="77777777" w:rsidR="006E359D" w:rsidRDefault="006E359D">
      <w:pPr>
        <w:rPr>
          <w:rFonts w:ascii="Arial" w:eastAsia="Arial" w:hAnsi="Arial" w:cs="Arial"/>
          <w:sz w:val="20"/>
          <w:szCs w:val="20"/>
        </w:rPr>
      </w:pPr>
    </w:p>
    <w:p w14:paraId="5EE13395" w14:textId="77777777" w:rsidR="006E359D" w:rsidRDefault="009B1D28">
      <w:pPr>
        <w:rPr>
          <w:rFonts w:ascii="Arial" w:eastAsia="Arial" w:hAnsi="Arial" w:cs="Arial"/>
          <w:sz w:val="20"/>
          <w:szCs w:val="20"/>
        </w:rPr>
      </w:pPr>
      <w:r>
        <w:rPr>
          <w:rFonts w:ascii="Arial" w:eastAsia="Arial" w:hAnsi="Arial" w:cs="Arial"/>
          <w:sz w:val="20"/>
          <w:szCs w:val="20"/>
          <w:u w:val="single"/>
        </w:rPr>
        <w:t>Dílčí výzkumná otázka 1.4.:</w:t>
      </w:r>
      <w:r>
        <w:rPr>
          <w:rFonts w:ascii="Arial" w:eastAsia="Arial" w:hAnsi="Arial" w:cs="Arial"/>
          <w:sz w:val="20"/>
          <w:szCs w:val="20"/>
        </w:rPr>
        <w:t xml:space="preserve"> Jaké jsou identifikované limity Analýzy nákladů a přínosů u vybraného inovačního projektu?  </w:t>
      </w:r>
    </w:p>
    <w:p w14:paraId="0084C84E" w14:textId="77777777" w:rsidR="006E359D" w:rsidRDefault="006E359D">
      <w:pPr>
        <w:rPr>
          <w:rFonts w:ascii="Arial" w:eastAsia="Arial" w:hAnsi="Arial" w:cs="Arial"/>
          <w:sz w:val="20"/>
          <w:szCs w:val="20"/>
        </w:rPr>
      </w:pPr>
    </w:p>
    <w:p w14:paraId="0104FE67" w14:textId="77777777" w:rsidR="006E359D" w:rsidRDefault="006E359D">
      <w:pPr>
        <w:rPr>
          <w:rFonts w:ascii="Arial" w:eastAsia="Arial" w:hAnsi="Arial" w:cs="Arial"/>
          <w:sz w:val="20"/>
          <w:szCs w:val="20"/>
        </w:rPr>
      </w:pPr>
    </w:p>
    <w:p w14:paraId="37A07363" w14:textId="77777777" w:rsidR="006E359D" w:rsidRDefault="009B1D28">
      <w:pPr>
        <w:shd w:val="clear" w:color="auto" w:fill="CBECB0"/>
        <w:spacing w:line="276" w:lineRule="auto"/>
        <w:jc w:val="both"/>
        <w:rPr>
          <w:rFonts w:ascii="Arial" w:eastAsia="Arial" w:hAnsi="Arial" w:cs="Arial"/>
          <w:b/>
          <w:sz w:val="20"/>
          <w:szCs w:val="20"/>
        </w:rPr>
      </w:pPr>
      <w:bookmarkStart w:id="7" w:name="_heading=h.3dy6vkm" w:colFirst="0" w:colLast="0"/>
      <w:bookmarkEnd w:id="7"/>
      <w:r>
        <w:rPr>
          <w:rFonts w:ascii="Arial" w:eastAsia="Arial" w:hAnsi="Arial" w:cs="Arial"/>
          <w:b/>
          <w:sz w:val="20"/>
          <w:szCs w:val="20"/>
        </w:rPr>
        <w:t>Výzkumný cíl 2: Identifikovat a vyhodnotit společenské náklady a přínosy projektu Společně na svobodu a zhodnotit, zda převažují výnosy (</w:t>
      </w:r>
      <w:proofErr w:type="spellStart"/>
      <w:r>
        <w:rPr>
          <w:rFonts w:ascii="Arial" w:eastAsia="Arial" w:hAnsi="Arial" w:cs="Arial"/>
          <w:b/>
          <w:sz w:val="20"/>
          <w:szCs w:val="20"/>
        </w:rPr>
        <w:t>monetizovatelné</w:t>
      </w:r>
      <w:proofErr w:type="spellEnd"/>
      <w:r>
        <w:rPr>
          <w:rFonts w:ascii="Arial" w:eastAsia="Arial" w:hAnsi="Arial" w:cs="Arial"/>
          <w:b/>
          <w:sz w:val="20"/>
          <w:szCs w:val="20"/>
        </w:rPr>
        <w:t xml:space="preserve"> výstupy a nepeněžní výsledky) dané služby nad náklady.</w:t>
      </w:r>
    </w:p>
    <w:p w14:paraId="21776442" w14:textId="77777777" w:rsidR="006E359D" w:rsidRDefault="006E359D">
      <w:pPr>
        <w:rPr>
          <w:rFonts w:ascii="Arial" w:eastAsia="Arial" w:hAnsi="Arial" w:cs="Arial"/>
          <w:sz w:val="20"/>
          <w:szCs w:val="20"/>
        </w:rPr>
      </w:pPr>
    </w:p>
    <w:p w14:paraId="7C4E078C" w14:textId="77777777" w:rsidR="006E359D" w:rsidRDefault="009B1D28">
      <w:pPr>
        <w:rPr>
          <w:rFonts w:ascii="Arial" w:eastAsia="Arial" w:hAnsi="Arial" w:cs="Arial"/>
          <w:sz w:val="20"/>
          <w:szCs w:val="20"/>
        </w:rPr>
      </w:pPr>
      <w:r>
        <w:rPr>
          <w:rFonts w:ascii="Arial" w:eastAsia="Arial" w:hAnsi="Arial" w:cs="Arial"/>
          <w:sz w:val="20"/>
          <w:szCs w:val="20"/>
          <w:u w:val="single"/>
        </w:rPr>
        <w:t>Dílčí výzkumná otázka 2.1.:</w:t>
      </w:r>
      <w:r>
        <w:rPr>
          <w:rFonts w:ascii="Arial" w:eastAsia="Arial" w:hAnsi="Arial" w:cs="Arial"/>
          <w:sz w:val="20"/>
          <w:szCs w:val="20"/>
        </w:rPr>
        <w:t xml:space="preserve"> Převažují výnosy (</w:t>
      </w:r>
      <w:proofErr w:type="spellStart"/>
      <w:r>
        <w:rPr>
          <w:rFonts w:ascii="Arial" w:eastAsia="Arial" w:hAnsi="Arial" w:cs="Arial"/>
          <w:sz w:val="20"/>
          <w:szCs w:val="20"/>
        </w:rPr>
        <w:t>monetizovatelné</w:t>
      </w:r>
      <w:proofErr w:type="spellEnd"/>
      <w:r>
        <w:rPr>
          <w:rFonts w:ascii="Arial" w:eastAsia="Arial" w:hAnsi="Arial" w:cs="Arial"/>
          <w:sz w:val="20"/>
          <w:szCs w:val="20"/>
        </w:rPr>
        <w:t xml:space="preserve"> výstupy a nepeněžní výsledky) projektu/inovace nad ekonomickými náklady spjatými s realizací projektu/inovace?</w:t>
      </w:r>
    </w:p>
    <w:p w14:paraId="58848250" w14:textId="77777777" w:rsidR="006E359D" w:rsidRDefault="006E359D">
      <w:pPr>
        <w:rPr>
          <w:rFonts w:ascii="Arial" w:eastAsia="Arial" w:hAnsi="Arial" w:cs="Arial"/>
          <w:sz w:val="20"/>
          <w:szCs w:val="20"/>
        </w:rPr>
      </w:pPr>
    </w:p>
    <w:p w14:paraId="6E882C06" w14:textId="77777777" w:rsidR="006E359D" w:rsidRDefault="009B1D28">
      <w:pPr>
        <w:rPr>
          <w:rFonts w:ascii="Arial" w:eastAsia="Arial" w:hAnsi="Arial" w:cs="Arial"/>
          <w:sz w:val="20"/>
          <w:szCs w:val="20"/>
        </w:rPr>
      </w:pPr>
      <w:r>
        <w:rPr>
          <w:rFonts w:ascii="Arial" w:eastAsia="Arial" w:hAnsi="Arial" w:cs="Arial"/>
          <w:sz w:val="20"/>
          <w:szCs w:val="20"/>
          <w:u w:val="single"/>
        </w:rPr>
        <w:t>Dílčí výzkumná otázka 2.2.:</w:t>
      </w:r>
      <w:r>
        <w:rPr>
          <w:rFonts w:ascii="Arial" w:eastAsia="Arial" w:hAnsi="Arial" w:cs="Arial"/>
          <w:sz w:val="20"/>
          <w:szCs w:val="20"/>
        </w:rPr>
        <w:t xml:space="preserve"> Došlo u sledovaného projektu/inovace k identifikaci neočekávaných či excesivních nákladů?</w:t>
      </w:r>
    </w:p>
    <w:p w14:paraId="790DD0C5" w14:textId="77777777" w:rsidR="006E359D" w:rsidRDefault="006E359D">
      <w:pPr>
        <w:rPr>
          <w:rFonts w:ascii="Arial" w:eastAsia="Arial" w:hAnsi="Arial" w:cs="Arial"/>
          <w:sz w:val="20"/>
          <w:szCs w:val="20"/>
        </w:rPr>
      </w:pPr>
    </w:p>
    <w:p w14:paraId="220F19AB" w14:textId="77777777" w:rsidR="006E359D" w:rsidRDefault="009B1D28">
      <w:pPr>
        <w:rPr>
          <w:rFonts w:ascii="Arial" w:eastAsia="Arial" w:hAnsi="Arial" w:cs="Arial"/>
          <w:sz w:val="20"/>
          <w:szCs w:val="20"/>
        </w:rPr>
      </w:pPr>
      <w:r>
        <w:rPr>
          <w:rFonts w:ascii="Arial" w:eastAsia="Arial" w:hAnsi="Arial" w:cs="Arial"/>
          <w:sz w:val="20"/>
          <w:szCs w:val="20"/>
          <w:u w:val="single"/>
        </w:rPr>
        <w:t>Dílčí výzkumná otázka 2.3.:</w:t>
      </w:r>
      <w:r>
        <w:rPr>
          <w:rFonts w:ascii="Arial" w:eastAsia="Arial" w:hAnsi="Arial" w:cs="Arial"/>
          <w:sz w:val="20"/>
          <w:szCs w:val="20"/>
        </w:rPr>
        <w:t xml:space="preserve"> Převažovaly by výnosy nad náklady i v případě dalšího šíření projektu/inovace, případně u realizace projektů/inovací typově podobných? </w:t>
      </w:r>
    </w:p>
    <w:p w14:paraId="38587197" w14:textId="77777777" w:rsidR="006E359D" w:rsidRDefault="006E359D">
      <w:pPr>
        <w:spacing w:line="276" w:lineRule="auto"/>
        <w:jc w:val="both"/>
        <w:rPr>
          <w:rFonts w:ascii="Arial" w:eastAsia="Arial" w:hAnsi="Arial" w:cs="Arial"/>
          <w:b/>
          <w:sz w:val="20"/>
          <w:szCs w:val="20"/>
        </w:rPr>
      </w:pPr>
    </w:p>
    <w:p w14:paraId="340A77BC" w14:textId="77777777" w:rsidR="006E359D" w:rsidRDefault="009B1D28">
      <w:pPr>
        <w:keepNext/>
        <w:keepLines/>
        <w:numPr>
          <w:ilvl w:val="0"/>
          <w:numId w:val="7"/>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Požadované výstupy</w:t>
      </w:r>
    </w:p>
    <w:p w14:paraId="10A044E3" w14:textId="77777777" w:rsidR="006E359D" w:rsidRDefault="009B1D28">
      <w:pPr>
        <w:spacing w:before="120" w:line="276" w:lineRule="auto"/>
        <w:jc w:val="both"/>
        <w:rPr>
          <w:rFonts w:ascii="Arial" w:eastAsia="Arial" w:hAnsi="Arial" w:cs="Arial"/>
          <w:sz w:val="20"/>
          <w:szCs w:val="20"/>
        </w:rPr>
      </w:pPr>
      <w:r>
        <w:rPr>
          <w:rFonts w:ascii="Arial" w:eastAsia="Arial" w:hAnsi="Arial" w:cs="Arial"/>
          <w:sz w:val="20"/>
          <w:szCs w:val="20"/>
        </w:rPr>
        <w:t>Zpracovatel v rámci realizace Analýzy nákladů a přínosů, která je předmětem plnění dle této Smlouvy, odevzdá vstupní, průběžnou a závěrečnou zprávu, zástupci Zpracovatele se dále setkají se zástupci Objednatele na alespoň 2 pracovních schůzkách (úvodní a aktualizační) a na závěrečném workshopu, kde budou Zpracovatelem prezentovány výstupy realizované analýzy.</w:t>
      </w:r>
    </w:p>
    <w:p w14:paraId="6F7F66EB" w14:textId="77777777" w:rsidR="006E359D" w:rsidRDefault="009B1D28">
      <w:pPr>
        <w:spacing w:before="120" w:line="276" w:lineRule="auto"/>
        <w:jc w:val="both"/>
        <w:rPr>
          <w:rFonts w:ascii="Arial" w:eastAsia="Arial" w:hAnsi="Arial" w:cs="Arial"/>
          <w:sz w:val="20"/>
          <w:szCs w:val="20"/>
        </w:rPr>
      </w:pPr>
      <w:bookmarkStart w:id="8" w:name="_heading=h.1t3h5sf" w:colFirst="0" w:colLast="0"/>
      <w:bookmarkEnd w:id="8"/>
      <w:r>
        <w:rPr>
          <w:rFonts w:ascii="Arial" w:eastAsia="Arial" w:hAnsi="Arial" w:cs="Arial"/>
          <w:b/>
          <w:sz w:val="20"/>
          <w:szCs w:val="20"/>
        </w:rPr>
        <w:t>Vstupní zpráva</w:t>
      </w:r>
      <w:r>
        <w:rPr>
          <w:rFonts w:ascii="Arial" w:eastAsia="Arial" w:hAnsi="Arial" w:cs="Arial"/>
          <w:sz w:val="20"/>
          <w:szCs w:val="20"/>
        </w:rPr>
        <w:t xml:space="preserve"> bude obsahovat dopracované znění „strategie zpracování analýzy“ z předložené nabídky k veřejné zakázce, kde bude specifikován plánovaný výzkumný postup realizace Analýzy nákladů a přínosů, spolu s konkretizovanými daty, se kterými bude Zpracovatel v rámci realizace analýzy pracovat. Objednatel poskytne Zpracovateli základní přehledová data týkající se projektu v podobě žádosti o podporu, jednotkového rozpočtu,</w:t>
      </w:r>
      <w:r>
        <w:rPr>
          <w:rFonts w:ascii="Arial" w:eastAsia="Arial" w:hAnsi="Arial" w:cs="Arial"/>
          <w:b/>
          <w:sz w:val="20"/>
          <w:szCs w:val="20"/>
        </w:rPr>
        <w:t xml:space="preserve"> </w:t>
      </w:r>
      <w:r>
        <w:rPr>
          <w:rFonts w:ascii="Arial" w:eastAsia="Arial" w:hAnsi="Arial" w:cs="Arial"/>
          <w:sz w:val="20"/>
          <w:szCs w:val="20"/>
        </w:rPr>
        <w:t>inovačního záměru,</w:t>
      </w:r>
      <w:r>
        <w:rPr>
          <w:rFonts w:ascii="Arial" w:eastAsia="Arial" w:hAnsi="Arial" w:cs="Arial"/>
          <w:b/>
          <w:sz w:val="20"/>
          <w:szCs w:val="20"/>
        </w:rPr>
        <w:t xml:space="preserve"> </w:t>
      </w:r>
      <w:r>
        <w:rPr>
          <w:rFonts w:ascii="Arial" w:eastAsia="Arial" w:hAnsi="Arial" w:cs="Arial"/>
          <w:sz w:val="20"/>
          <w:szCs w:val="20"/>
        </w:rPr>
        <w:t>evaluačních zpráv a v případě potřeby dat o podpořených osobách z Informačního systému ESF 2014+, pomocí kterých dodavatel může částečně konkretizovat plán analýzy. Dále bude ve vstupní zprávě definována strategie získávání dalších relevantních sekundárních, potažmo primárních dat, plánovaný harmonogram realizace a analýza hlavních omezení a rizik.</w:t>
      </w:r>
    </w:p>
    <w:p w14:paraId="059C36E4" w14:textId="77777777" w:rsidR="006E359D" w:rsidRDefault="009B1D28">
      <w:pPr>
        <w:spacing w:before="120" w:line="276" w:lineRule="auto"/>
        <w:jc w:val="both"/>
        <w:rPr>
          <w:rFonts w:ascii="Arial" w:eastAsia="Arial" w:hAnsi="Arial" w:cs="Arial"/>
          <w:sz w:val="20"/>
          <w:szCs w:val="20"/>
        </w:rPr>
      </w:pPr>
      <w:bookmarkStart w:id="9" w:name="_heading=h.4d34og8" w:colFirst="0" w:colLast="0"/>
      <w:bookmarkEnd w:id="9"/>
      <w:r>
        <w:rPr>
          <w:rFonts w:ascii="Arial" w:eastAsia="Arial" w:hAnsi="Arial" w:cs="Arial"/>
          <w:sz w:val="20"/>
          <w:szCs w:val="20"/>
        </w:rPr>
        <w:t xml:space="preserve">Obsahem </w:t>
      </w:r>
      <w:r>
        <w:rPr>
          <w:rFonts w:ascii="Arial" w:eastAsia="Arial" w:hAnsi="Arial" w:cs="Arial"/>
          <w:b/>
          <w:sz w:val="20"/>
          <w:szCs w:val="20"/>
        </w:rPr>
        <w:t xml:space="preserve">průběžné zprávy </w:t>
      </w:r>
      <w:r>
        <w:rPr>
          <w:rFonts w:ascii="Arial" w:eastAsia="Arial" w:hAnsi="Arial" w:cs="Arial"/>
          <w:sz w:val="20"/>
          <w:szCs w:val="20"/>
        </w:rPr>
        <w:t>bude zpracování výzkumného cíle 1: „Zhodnocení proveditelnosti Analýzy nákladů a přínosů v rámci vybraného inovačního projektu Operačního programu Zaměstnanost (konkrétně projekt Společně na svobodu) a identifikace rizik dané analýzy, spolu s identifikací limitů Analýzy nákladů a přínosů u vybraného inovačního projektu“. V rámci této zprávy dojde k zodpovězení jednotlivých dílčích výzkumných otázek (výzkumné otázky 1.1 až 1.4). V případě, kdy nebude z objektivních důvodů možné některou z výzkumných otázek zodpovědět, bude uveden podrobný popis postupu, spolu s definováním překážek, které neumožnily zodpovědět danou výzkumnou otázku. Zpráva bude také obsahovat zdůvodnění případných úprav v nastavení strategie realizace analýzy a aktualizaci analýzy hlavních omezení a rizik. V případě, že budou Zpracovatelem identifikovány jako stěžejní i další aspekty realizované analýzy, které nejsou přímo uvedeny v rámci Specifikace předmětu plnění, může Zpracovatel tyto aspekty do průběžné zprávy zahrnout.</w:t>
      </w:r>
    </w:p>
    <w:p w14:paraId="54F2837F" w14:textId="77777777" w:rsidR="006E359D" w:rsidRDefault="009B1D28">
      <w:pPr>
        <w:spacing w:before="120" w:line="276" w:lineRule="auto"/>
        <w:jc w:val="both"/>
        <w:rPr>
          <w:rFonts w:ascii="Arial" w:eastAsia="Arial" w:hAnsi="Arial" w:cs="Arial"/>
          <w:sz w:val="20"/>
          <w:szCs w:val="20"/>
        </w:rPr>
      </w:pPr>
      <w:r>
        <w:rPr>
          <w:rFonts w:ascii="Arial" w:eastAsia="Arial" w:hAnsi="Arial" w:cs="Arial"/>
          <w:b/>
          <w:sz w:val="20"/>
          <w:szCs w:val="20"/>
        </w:rPr>
        <w:t>Závěrečná zpráva</w:t>
      </w:r>
      <w:r>
        <w:rPr>
          <w:rFonts w:ascii="Arial" w:eastAsia="Arial" w:hAnsi="Arial" w:cs="Arial"/>
          <w:sz w:val="20"/>
          <w:szCs w:val="20"/>
        </w:rPr>
        <w:t xml:space="preserve"> bude obsahovat opětovné shrnutí výzkumného cíle 1, spolu se zpracováním výzkumného cíle 2 „Identifikovat a vyhodnotit společenské náklady a přínosy projektu Společně na svobodu a zhodnotit, zda převažují výnosy (</w:t>
      </w:r>
      <w:proofErr w:type="spellStart"/>
      <w:r>
        <w:rPr>
          <w:rFonts w:ascii="Arial" w:eastAsia="Arial" w:hAnsi="Arial" w:cs="Arial"/>
          <w:sz w:val="20"/>
          <w:szCs w:val="20"/>
        </w:rPr>
        <w:t>monetizovatelné</w:t>
      </w:r>
      <w:proofErr w:type="spellEnd"/>
      <w:r>
        <w:rPr>
          <w:rFonts w:ascii="Arial" w:eastAsia="Arial" w:hAnsi="Arial" w:cs="Arial"/>
          <w:sz w:val="20"/>
          <w:szCs w:val="20"/>
        </w:rPr>
        <w:t xml:space="preserve"> výstupy a nepeněžní výsledky) dané služby nad náklady“ a zodpovězením dílčích výzkumných otázek 2.1 až 2.3. V případě, kdy nebude </w:t>
      </w:r>
      <w:r>
        <w:rPr>
          <w:rFonts w:ascii="Arial" w:eastAsia="Arial" w:hAnsi="Arial" w:cs="Arial"/>
          <w:sz w:val="20"/>
          <w:szCs w:val="20"/>
        </w:rPr>
        <w:lastRenderedPageBreak/>
        <w:t>z objektivních důvodů možné některou z výzkumných otázek zodpovědět, bude uveden podrobný popis postupu, spolu s definováním překážek, které neumožnily zodpovědět danou výzkumnou otázku. Dále bude zpráva obsahovat vyhodnocení procesní úspěšnosti provedené analýzy v návaznosti na analýzu rizik, seznam využívaných primárních a sekundárních dat, vysvětlení realizované práce s daty a případnou syntézu poznatků a doporučení. V případě, že budou Zpracovatelem identifikovány jako stěžejní i další aspekty realizované analýzy, které nejsou přímo uvedeny v rámci Specifikace předmětu plnění, může Zpracovatel tyto aspekty do závěrečné zprávy zahrnout.</w:t>
      </w:r>
      <w:r>
        <w:t xml:space="preserve"> </w:t>
      </w:r>
      <w:r>
        <w:rPr>
          <w:rFonts w:ascii="Arial" w:eastAsia="Arial" w:hAnsi="Arial" w:cs="Arial"/>
          <w:sz w:val="20"/>
          <w:szCs w:val="20"/>
        </w:rPr>
        <w:t>Do anglického jazyka bude přeloženo manažerské shrnutí závěrečné zprávy, a to do 30 dnů po akceptaci zprávy Objednatelem.</w:t>
      </w:r>
    </w:p>
    <w:p w14:paraId="76AB8197" w14:textId="77777777" w:rsidR="006E359D" w:rsidRDefault="006E359D">
      <w:pPr>
        <w:spacing w:before="120" w:line="276" w:lineRule="auto"/>
        <w:jc w:val="both"/>
        <w:rPr>
          <w:rFonts w:ascii="Arial" w:eastAsia="Arial" w:hAnsi="Arial" w:cs="Arial"/>
          <w:sz w:val="20"/>
          <w:szCs w:val="20"/>
        </w:rPr>
      </w:pPr>
    </w:p>
    <w:p w14:paraId="2C97719F" w14:textId="77777777" w:rsidR="006E359D" w:rsidRDefault="009B1D28">
      <w:pPr>
        <w:keepNext/>
        <w:keepLines/>
        <w:numPr>
          <w:ilvl w:val="0"/>
          <w:numId w:val="7"/>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Popis vybraného inovačního projektu</w:t>
      </w:r>
    </w:p>
    <w:p w14:paraId="48EEACAA" w14:textId="77777777" w:rsidR="006E359D" w:rsidRDefault="009B1D28">
      <w:pPr>
        <w:spacing w:line="276" w:lineRule="auto"/>
        <w:jc w:val="both"/>
        <w:rPr>
          <w:rFonts w:ascii="Arial" w:eastAsia="Arial" w:hAnsi="Arial" w:cs="Arial"/>
          <w:sz w:val="20"/>
          <w:szCs w:val="20"/>
        </w:rPr>
      </w:pPr>
      <w:bookmarkStart w:id="10" w:name="_heading=h.2s8eyo1" w:colFirst="0" w:colLast="0"/>
      <w:bookmarkEnd w:id="10"/>
      <w:r>
        <w:rPr>
          <w:rFonts w:ascii="Arial" w:eastAsia="Arial" w:hAnsi="Arial" w:cs="Arial"/>
          <w:sz w:val="20"/>
          <w:szCs w:val="20"/>
        </w:rPr>
        <w:t xml:space="preserve">Předmětem této části je Analýza nákladů a přínosů projektu Společně na svobodu. </w:t>
      </w:r>
    </w:p>
    <w:p w14:paraId="0762CFAD" w14:textId="77777777" w:rsidR="006E359D" w:rsidRDefault="006E359D">
      <w:pPr>
        <w:keepNext/>
        <w:keepLines/>
        <w:spacing w:before="200" w:line="276" w:lineRule="auto"/>
        <w:rPr>
          <w:rFonts w:ascii="Arial" w:eastAsia="Arial" w:hAnsi="Arial" w:cs="Arial"/>
          <w:b/>
          <w:color w:val="4F81BD"/>
          <w:sz w:val="20"/>
          <w:szCs w:val="20"/>
        </w:rPr>
      </w:pPr>
    </w:p>
    <w:p w14:paraId="74C5D21F" w14:textId="77777777" w:rsidR="006E359D" w:rsidRDefault="009B1D28">
      <w:pPr>
        <w:shd w:val="clear" w:color="auto" w:fill="CBECB0"/>
        <w:spacing w:line="360" w:lineRule="auto"/>
        <w:jc w:val="both"/>
        <w:rPr>
          <w:rFonts w:ascii="Arial" w:eastAsia="Arial" w:hAnsi="Arial" w:cs="Arial"/>
          <w:b/>
          <w:sz w:val="20"/>
          <w:szCs w:val="20"/>
        </w:rPr>
      </w:pPr>
      <w:r>
        <w:rPr>
          <w:rFonts w:ascii="Arial" w:eastAsia="Arial" w:hAnsi="Arial" w:cs="Arial"/>
          <w:b/>
          <w:sz w:val="20"/>
          <w:szCs w:val="20"/>
        </w:rPr>
        <w:t>Název projetu: Společně na svobodu</w:t>
      </w:r>
    </w:p>
    <w:p w14:paraId="641AEAE4" w14:textId="77777777" w:rsidR="006E359D" w:rsidRDefault="009B1D28">
      <w:pPr>
        <w:shd w:val="clear" w:color="auto" w:fill="CBECB0"/>
        <w:spacing w:line="360" w:lineRule="auto"/>
        <w:jc w:val="both"/>
        <w:rPr>
          <w:rFonts w:ascii="Arial" w:eastAsia="Arial" w:hAnsi="Arial" w:cs="Arial"/>
          <w:b/>
          <w:sz w:val="20"/>
          <w:szCs w:val="20"/>
        </w:rPr>
      </w:pPr>
      <w:r>
        <w:rPr>
          <w:rFonts w:ascii="Arial" w:eastAsia="Arial" w:hAnsi="Arial" w:cs="Arial"/>
          <w:b/>
          <w:sz w:val="20"/>
          <w:szCs w:val="20"/>
        </w:rPr>
        <w:t xml:space="preserve">Realizátor projektu: RUBIKON Centrum, </w:t>
      </w:r>
      <w:proofErr w:type="spellStart"/>
      <w:r>
        <w:rPr>
          <w:rFonts w:ascii="Arial" w:eastAsia="Arial" w:hAnsi="Arial" w:cs="Arial"/>
          <w:b/>
          <w:sz w:val="20"/>
          <w:szCs w:val="20"/>
        </w:rPr>
        <w:t>z.ú</w:t>
      </w:r>
      <w:proofErr w:type="spellEnd"/>
      <w:r>
        <w:rPr>
          <w:rFonts w:ascii="Arial" w:eastAsia="Arial" w:hAnsi="Arial" w:cs="Arial"/>
          <w:b/>
          <w:sz w:val="20"/>
          <w:szCs w:val="20"/>
        </w:rPr>
        <w:t>.</w:t>
      </w:r>
    </w:p>
    <w:p w14:paraId="77B221F0" w14:textId="77777777" w:rsidR="006E359D" w:rsidRDefault="009B1D28">
      <w:pPr>
        <w:spacing w:before="120"/>
        <w:rPr>
          <w:rFonts w:ascii="Arial" w:eastAsia="Arial" w:hAnsi="Arial" w:cs="Arial"/>
          <w:sz w:val="20"/>
          <w:szCs w:val="20"/>
        </w:rPr>
      </w:pPr>
      <w:r>
        <w:rPr>
          <w:rFonts w:ascii="Arial" w:eastAsia="Arial" w:hAnsi="Arial" w:cs="Arial"/>
          <w:b/>
          <w:sz w:val="20"/>
          <w:szCs w:val="20"/>
        </w:rPr>
        <w:t>Doba realizace projektu:</w:t>
      </w:r>
      <w:r>
        <w:rPr>
          <w:rFonts w:ascii="Arial" w:eastAsia="Arial" w:hAnsi="Arial" w:cs="Arial"/>
          <w:sz w:val="20"/>
          <w:szCs w:val="20"/>
        </w:rPr>
        <w:t xml:space="preserve"> 1. 6. 2018 - 31. 12. 2020</w:t>
      </w:r>
    </w:p>
    <w:p w14:paraId="07CCF0B9" w14:textId="77777777" w:rsidR="006E359D" w:rsidRDefault="009B1D28">
      <w:pPr>
        <w:spacing w:before="120"/>
        <w:rPr>
          <w:rFonts w:ascii="Arial" w:eastAsia="Arial" w:hAnsi="Arial" w:cs="Arial"/>
          <w:sz w:val="20"/>
          <w:szCs w:val="20"/>
        </w:rPr>
      </w:pPr>
      <w:r>
        <w:rPr>
          <w:rFonts w:ascii="Arial" w:eastAsia="Arial" w:hAnsi="Arial" w:cs="Arial"/>
          <w:b/>
          <w:sz w:val="20"/>
          <w:szCs w:val="20"/>
        </w:rPr>
        <w:t xml:space="preserve">Celkové způsobilé výdaje: </w:t>
      </w:r>
      <w:r>
        <w:rPr>
          <w:rFonts w:ascii="Arial" w:eastAsia="Arial" w:hAnsi="Arial" w:cs="Arial"/>
          <w:sz w:val="20"/>
          <w:szCs w:val="20"/>
        </w:rPr>
        <w:t>9 935 681 Kč</w:t>
      </w:r>
    </w:p>
    <w:p w14:paraId="5C3B987C" w14:textId="77777777" w:rsidR="006E359D" w:rsidRDefault="009B1D28">
      <w:pPr>
        <w:spacing w:before="120"/>
        <w:rPr>
          <w:rFonts w:ascii="Arial" w:eastAsia="Arial" w:hAnsi="Arial" w:cs="Arial"/>
          <w:sz w:val="20"/>
          <w:szCs w:val="20"/>
        </w:rPr>
      </w:pPr>
      <w:r>
        <w:rPr>
          <w:rFonts w:ascii="Arial" w:eastAsia="Arial" w:hAnsi="Arial" w:cs="Arial"/>
          <w:b/>
          <w:sz w:val="20"/>
          <w:szCs w:val="20"/>
        </w:rPr>
        <w:t>Evidenční číslo projektu:</w:t>
      </w:r>
      <w:r>
        <w:rPr>
          <w:rFonts w:ascii="Arial" w:eastAsia="Arial" w:hAnsi="Arial" w:cs="Arial"/>
          <w:sz w:val="20"/>
          <w:szCs w:val="20"/>
        </w:rPr>
        <w:t xml:space="preserve"> CZ.03.3.X/0.0/0.0/15_024/0006920</w:t>
      </w:r>
    </w:p>
    <w:p w14:paraId="7555BE7C" w14:textId="77777777" w:rsidR="006E359D" w:rsidRDefault="009B1D28">
      <w:pPr>
        <w:spacing w:before="120"/>
        <w:rPr>
          <w:rFonts w:ascii="Arial" w:eastAsia="Arial" w:hAnsi="Arial" w:cs="Arial"/>
          <w:b/>
          <w:sz w:val="20"/>
          <w:szCs w:val="20"/>
        </w:rPr>
      </w:pPr>
      <w:r>
        <w:rPr>
          <w:rFonts w:ascii="Arial" w:eastAsia="Arial" w:hAnsi="Arial" w:cs="Arial"/>
          <w:b/>
          <w:sz w:val="20"/>
          <w:szCs w:val="20"/>
        </w:rPr>
        <w:t xml:space="preserve">Popis projektu: </w:t>
      </w:r>
    </w:p>
    <w:p w14:paraId="75799B65" w14:textId="77777777" w:rsidR="006E359D" w:rsidRDefault="009B1D28">
      <w:pPr>
        <w:spacing w:after="240" w:line="276" w:lineRule="auto"/>
        <w:jc w:val="both"/>
        <w:rPr>
          <w:rFonts w:ascii="Arial" w:eastAsia="Arial" w:hAnsi="Arial" w:cs="Arial"/>
          <w:sz w:val="20"/>
          <w:szCs w:val="20"/>
        </w:rPr>
      </w:pPr>
      <w:r>
        <w:rPr>
          <w:rFonts w:ascii="Arial" w:eastAsia="Arial" w:hAnsi="Arial" w:cs="Arial"/>
          <w:sz w:val="20"/>
          <w:szCs w:val="20"/>
        </w:rPr>
        <w:t>Projekt Společně na svobodu je realizován ve čtyřech věznicích, a to v ryze mužských věznicích Horní Slavkov, Příbram a Stráž pod Ralskem a v ryze ženské věznici ve Světlé nad Sázavou. Tyto věznice byly vybrány nenáhodně, na základě existujících vztahů realizátora projektu s těmito věznicemi a ochoty vedení příslušných věznic k zapojení do projektu. Proces výběru cílové skupiny (CS) probíhal ve dvou krocích. Nejprve byly vybrány čtyři věznice a v nich průběžně probíhá screening odsouzených z hlediska daných kritérií, jejichž výsledkem je ke konci července 2019 prozatím 72 členů a členek CS, z toho 50 je zařazeno do intervenční skupiny (36 mužů a 14 žen) a 22 do kontrolní skupiny (18 mužů a 4 ženy).</w:t>
      </w:r>
    </w:p>
    <w:p w14:paraId="554B77BD" w14:textId="77777777" w:rsidR="006E359D" w:rsidRDefault="009B1D28">
      <w:pPr>
        <w:spacing w:after="240" w:line="276" w:lineRule="auto"/>
        <w:jc w:val="both"/>
        <w:rPr>
          <w:rFonts w:ascii="Arial" w:eastAsia="Arial" w:hAnsi="Arial" w:cs="Arial"/>
          <w:sz w:val="20"/>
          <w:szCs w:val="20"/>
        </w:rPr>
      </w:pPr>
      <w:r>
        <w:rPr>
          <w:rFonts w:ascii="Arial" w:eastAsia="Arial" w:hAnsi="Arial" w:cs="Arial"/>
          <w:sz w:val="20"/>
          <w:szCs w:val="20"/>
        </w:rPr>
        <w:t>Podstatou hodnocené intervence je propojení standardizovaných postupů vězeňských pracovníků a podpůrných individualizovaných integračních služeb pro cílovou skupinu propouštěných vězňů, sdílení a šíření dobré praxe a nastavení modelu optimální spolupráce mezi věznicí a NNO. Jádro řešení zahrnuje nastavení nové kvality spolupráce klíčových aktérů pracujících s CS během výkonu trestu (odborní zaměstnanci věznic a NNO) a propojení v podmínkách ČR již existujících intervencí. Projekt byl inspirován příklady fungujících programů v zahraničí prokazatelně snižujících recidivu a je v souladu s tuzemskými výzkumy k příčinám recidivy v ČR. Zahraniční výzkumy přístupů ke snižování recidivy ukazují, že se účinnost kognitivně-behaviorálních programů (KBP) a podpůrných resocializačních služeb zvyšuje, pokud jsou vhodným způsobem kombinovány. Zahraniční zkušenosti zároveň ukazují, že tato kombinace vyžaduje vytvoření specifického nastavení, protože zahrnuje úzkou spolupráci aktérů z odlišných fází resocializačního procesu a z různých institucionálních sektorů. Výsledkem je tedy jednak dosažení nové kvality této spolupráce v novém typu intervence a jednak zvýšení připravenosti CS na ekonomickou a sociální integraci po propuštění.</w:t>
      </w:r>
    </w:p>
    <w:p w14:paraId="4B3D65DA" w14:textId="77777777" w:rsidR="006E359D" w:rsidRDefault="009B1D28">
      <w:pPr>
        <w:spacing w:before="240" w:line="276" w:lineRule="auto"/>
        <w:jc w:val="both"/>
        <w:rPr>
          <w:rFonts w:ascii="Arial" w:eastAsia="Arial" w:hAnsi="Arial" w:cs="Arial"/>
          <w:sz w:val="20"/>
          <w:szCs w:val="20"/>
        </w:rPr>
      </w:pPr>
      <w:r>
        <w:rPr>
          <w:rFonts w:ascii="Arial" w:eastAsia="Arial" w:hAnsi="Arial" w:cs="Arial"/>
          <w:sz w:val="20"/>
          <w:szCs w:val="20"/>
        </w:rPr>
        <w:t xml:space="preserve">Uvedené dva typy aktivit jsou v inovaci propojeny, aby byla zvýšena jejich účinnost ve vztahu k CS a zároveň akceschopnost obou výše uvedených klíčových subjektů realizace. Inovace reaguje na dosavadní nedostatečné propojení standardizovaného vyhodnocení rizik a potřeb CS a programu 3Z (Zastav se, Zamysli se, Změň se) zacíleného na změnu chování CS, které jsou standardně využívány v českých věznicích, s intervencemi aktérů, kteří podporují resocializaci CS po propouštění. Podle zahraničních poznatků je právě propojení KBP a podpůrných resocializačních </w:t>
      </w:r>
      <w:r>
        <w:rPr>
          <w:rFonts w:ascii="Arial" w:eastAsia="Arial" w:hAnsi="Arial" w:cs="Arial"/>
          <w:sz w:val="20"/>
          <w:szCs w:val="20"/>
        </w:rPr>
        <w:lastRenderedPageBreak/>
        <w:t>služeb účinným nástrojem snížení pravděpodobnosti recidivy CS. Nastavení inovace vychází z detailních konzultací potřeb zapojených věznic a dosavadních zkušeností žadatele.</w:t>
      </w:r>
    </w:p>
    <w:p w14:paraId="0D792E05" w14:textId="77777777" w:rsidR="006E359D" w:rsidRDefault="009B1D28">
      <w:pPr>
        <w:spacing w:before="240" w:line="276" w:lineRule="auto"/>
        <w:jc w:val="both"/>
        <w:rPr>
          <w:rFonts w:ascii="Arial" w:eastAsia="Arial" w:hAnsi="Arial" w:cs="Arial"/>
          <w:sz w:val="20"/>
          <w:szCs w:val="20"/>
        </w:rPr>
      </w:pPr>
      <w:r>
        <w:rPr>
          <w:rFonts w:ascii="Arial" w:eastAsia="Arial" w:hAnsi="Arial" w:cs="Arial"/>
          <w:sz w:val="20"/>
          <w:szCs w:val="20"/>
        </w:rPr>
        <w:t>Kromě práce s klientem ve VTOS s cílem přípravy na bezpečné propouštění, se projekt zaměřuje také na podporu cílové skupiny po propuštění. Odsouzený v době výstupu z vězení má:</w:t>
      </w:r>
    </w:p>
    <w:p w14:paraId="7CE736C7" w14:textId="77777777" w:rsidR="006E359D" w:rsidRDefault="009B1D28">
      <w:pPr>
        <w:numPr>
          <w:ilvl w:val="0"/>
          <w:numId w:val="5"/>
        </w:numPr>
        <w:spacing w:line="276" w:lineRule="auto"/>
        <w:jc w:val="both"/>
        <w:rPr>
          <w:rFonts w:ascii="Arial" w:eastAsia="Arial" w:hAnsi="Arial" w:cs="Arial"/>
          <w:sz w:val="20"/>
          <w:szCs w:val="20"/>
        </w:rPr>
      </w:pPr>
      <w:r>
        <w:rPr>
          <w:rFonts w:ascii="Arial" w:eastAsia="Arial" w:hAnsi="Arial" w:cs="Arial"/>
          <w:sz w:val="20"/>
          <w:szCs w:val="20"/>
        </w:rPr>
        <w:t>písemný plán kroků po propuštění zasazený do kontextu dlouhodobějších aspirací a životních představ klienta;</w:t>
      </w:r>
    </w:p>
    <w:p w14:paraId="4D2D5CA4" w14:textId="77777777" w:rsidR="006E359D" w:rsidRDefault="009B1D28">
      <w:pPr>
        <w:numPr>
          <w:ilvl w:val="0"/>
          <w:numId w:val="5"/>
        </w:numPr>
        <w:spacing w:line="276" w:lineRule="auto"/>
        <w:jc w:val="both"/>
        <w:rPr>
          <w:rFonts w:ascii="Arial" w:eastAsia="Arial" w:hAnsi="Arial" w:cs="Arial"/>
          <w:sz w:val="20"/>
          <w:szCs w:val="20"/>
        </w:rPr>
      </w:pPr>
      <w:r>
        <w:rPr>
          <w:rFonts w:ascii="Arial" w:eastAsia="Arial" w:hAnsi="Arial" w:cs="Arial"/>
          <w:sz w:val="20"/>
          <w:szCs w:val="20"/>
        </w:rPr>
        <w:t>zajištěné bydlení min. na první 3 noci, návazný plán v této oblasti;</w:t>
      </w:r>
    </w:p>
    <w:p w14:paraId="6047CC3A" w14:textId="77777777" w:rsidR="006E359D" w:rsidRDefault="009B1D28">
      <w:pPr>
        <w:numPr>
          <w:ilvl w:val="0"/>
          <w:numId w:val="5"/>
        </w:numPr>
        <w:spacing w:line="276" w:lineRule="auto"/>
        <w:jc w:val="both"/>
        <w:rPr>
          <w:rFonts w:ascii="Arial" w:eastAsia="Arial" w:hAnsi="Arial" w:cs="Arial"/>
          <w:sz w:val="20"/>
          <w:szCs w:val="20"/>
        </w:rPr>
      </w:pPr>
      <w:r>
        <w:rPr>
          <w:rFonts w:ascii="Arial" w:eastAsia="Arial" w:hAnsi="Arial" w:cs="Arial"/>
          <w:sz w:val="20"/>
          <w:szCs w:val="20"/>
        </w:rPr>
        <w:t>základní pracovní poradenství, ideálně předjednaný pohovor u zaměstnavatele;</w:t>
      </w:r>
    </w:p>
    <w:p w14:paraId="3D72C64E" w14:textId="77777777" w:rsidR="006E359D" w:rsidRDefault="009B1D28">
      <w:pPr>
        <w:numPr>
          <w:ilvl w:val="0"/>
          <w:numId w:val="5"/>
        </w:numPr>
        <w:spacing w:line="276" w:lineRule="auto"/>
        <w:jc w:val="both"/>
        <w:rPr>
          <w:rFonts w:ascii="Arial" w:eastAsia="Arial" w:hAnsi="Arial" w:cs="Arial"/>
          <w:sz w:val="20"/>
          <w:szCs w:val="20"/>
        </w:rPr>
      </w:pPr>
      <w:r>
        <w:rPr>
          <w:rFonts w:ascii="Arial" w:eastAsia="Arial" w:hAnsi="Arial" w:cs="Arial"/>
          <w:sz w:val="20"/>
          <w:szCs w:val="20"/>
        </w:rPr>
        <w:t>základní analýzu dluhové situace, návazný plán v této oblasti;</w:t>
      </w:r>
    </w:p>
    <w:p w14:paraId="772E7420" w14:textId="77777777" w:rsidR="006E359D" w:rsidRDefault="009B1D28">
      <w:pPr>
        <w:numPr>
          <w:ilvl w:val="0"/>
          <w:numId w:val="5"/>
        </w:numPr>
        <w:spacing w:line="276" w:lineRule="auto"/>
        <w:jc w:val="both"/>
        <w:rPr>
          <w:rFonts w:ascii="Arial" w:eastAsia="Arial" w:hAnsi="Arial" w:cs="Arial"/>
          <w:sz w:val="20"/>
          <w:szCs w:val="20"/>
        </w:rPr>
      </w:pPr>
      <w:r>
        <w:rPr>
          <w:rFonts w:ascii="Arial" w:eastAsia="Arial" w:hAnsi="Arial" w:cs="Arial"/>
          <w:sz w:val="20"/>
          <w:szCs w:val="20"/>
        </w:rPr>
        <w:t xml:space="preserve">předjednán termín u </w:t>
      </w:r>
      <w:proofErr w:type="spellStart"/>
      <w:r>
        <w:rPr>
          <w:rFonts w:ascii="Arial" w:eastAsia="Arial" w:hAnsi="Arial" w:cs="Arial"/>
          <w:sz w:val="20"/>
          <w:szCs w:val="20"/>
        </w:rPr>
        <w:t>spec</w:t>
      </w:r>
      <w:proofErr w:type="spellEnd"/>
      <w:r>
        <w:rPr>
          <w:rFonts w:ascii="Arial" w:eastAsia="Arial" w:hAnsi="Arial" w:cs="Arial"/>
          <w:sz w:val="20"/>
          <w:szCs w:val="20"/>
        </w:rPr>
        <w:t>. odborníka (např. adiktolog);</w:t>
      </w:r>
    </w:p>
    <w:p w14:paraId="4C29EF01" w14:textId="77777777" w:rsidR="006E359D" w:rsidRDefault="009B1D28">
      <w:pPr>
        <w:numPr>
          <w:ilvl w:val="0"/>
          <w:numId w:val="5"/>
        </w:numPr>
        <w:spacing w:line="276" w:lineRule="auto"/>
        <w:jc w:val="both"/>
        <w:rPr>
          <w:rFonts w:ascii="Arial" w:eastAsia="Arial" w:hAnsi="Arial" w:cs="Arial"/>
          <w:sz w:val="20"/>
          <w:szCs w:val="20"/>
        </w:rPr>
      </w:pPr>
      <w:r>
        <w:rPr>
          <w:rFonts w:ascii="Arial" w:eastAsia="Arial" w:hAnsi="Arial" w:cs="Arial"/>
          <w:sz w:val="20"/>
          <w:szCs w:val="20"/>
        </w:rPr>
        <w:t>plán kontaktu se sociálním okolím (vč. laického mentora – pokud je třeba);</w:t>
      </w:r>
    </w:p>
    <w:p w14:paraId="7FC2CB1B" w14:textId="77777777" w:rsidR="006E359D" w:rsidRDefault="009B1D28">
      <w:pPr>
        <w:numPr>
          <w:ilvl w:val="0"/>
          <w:numId w:val="5"/>
        </w:numPr>
        <w:spacing w:line="276" w:lineRule="auto"/>
        <w:jc w:val="both"/>
        <w:rPr>
          <w:rFonts w:ascii="Arial" w:eastAsia="Arial" w:hAnsi="Arial" w:cs="Arial"/>
          <w:sz w:val="20"/>
          <w:szCs w:val="20"/>
        </w:rPr>
      </w:pPr>
      <w:r>
        <w:rPr>
          <w:rFonts w:ascii="Arial" w:eastAsia="Arial" w:hAnsi="Arial" w:cs="Arial"/>
          <w:sz w:val="20"/>
          <w:szCs w:val="20"/>
        </w:rPr>
        <w:t>platný OP a výpis ze zdravotní dokumentace (tento krok zajišťuje věznice);</w:t>
      </w:r>
    </w:p>
    <w:p w14:paraId="6EF6D187" w14:textId="77777777" w:rsidR="006E359D" w:rsidRDefault="009B1D28">
      <w:pPr>
        <w:numPr>
          <w:ilvl w:val="0"/>
          <w:numId w:val="5"/>
        </w:numPr>
        <w:spacing w:line="276" w:lineRule="auto"/>
        <w:jc w:val="both"/>
        <w:rPr>
          <w:rFonts w:ascii="Arial" w:eastAsia="Arial" w:hAnsi="Arial" w:cs="Arial"/>
          <w:sz w:val="20"/>
          <w:szCs w:val="20"/>
        </w:rPr>
      </w:pPr>
      <w:r>
        <w:rPr>
          <w:rFonts w:ascii="Arial" w:eastAsia="Arial" w:hAnsi="Arial" w:cs="Arial"/>
          <w:sz w:val="20"/>
          <w:szCs w:val="20"/>
        </w:rPr>
        <w:t>finanční rozvahu – klient má představu, jak bude první dny na svobodě financovat (úložné, dávka MOP, popř. přímá podpora v rámci projektu).</w:t>
      </w:r>
    </w:p>
    <w:p w14:paraId="0DD118AA" w14:textId="77777777" w:rsidR="006E359D" w:rsidRDefault="006E359D">
      <w:pPr>
        <w:spacing w:after="80" w:line="276" w:lineRule="auto"/>
        <w:ind w:left="720"/>
        <w:jc w:val="both"/>
        <w:rPr>
          <w:rFonts w:ascii="Arial" w:eastAsia="Arial" w:hAnsi="Arial" w:cs="Arial"/>
          <w:sz w:val="20"/>
          <w:szCs w:val="20"/>
        </w:rPr>
      </w:pPr>
    </w:p>
    <w:p w14:paraId="29ABE589" w14:textId="77777777" w:rsidR="006E359D" w:rsidRDefault="009B1D28">
      <w:pPr>
        <w:keepNext/>
        <w:keepLines/>
        <w:numPr>
          <w:ilvl w:val="0"/>
          <w:numId w:val="7"/>
        </w:numPr>
        <w:spacing w:before="80" w:line="276" w:lineRule="auto"/>
        <w:rPr>
          <w:rFonts w:ascii="Arial" w:eastAsia="Arial" w:hAnsi="Arial" w:cs="Arial"/>
          <w:b/>
          <w:color w:val="4F81BD"/>
          <w:sz w:val="20"/>
          <w:szCs w:val="20"/>
        </w:rPr>
      </w:pPr>
      <w:r>
        <w:rPr>
          <w:rFonts w:ascii="Arial" w:eastAsia="Arial" w:hAnsi="Arial" w:cs="Arial"/>
          <w:b/>
          <w:color w:val="4F81BD"/>
          <w:sz w:val="20"/>
          <w:szCs w:val="20"/>
        </w:rPr>
        <w:t>Indikativní harmonogram veřejné zakázky</w:t>
      </w:r>
    </w:p>
    <w:p w14:paraId="42917FF4" w14:textId="77777777" w:rsidR="006E359D" w:rsidRDefault="006E359D">
      <w:pPr>
        <w:rPr>
          <w:rFonts w:ascii="Arial" w:eastAsia="Arial" w:hAnsi="Arial" w:cs="Arial"/>
          <w:sz w:val="20"/>
          <w:szCs w:val="20"/>
        </w:rPr>
      </w:pPr>
    </w:p>
    <w:p w14:paraId="62E67C8B" w14:textId="77777777" w:rsidR="006E359D" w:rsidRDefault="009B1D28">
      <w:pPr>
        <w:keepNext/>
        <w:spacing w:after="200"/>
        <w:rPr>
          <w:rFonts w:ascii="Arial" w:eastAsia="Arial" w:hAnsi="Arial" w:cs="Arial"/>
          <w:b/>
          <w:i/>
          <w:color w:val="4E5B6F"/>
          <w:sz w:val="20"/>
          <w:szCs w:val="20"/>
        </w:rPr>
      </w:pPr>
      <w:r>
        <w:rPr>
          <w:rFonts w:ascii="Arial" w:eastAsia="Arial" w:hAnsi="Arial" w:cs="Arial"/>
          <w:b/>
          <w:i/>
          <w:color w:val="4E5B6F"/>
          <w:sz w:val="20"/>
          <w:szCs w:val="20"/>
        </w:rPr>
        <w:t>Tabulka 1 Požadované výstupy a termíny jejich dodání</w:t>
      </w:r>
    </w:p>
    <w:tbl>
      <w:tblPr>
        <w:tblStyle w:val="a1"/>
        <w:tblW w:w="9356" w:type="dxa"/>
        <w:tblInd w:w="-176" w:type="dxa"/>
        <w:tblLayout w:type="fixed"/>
        <w:tblLook w:val="0400" w:firstRow="0" w:lastRow="0" w:firstColumn="0" w:lastColumn="0" w:noHBand="0" w:noVBand="1"/>
      </w:tblPr>
      <w:tblGrid>
        <w:gridCol w:w="2215"/>
        <w:gridCol w:w="1799"/>
        <w:gridCol w:w="5342"/>
      </w:tblGrid>
      <w:tr w:rsidR="006E359D" w14:paraId="3C5C2BB9" w14:textId="77777777">
        <w:trPr>
          <w:trHeight w:val="516"/>
        </w:trPr>
        <w:tc>
          <w:tcPr>
            <w:tcW w:w="2215"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3F44D695" w14:textId="77777777" w:rsidR="006E359D" w:rsidRDefault="009B1D28">
            <w:pPr>
              <w:rPr>
                <w:rFonts w:ascii="Arial" w:eastAsia="Arial" w:hAnsi="Arial" w:cs="Arial"/>
                <w:b/>
                <w:sz w:val="20"/>
                <w:szCs w:val="20"/>
              </w:rPr>
            </w:pPr>
            <w:r>
              <w:rPr>
                <w:rFonts w:ascii="Arial" w:eastAsia="Arial" w:hAnsi="Arial" w:cs="Arial"/>
                <w:b/>
                <w:sz w:val="20"/>
                <w:szCs w:val="20"/>
              </w:rPr>
              <w:t>Požadované výstupy</w:t>
            </w:r>
          </w:p>
        </w:tc>
        <w:tc>
          <w:tcPr>
            <w:tcW w:w="179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EE8F628" w14:textId="77777777" w:rsidR="006E359D" w:rsidRDefault="009B1D28">
            <w:pPr>
              <w:rPr>
                <w:rFonts w:ascii="Arial" w:eastAsia="Arial" w:hAnsi="Arial" w:cs="Arial"/>
                <w:b/>
                <w:sz w:val="20"/>
                <w:szCs w:val="20"/>
              </w:rPr>
            </w:pPr>
            <w:r>
              <w:rPr>
                <w:rFonts w:ascii="Arial" w:eastAsia="Arial" w:hAnsi="Arial" w:cs="Arial"/>
                <w:b/>
                <w:sz w:val="20"/>
                <w:szCs w:val="20"/>
              </w:rPr>
              <w:t>Termíny pro předložení návrhů*</w:t>
            </w:r>
          </w:p>
        </w:tc>
        <w:tc>
          <w:tcPr>
            <w:tcW w:w="53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A38492D" w14:textId="77777777" w:rsidR="006E359D" w:rsidRDefault="009B1D28">
            <w:pPr>
              <w:rPr>
                <w:rFonts w:ascii="Arial" w:eastAsia="Arial" w:hAnsi="Arial" w:cs="Arial"/>
                <w:b/>
                <w:sz w:val="20"/>
                <w:szCs w:val="20"/>
              </w:rPr>
            </w:pPr>
            <w:r>
              <w:rPr>
                <w:rFonts w:ascii="Arial" w:eastAsia="Arial" w:hAnsi="Arial" w:cs="Arial"/>
                <w:b/>
                <w:sz w:val="20"/>
                <w:szCs w:val="20"/>
              </w:rPr>
              <w:t>Popis výstupu</w:t>
            </w:r>
          </w:p>
        </w:tc>
      </w:tr>
      <w:tr w:rsidR="006E359D" w14:paraId="678946B7" w14:textId="77777777">
        <w:trPr>
          <w:trHeight w:val="516"/>
        </w:trPr>
        <w:tc>
          <w:tcPr>
            <w:tcW w:w="2215"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37063305" w14:textId="77777777" w:rsidR="006E359D" w:rsidRDefault="009B1D28">
            <w:pPr>
              <w:rPr>
                <w:rFonts w:ascii="Arial" w:eastAsia="Arial" w:hAnsi="Arial" w:cs="Arial"/>
                <w:sz w:val="20"/>
                <w:szCs w:val="20"/>
              </w:rPr>
            </w:pPr>
            <w:r>
              <w:rPr>
                <w:rFonts w:ascii="Arial" w:eastAsia="Arial" w:hAnsi="Arial" w:cs="Arial"/>
                <w:sz w:val="20"/>
                <w:szCs w:val="20"/>
              </w:rPr>
              <w:t>Úvodní pracovní schůzka</w:t>
            </w:r>
          </w:p>
        </w:tc>
        <w:tc>
          <w:tcPr>
            <w:tcW w:w="179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3E0265B" w14:textId="77777777" w:rsidR="006E359D" w:rsidRDefault="009B1D28">
            <w:pPr>
              <w:rPr>
                <w:rFonts w:ascii="Arial" w:eastAsia="Arial" w:hAnsi="Arial" w:cs="Arial"/>
                <w:sz w:val="20"/>
                <w:szCs w:val="20"/>
              </w:rPr>
            </w:pPr>
            <w:r>
              <w:rPr>
                <w:rFonts w:ascii="Arial" w:eastAsia="Arial" w:hAnsi="Arial" w:cs="Arial"/>
                <w:sz w:val="20"/>
                <w:szCs w:val="20"/>
              </w:rPr>
              <w:t>Do 15 kalendářních dnů od nabytí účinnosti Smlouvy.</w:t>
            </w:r>
          </w:p>
        </w:tc>
        <w:tc>
          <w:tcPr>
            <w:tcW w:w="53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92C14E0" w14:textId="77777777" w:rsidR="006E359D" w:rsidRDefault="009B1D28">
            <w:pPr>
              <w:jc w:val="both"/>
              <w:rPr>
                <w:rFonts w:ascii="Arial" w:eastAsia="Arial" w:hAnsi="Arial" w:cs="Arial"/>
                <w:sz w:val="20"/>
                <w:szCs w:val="20"/>
              </w:rPr>
            </w:pPr>
            <w:r>
              <w:rPr>
                <w:rFonts w:ascii="Arial" w:eastAsia="Arial" w:hAnsi="Arial" w:cs="Arial"/>
                <w:sz w:val="20"/>
                <w:szCs w:val="20"/>
              </w:rPr>
              <w:t>Úvodní pracovní schůzka Objednatele se Zpracovatelem ke specifikaci následujících výstupů, především ke způsobu zpracování vstupní zprávy v návaznosti na podobu nabídky podané dodavatelem.</w:t>
            </w:r>
          </w:p>
          <w:p w14:paraId="3B29A879" w14:textId="77777777" w:rsidR="006E359D" w:rsidRDefault="006E359D">
            <w:pPr>
              <w:jc w:val="both"/>
              <w:rPr>
                <w:rFonts w:ascii="Arial" w:eastAsia="Arial" w:hAnsi="Arial" w:cs="Arial"/>
                <w:sz w:val="20"/>
                <w:szCs w:val="20"/>
              </w:rPr>
            </w:pPr>
          </w:p>
          <w:p w14:paraId="4830EE4B" w14:textId="77777777" w:rsidR="006E359D" w:rsidRDefault="009B1D28">
            <w:pPr>
              <w:jc w:val="both"/>
              <w:rPr>
                <w:rFonts w:ascii="Arial" w:eastAsia="Arial" w:hAnsi="Arial" w:cs="Arial"/>
                <w:sz w:val="20"/>
                <w:szCs w:val="20"/>
              </w:rPr>
            </w:pPr>
            <w:r>
              <w:rPr>
                <w:rFonts w:ascii="Arial" w:eastAsia="Arial" w:hAnsi="Arial" w:cs="Arial"/>
                <w:sz w:val="20"/>
                <w:szCs w:val="20"/>
              </w:rPr>
              <w:t>Budou představena očekávání Objednatele a diskutovány všechny předpokládané náležitosti vstupní zprávy.</w:t>
            </w:r>
          </w:p>
          <w:p w14:paraId="18327FE7" w14:textId="77777777" w:rsidR="006E359D" w:rsidRDefault="006E359D">
            <w:pPr>
              <w:jc w:val="both"/>
              <w:rPr>
                <w:rFonts w:ascii="Arial" w:eastAsia="Arial" w:hAnsi="Arial" w:cs="Arial"/>
                <w:sz w:val="20"/>
                <w:szCs w:val="20"/>
              </w:rPr>
            </w:pPr>
          </w:p>
          <w:p w14:paraId="64616D6C" w14:textId="77777777" w:rsidR="006E359D" w:rsidRDefault="009B1D28">
            <w:pPr>
              <w:jc w:val="both"/>
              <w:rPr>
                <w:rFonts w:ascii="Arial" w:eastAsia="Arial" w:hAnsi="Arial" w:cs="Arial"/>
                <w:sz w:val="20"/>
                <w:szCs w:val="20"/>
              </w:rPr>
            </w:pPr>
            <w:r>
              <w:rPr>
                <w:rFonts w:ascii="Arial" w:eastAsia="Arial" w:hAnsi="Arial" w:cs="Arial"/>
                <w:sz w:val="20"/>
                <w:szCs w:val="20"/>
              </w:rPr>
              <w:t xml:space="preserve">Bude dohodnuto předání potřebné dokumentace a způsob komunikace také mimo rámec schvalování jednotlivých zpráv. </w:t>
            </w:r>
          </w:p>
          <w:p w14:paraId="08AFC465" w14:textId="77777777" w:rsidR="006E359D" w:rsidRDefault="006E359D">
            <w:pPr>
              <w:jc w:val="both"/>
              <w:rPr>
                <w:rFonts w:ascii="Arial" w:eastAsia="Arial" w:hAnsi="Arial" w:cs="Arial"/>
                <w:sz w:val="20"/>
                <w:szCs w:val="20"/>
              </w:rPr>
            </w:pPr>
          </w:p>
          <w:p w14:paraId="5A0E0957" w14:textId="77777777" w:rsidR="006E359D" w:rsidRDefault="009B1D28">
            <w:pPr>
              <w:jc w:val="both"/>
              <w:rPr>
                <w:rFonts w:ascii="Arial" w:eastAsia="Arial" w:hAnsi="Arial" w:cs="Arial"/>
                <w:sz w:val="20"/>
                <w:szCs w:val="20"/>
              </w:rPr>
            </w:pPr>
            <w:r>
              <w:rPr>
                <w:rFonts w:ascii="Arial" w:eastAsia="Arial" w:hAnsi="Arial" w:cs="Arial"/>
                <w:sz w:val="20"/>
                <w:szCs w:val="20"/>
              </w:rPr>
              <w:t>Před schůzkou budou Zpracovateli zaslány podklady, Zpracovatel vyhotoví ze schůzky zápis. Rozsah schůzky bude dle potřeby 60–180 minut, schůzka bude realizována dle situace buďto osobně na pracovišti Objednatele (Kartouzská 4, Praha 5), či prostřednictvím online platformy. Ze strany Zpracovatele se zúčastní minimálně 2 zástupci.</w:t>
            </w:r>
          </w:p>
        </w:tc>
      </w:tr>
      <w:tr w:rsidR="006E359D" w14:paraId="510DD9C7"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186ABAD7" w14:textId="77777777" w:rsidR="006E359D" w:rsidRDefault="009B1D28">
            <w:pPr>
              <w:rPr>
                <w:rFonts w:ascii="Arial" w:eastAsia="Arial" w:hAnsi="Arial" w:cs="Arial"/>
                <w:sz w:val="20"/>
                <w:szCs w:val="20"/>
              </w:rPr>
            </w:pPr>
            <w:r>
              <w:rPr>
                <w:rFonts w:ascii="Arial" w:eastAsia="Arial" w:hAnsi="Arial" w:cs="Arial"/>
                <w:sz w:val="20"/>
                <w:szCs w:val="20"/>
              </w:rPr>
              <w:t>Vstupní zpráva – návrh</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518E9435" w14:textId="77777777" w:rsidR="006E359D" w:rsidRDefault="009B1D28">
            <w:pPr>
              <w:rPr>
                <w:rFonts w:ascii="Arial" w:eastAsia="Arial" w:hAnsi="Arial" w:cs="Arial"/>
                <w:sz w:val="20"/>
                <w:szCs w:val="20"/>
              </w:rPr>
            </w:pPr>
            <w:r>
              <w:rPr>
                <w:rFonts w:ascii="Arial" w:eastAsia="Arial" w:hAnsi="Arial" w:cs="Arial"/>
                <w:sz w:val="20"/>
                <w:szCs w:val="20"/>
              </w:rPr>
              <w:t xml:space="preserve">Do 30 kalendářních dnů od nabytí účinnosti Smlouvy. </w:t>
            </w:r>
          </w:p>
        </w:tc>
        <w:tc>
          <w:tcPr>
            <w:tcW w:w="5342" w:type="dxa"/>
            <w:tcBorders>
              <w:top w:val="nil"/>
              <w:left w:val="nil"/>
              <w:bottom w:val="single" w:sz="8" w:space="0" w:color="000000"/>
              <w:right w:val="single" w:sz="8" w:space="0" w:color="000000"/>
            </w:tcBorders>
            <w:tcMar>
              <w:top w:w="0" w:type="dxa"/>
              <w:left w:w="108" w:type="dxa"/>
              <w:bottom w:w="0" w:type="dxa"/>
              <w:right w:w="108" w:type="dxa"/>
            </w:tcMar>
          </w:tcPr>
          <w:p w14:paraId="65D8A7BE"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 xml:space="preserve">V rámci zpracování vstupní zprávy Zpracovatel realizuje výchozí </w:t>
            </w:r>
            <w:proofErr w:type="spellStart"/>
            <w:r>
              <w:rPr>
                <w:rFonts w:ascii="Arial" w:eastAsia="Arial" w:hAnsi="Arial" w:cs="Arial"/>
                <w:sz w:val="20"/>
                <w:szCs w:val="20"/>
              </w:rPr>
              <w:t>desk-research</w:t>
            </w:r>
            <w:proofErr w:type="spellEnd"/>
            <w:r>
              <w:rPr>
                <w:rFonts w:ascii="Arial" w:eastAsia="Arial" w:hAnsi="Arial" w:cs="Arial"/>
                <w:sz w:val="20"/>
                <w:szCs w:val="20"/>
              </w:rPr>
              <w:t xml:space="preserve"> k tématu a dostupné dokumentaci projektu, dopracuje strategii zpracování analýzy (konkretizuje a dopracuje znění předložené nabídky), popíše zdroje využitelných sekundárních, potažmo primárních dat a strategii jejich získání, nastaví harmonogram realizace analýzy v souladu s termíny pro veřejnou zakázku a identifikuje potenciální omezení a rizika realizace analýzy.</w:t>
            </w:r>
          </w:p>
          <w:p w14:paraId="43A812D8"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Návrh vstupní zprávy bude představovat ze strany Zpracovatele kompletní verzi se všemi požadovanými náležitostmi, nebude se jednat o pouhý draft, ale o verzi připravenou ke konkrétním připomínkám.</w:t>
            </w:r>
          </w:p>
          <w:p w14:paraId="21E7B4BF" w14:textId="77777777" w:rsidR="006E359D" w:rsidRDefault="006E359D">
            <w:pPr>
              <w:spacing w:before="120" w:after="120"/>
              <w:rPr>
                <w:rFonts w:ascii="Arial" w:eastAsia="Arial" w:hAnsi="Arial" w:cs="Arial"/>
                <w:sz w:val="20"/>
                <w:szCs w:val="20"/>
                <w:highlight w:val="yellow"/>
              </w:rPr>
            </w:pPr>
          </w:p>
        </w:tc>
      </w:tr>
      <w:tr w:rsidR="006E359D" w14:paraId="28E48B34"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1B6891B2" w14:textId="77777777" w:rsidR="006E359D" w:rsidRDefault="009B1D28">
            <w:pPr>
              <w:rPr>
                <w:rFonts w:ascii="Arial" w:eastAsia="Arial" w:hAnsi="Arial" w:cs="Arial"/>
                <w:sz w:val="20"/>
                <w:szCs w:val="20"/>
              </w:rPr>
            </w:pPr>
            <w:r>
              <w:rPr>
                <w:rFonts w:ascii="Arial" w:eastAsia="Arial" w:hAnsi="Arial" w:cs="Arial"/>
                <w:sz w:val="20"/>
                <w:szCs w:val="20"/>
              </w:rPr>
              <w:lastRenderedPageBreak/>
              <w:t>Vstupní zpráva – finální verze</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15AA0A72" w14:textId="77777777" w:rsidR="006E359D" w:rsidRDefault="009B1D28">
            <w:pPr>
              <w:rPr>
                <w:rFonts w:ascii="Arial" w:eastAsia="Arial" w:hAnsi="Arial" w:cs="Arial"/>
                <w:sz w:val="20"/>
                <w:szCs w:val="20"/>
              </w:rPr>
            </w:pPr>
            <w:r>
              <w:rPr>
                <w:rFonts w:ascii="Arial" w:eastAsia="Arial" w:hAnsi="Arial" w:cs="Arial"/>
                <w:sz w:val="20"/>
                <w:szCs w:val="20"/>
              </w:rPr>
              <w:t>Do 15 kalendářních dnů od obdržení připomínek Objednatele k návrhu vstupní zprávy.</w:t>
            </w:r>
          </w:p>
        </w:tc>
        <w:tc>
          <w:tcPr>
            <w:tcW w:w="5342" w:type="dxa"/>
            <w:tcBorders>
              <w:top w:val="nil"/>
              <w:left w:val="nil"/>
              <w:bottom w:val="single" w:sz="8" w:space="0" w:color="000000"/>
              <w:right w:val="single" w:sz="8" w:space="0" w:color="000000"/>
            </w:tcBorders>
            <w:tcMar>
              <w:top w:w="0" w:type="dxa"/>
              <w:left w:w="108" w:type="dxa"/>
              <w:bottom w:w="0" w:type="dxa"/>
              <w:right w:w="108" w:type="dxa"/>
            </w:tcMar>
          </w:tcPr>
          <w:p w14:paraId="375F7468" w14:textId="77777777" w:rsidR="006E359D" w:rsidRDefault="009B1D28">
            <w:pPr>
              <w:rPr>
                <w:rFonts w:ascii="Arial" w:eastAsia="Arial" w:hAnsi="Arial" w:cs="Arial"/>
                <w:sz w:val="20"/>
                <w:szCs w:val="20"/>
              </w:rPr>
            </w:pPr>
            <w:r>
              <w:rPr>
                <w:rFonts w:ascii="Arial" w:eastAsia="Arial" w:hAnsi="Arial" w:cs="Arial"/>
                <w:sz w:val="20"/>
                <w:szCs w:val="20"/>
              </w:rPr>
              <w:t xml:space="preserve">Zpracovatel předloží vstupní zprávu se zapracovanými připomínkami Objednatele k jejímu návrhu. </w:t>
            </w:r>
          </w:p>
          <w:p w14:paraId="64018E13" w14:textId="77777777" w:rsidR="006E359D" w:rsidRDefault="006E359D">
            <w:pPr>
              <w:rPr>
                <w:rFonts w:ascii="Arial" w:eastAsia="Arial" w:hAnsi="Arial" w:cs="Arial"/>
                <w:sz w:val="20"/>
                <w:szCs w:val="20"/>
              </w:rPr>
            </w:pPr>
          </w:p>
          <w:p w14:paraId="2AB45601" w14:textId="77777777" w:rsidR="006E359D" w:rsidRDefault="009B1D28">
            <w:pPr>
              <w:rPr>
                <w:rFonts w:ascii="Arial" w:eastAsia="Arial" w:hAnsi="Arial" w:cs="Arial"/>
                <w:sz w:val="20"/>
                <w:szCs w:val="20"/>
              </w:rPr>
            </w:pPr>
            <w:r>
              <w:rPr>
                <w:rFonts w:ascii="Arial" w:eastAsia="Arial" w:hAnsi="Arial" w:cs="Arial"/>
                <w:sz w:val="20"/>
                <w:szCs w:val="20"/>
              </w:rPr>
              <w:t>Zpráva bude formálně a jazykově zpracována tak, aby bylo možné její zveřejnění na webu.</w:t>
            </w:r>
          </w:p>
          <w:p w14:paraId="63543BCE" w14:textId="77777777" w:rsidR="006E359D" w:rsidRDefault="006E359D">
            <w:pPr>
              <w:rPr>
                <w:rFonts w:ascii="Arial" w:eastAsia="Arial" w:hAnsi="Arial" w:cs="Arial"/>
                <w:sz w:val="20"/>
                <w:szCs w:val="20"/>
              </w:rPr>
            </w:pPr>
          </w:p>
          <w:p w14:paraId="318726B4" w14:textId="77777777" w:rsidR="006E359D" w:rsidRDefault="006E359D">
            <w:pPr>
              <w:rPr>
                <w:rFonts w:ascii="Arial" w:eastAsia="Arial" w:hAnsi="Arial" w:cs="Arial"/>
                <w:sz w:val="20"/>
                <w:szCs w:val="20"/>
              </w:rPr>
            </w:pPr>
          </w:p>
        </w:tc>
      </w:tr>
      <w:tr w:rsidR="006E359D" w14:paraId="5AF90998"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62BD0C20" w14:textId="77777777" w:rsidR="006E359D" w:rsidRDefault="009B1D28">
            <w:pPr>
              <w:rPr>
                <w:rFonts w:ascii="Arial" w:eastAsia="Arial" w:hAnsi="Arial" w:cs="Arial"/>
                <w:sz w:val="20"/>
                <w:szCs w:val="20"/>
              </w:rPr>
            </w:pPr>
            <w:r>
              <w:rPr>
                <w:rFonts w:ascii="Arial" w:eastAsia="Arial" w:hAnsi="Arial" w:cs="Arial"/>
                <w:sz w:val="20"/>
                <w:szCs w:val="20"/>
              </w:rPr>
              <w:t>Průběžná zpráva – návrh</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09871759" w14:textId="77777777" w:rsidR="006E359D" w:rsidRDefault="009B1D28">
            <w:pPr>
              <w:rPr>
                <w:rFonts w:ascii="Arial" w:eastAsia="Arial" w:hAnsi="Arial" w:cs="Arial"/>
                <w:sz w:val="20"/>
                <w:szCs w:val="20"/>
              </w:rPr>
            </w:pPr>
            <w:bookmarkStart w:id="11" w:name="_heading=h.17dp8vu" w:colFirst="0" w:colLast="0"/>
            <w:bookmarkEnd w:id="11"/>
            <w:r>
              <w:rPr>
                <w:rFonts w:ascii="Arial" w:eastAsia="Arial" w:hAnsi="Arial" w:cs="Arial"/>
                <w:sz w:val="20"/>
                <w:szCs w:val="20"/>
              </w:rPr>
              <w:t>Do 120 kalendářních dnů od nabytí účinnosti Smlouvy.</w:t>
            </w:r>
          </w:p>
        </w:tc>
        <w:tc>
          <w:tcPr>
            <w:tcW w:w="5342" w:type="dxa"/>
            <w:tcBorders>
              <w:top w:val="nil"/>
              <w:left w:val="nil"/>
              <w:bottom w:val="single" w:sz="8" w:space="0" w:color="000000"/>
              <w:right w:val="single" w:sz="8" w:space="0" w:color="000000"/>
            </w:tcBorders>
            <w:tcMar>
              <w:top w:w="0" w:type="dxa"/>
              <w:left w:w="108" w:type="dxa"/>
              <w:bottom w:w="0" w:type="dxa"/>
              <w:right w:w="108" w:type="dxa"/>
            </w:tcMar>
          </w:tcPr>
          <w:p w14:paraId="1E975E24" w14:textId="77777777" w:rsidR="006E359D" w:rsidRDefault="009B1D28">
            <w:pPr>
              <w:spacing w:before="120"/>
              <w:jc w:val="both"/>
              <w:rPr>
                <w:rFonts w:ascii="Arial" w:eastAsia="Arial" w:hAnsi="Arial" w:cs="Arial"/>
                <w:sz w:val="20"/>
                <w:szCs w:val="20"/>
              </w:rPr>
            </w:pPr>
            <w:r>
              <w:rPr>
                <w:rFonts w:ascii="Arial" w:eastAsia="Arial" w:hAnsi="Arial" w:cs="Arial"/>
                <w:sz w:val="20"/>
                <w:szCs w:val="20"/>
              </w:rPr>
              <w:t>Obsahem průběžné zprávy</w:t>
            </w:r>
            <w:r>
              <w:rPr>
                <w:rFonts w:ascii="Arial" w:eastAsia="Arial" w:hAnsi="Arial" w:cs="Arial"/>
                <w:b/>
                <w:sz w:val="20"/>
                <w:szCs w:val="20"/>
              </w:rPr>
              <w:t xml:space="preserve"> </w:t>
            </w:r>
            <w:r>
              <w:rPr>
                <w:rFonts w:ascii="Arial" w:eastAsia="Arial" w:hAnsi="Arial" w:cs="Arial"/>
                <w:sz w:val="20"/>
                <w:szCs w:val="20"/>
              </w:rPr>
              <w:t xml:space="preserve">bude zpracování výzkumného cíle 1. V rámci této zprávy dojde k zodpovězení jednotlivých dílčích výzkumných otázek (výzkumné otázky 1.1 až 1.4). V případě, kdy nebude z objektivních důvodů možné některou z výzkumných otázek zodpovědět, bude uveden podrobný popis postupu, spolu s definováním překážek, které neumožnily zodpovědět danou výzkumnou otázku. Zpráva bude také obsahovat zdůvodnění případných úprav v nastavení strategie realizace analýzy a aktualizace analýzy hlavních omezení a rizik. </w:t>
            </w:r>
          </w:p>
          <w:p w14:paraId="30035662" w14:textId="77777777" w:rsidR="006E359D" w:rsidRDefault="009B1D28">
            <w:pPr>
              <w:spacing w:before="120"/>
              <w:jc w:val="both"/>
              <w:rPr>
                <w:rFonts w:ascii="Arial" w:eastAsia="Arial" w:hAnsi="Arial" w:cs="Arial"/>
                <w:sz w:val="20"/>
                <w:szCs w:val="20"/>
              </w:rPr>
            </w:pPr>
            <w:r>
              <w:rPr>
                <w:rFonts w:ascii="Arial" w:eastAsia="Arial" w:hAnsi="Arial" w:cs="Arial"/>
                <w:sz w:val="20"/>
                <w:szCs w:val="20"/>
              </w:rPr>
              <w:t>V případě, že budou Zpracovatelem identifikovány jako stěžejní i další aspekty realizované analýzy, které nejsou přímo uvedeny v rámci Specifikace předmětu plnění, může Zpracovatel tyto aspekty do průběžné zprávy zahrnout.</w:t>
            </w:r>
          </w:p>
          <w:p w14:paraId="0B15B623" w14:textId="77777777" w:rsidR="006E359D" w:rsidRDefault="009B1D28">
            <w:pPr>
              <w:spacing w:before="120" w:after="120"/>
              <w:jc w:val="both"/>
              <w:rPr>
                <w:rFonts w:ascii="Arial" w:eastAsia="Arial" w:hAnsi="Arial" w:cs="Arial"/>
                <w:sz w:val="20"/>
                <w:szCs w:val="20"/>
                <w:highlight w:val="yellow"/>
              </w:rPr>
            </w:pPr>
            <w:r>
              <w:rPr>
                <w:rFonts w:ascii="Arial" w:eastAsia="Arial" w:hAnsi="Arial" w:cs="Arial"/>
                <w:sz w:val="20"/>
                <w:szCs w:val="20"/>
              </w:rPr>
              <w:t>Návrh průběžné zprávy bude představovat ze strany Zpracovatele kompletní verzi se všemi požadovanými náležitostmi, nebude se jednat o pouhý draft, ale o verzi připravenou ke konkrétním připomínkám.</w:t>
            </w:r>
          </w:p>
        </w:tc>
      </w:tr>
      <w:tr w:rsidR="006E359D" w14:paraId="0CFAEE9B"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1EF204DB" w14:textId="77777777" w:rsidR="006E359D" w:rsidRDefault="009B1D28">
            <w:pPr>
              <w:spacing w:before="120" w:after="120"/>
              <w:rPr>
                <w:rFonts w:ascii="Arial" w:eastAsia="Arial" w:hAnsi="Arial" w:cs="Arial"/>
                <w:sz w:val="20"/>
                <w:szCs w:val="20"/>
              </w:rPr>
            </w:pPr>
            <w:r>
              <w:rPr>
                <w:rFonts w:ascii="Arial" w:eastAsia="Arial" w:hAnsi="Arial" w:cs="Arial"/>
                <w:sz w:val="20"/>
                <w:szCs w:val="20"/>
              </w:rPr>
              <w:t>Aktualizační pracovní schůzka</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45B109F8" w14:textId="77777777" w:rsidR="006E359D" w:rsidRDefault="009B1D28">
            <w:pPr>
              <w:spacing w:before="120" w:after="120"/>
              <w:rPr>
                <w:rFonts w:ascii="Arial" w:eastAsia="Arial" w:hAnsi="Arial" w:cs="Arial"/>
                <w:sz w:val="20"/>
                <w:szCs w:val="20"/>
              </w:rPr>
            </w:pPr>
            <w:r>
              <w:rPr>
                <w:rFonts w:ascii="Arial" w:eastAsia="Arial" w:hAnsi="Arial" w:cs="Arial"/>
                <w:sz w:val="20"/>
                <w:szCs w:val="20"/>
              </w:rPr>
              <w:t>Do 15 kalendářních dnů od předložení návrhu průběžné zprávy.</w:t>
            </w:r>
          </w:p>
        </w:tc>
        <w:tc>
          <w:tcPr>
            <w:tcW w:w="5342" w:type="dxa"/>
            <w:tcBorders>
              <w:top w:val="nil"/>
              <w:left w:val="nil"/>
              <w:bottom w:val="single" w:sz="8" w:space="0" w:color="000000"/>
              <w:right w:val="single" w:sz="8" w:space="0" w:color="000000"/>
            </w:tcBorders>
            <w:tcMar>
              <w:top w:w="0" w:type="dxa"/>
              <w:left w:w="108" w:type="dxa"/>
              <w:bottom w:w="0" w:type="dxa"/>
              <w:right w:w="108" w:type="dxa"/>
            </w:tcMar>
          </w:tcPr>
          <w:p w14:paraId="33D842B7"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 xml:space="preserve">Aktualizační pracovní schůzka Objednatele se Zpracovatelem k předloženému návrhu průběžné zprávy </w:t>
            </w:r>
            <w:r>
              <w:rPr>
                <w:rFonts w:ascii="Arial" w:eastAsia="Arial" w:hAnsi="Arial" w:cs="Arial"/>
                <w:sz w:val="20"/>
                <w:szCs w:val="20"/>
              </w:rPr>
              <w:br/>
              <w:t xml:space="preserve">a předpokládanému dalšímu průběhu realizace. </w:t>
            </w:r>
          </w:p>
          <w:p w14:paraId="0A84353C"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 xml:space="preserve">Bude vyhodnocen dosavadní postup na realizaci </w:t>
            </w:r>
            <w:r>
              <w:rPr>
                <w:rFonts w:ascii="Arial" w:eastAsia="Arial" w:hAnsi="Arial" w:cs="Arial"/>
                <w:sz w:val="20"/>
                <w:szCs w:val="20"/>
              </w:rPr>
              <w:br/>
              <w:t>a diskutovány stávající výstupy a plánovaný další postup.</w:t>
            </w:r>
          </w:p>
        </w:tc>
      </w:tr>
      <w:tr w:rsidR="006E359D" w14:paraId="6C988941"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11A05F71"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Průběžná zpráva – finální verze</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507A2F31" w14:textId="77777777" w:rsidR="006E359D" w:rsidRDefault="009B1D28">
            <w:pPr>
              <w:spacing w:before="120" w:after="120"/>
              <w:rPr>
                <w:rFonts w:ascii="Arial" w:eastAsia="Arial" w:hAnsi="Arial" w:cs="Arial"/>
                <w:sz w:val="20"/>
                <w:szCs w:val="20"/>
              </w:rPr>
            </w:pPr>
            <w:r>
              <w:rPr>
                <w:rFonts w:ascii="Arial" w:eastAsia="Arial" w:hAnsi="Arial" w:cs="Arial"/>
                <w:sz w:val="20"/>
                <w:szCs w:val="20"/>
              </w:rPr>
              <w:t xml:space="preserve">Do 15 kalendářních dnů od obdržení připomínek Objednatele k návrhu průběžné zprávy. </w:t>
            </w:r>
          </w:p>
        </w:tc>
        <w:tc>
          <w:tcPr>
            <w:tcW w:w="5342" w:type="dxa"/>
            <w:tcBorders>
              <w:top w:val="nil"/>
              <w:left w:val="nil"/>
              <w:bottom w:val="single" w:sz="8" w:space="0" w:color="000000"/>
              <w:right w:val="single" w:sz="8" w:space="0" w:color="000000"/>
            </w:tcBorders>
            <w:tcMar>
              <w:top w:w="0" w:type="dxa"/>
              <w:left w:w="108" w:type="dxa"/>
              <w:bottom w:w="0" w:type="dxa"/>
              <w:right w:w="108" w:type="dxa"/>
            </w:tcMar>
          </w:tcPr>
          <w:p w14:paraId="7A714D07"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 xml:space="preserve">Zpracovatel předloží průběžnou zprávu se zapracovanými připomínkami Objednatele k jejímu návrhu. </w:t>
            </w:r>
          </w:p>
          <w:p w14:paraId="67A50AC3"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 xml:space="preserve">Zpráva bude formálně a jazykově zpracována tak, aby bylo možné její zveřejnění na webu. </w:t>
            </w:r>
          </w:p>
          <w:p w14:paraId="419AD98B"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Po schválení finální verze průběžné zprávy Objednatelem Zpracovatel předloží fakturu na první dílčí platbu.</w:t>
            </w:r>
          </w:p>
        </w:tc>
      </w:tr>
      <w:tr w:rsidR="006E359D" w14:paraId="685EAC41"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32D661B3" w14:textId="77777777" w:rsidR="006E359D" w:rsidRDefault="009B1D28">
            <w:pPr>
              <w:spacing w:before="120" w:after="120"/>
              <w:rPr>
                <w:rFonts w:ascii="Arial" w:eastAsia="Arial" w:hAnsi="Arial" w:cs="Arial"/>
                <w:sz w:val="20"/>
                <w:szCs w:val="20"/>
              </w:rPr>
            </w:pPr>
            <w:r>
              <w:rPr>
                <w:rFonts w:ascii="Arial" w:eastAsia="Arial" w:hAnsi="Arial" w:cs="Arial"/>
                <w:sz w:val="20"/>
                <w:szCs w:val="20"/>
              </w:rPr>
              <w:t>Závěrečná zpráva – návrh</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656ED6D5" w14:textId="77777777" w:rsidR="006E359D" w:rsidRDefault="009B1D28">
            <w:pPr>
              <w:spacing w:before="120" w:after="120"/>
              <w:rPr>
                <w:rFonts w:ascii="Arial" w:eastAsia="Arial" w:hAnsi="Arial" w:cs="Arial"/>
                <w:sz w:val="20"/>
                <w:szCs w:val="20"/>
              </w:rPr>
            </w:pPr>
            <w:r>
              <w:rPr>
                <w:rFonts w:ascii="Arial" w:eastAsia="Arial" w:hAnsi="Arial" w:cs="Arial"/>
                <w:sz w:val="20"/>
                <w:szCs w:val="20"/>
              </w:rPr>
              <w:t>Do 180 kalendářních dnů od nabytí účinnosti Smlouvy.</w:t>
            </w:r>
          </w:p>
        </w:tc>
        <w:tc>
          <w:tcPr>
            <w:tcW w:w="53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8349C2B" w14:textId="77777777" w:rsidR="006E359D" w:rsidRDefault="009B1D28">
            <w:pPr>
              <w:spacing w:before="120"/>
              <w:jc w:val="both"/>
              <w:rPr>
                <w:rFonts w:ascii="Arial" w:eastAsia="Arial" w:hAnsi="Arial" w:cs="Arial"/>
                <w:sz w:val="20"/>
                <w:szCs w:val="20"/>
              </w:rPr>
            </w:pPr>
            <w:r>
              <w:rPr>
                <w:rFonts w:ascii="Arial" w:eastAsia="Arial" w:hAnsi="Arial" w:cs="Arial"/>
                <w:sz w:val="20"/>
                <w:szCs w:val="20"/>
              </w:rPr>
              <w:t>V rámci závěrečné zprávy Zpracovatel shrne specifikaci a zdůvodnění všech případných provedených úprav v nastavení strategie realizace analýzy, shrne analýzu výzkumného cíle 1, spolu se zpracováním výzkumného cíle 2. V případě, kdy nebude z objektivních důvodů možné některou z výzkumných otázek zodpovědět, bude uveden podrobný popis postupu, spolu s definováním překážek, které neumožnily zodpovědět danou výzkumnou otázku. Dále bude zpráva obsahovat vyhodnocení procesní úspěšnosti provedené analýzy v návaznosti na analýzu rizik, vysvětlení realizované práce s daty a případnou syntézu poznatků a doporučení. V případě, že budou Zpracovatelem identifikovány jako stěžejní i další aspekty realizované analýzy, které nejsou přímo uvedeny v rámci Specifikace předmětu plnění, může Zpracovatel tyto aspekty do závěrečné zprávy zahrnout.</w:t>
            </w:r>
          </w:p>
          <w:p w14:paraId="455801F3" w14:textId="77777777" w:rsidR="006E359D" w:rsidRDefault="009B1D28">
            <w:pPr>
              <w:spacing w:before="120" w:after="120"/>
              <w:rPr>
                <w:rFonts w:ascii="Arial" w:eastAsia="Arial" w:hAnsi="Arial" w:cs="Arial"/>
                <w:sz w:val="20"/>
                <w:szCs w:val="20"/>
              </w:rPr>
            </w:pPr>
            <w:r>
              <w:rPr>
                <w:rFonts w:ascii="Arial" w:eastAsia="Arial" w:hAnsi="Arial" w:cs="Arial"/>
                <w:sz w:val="20"/>
                <w:szCs w:val="20"/>
              </w:rPr>
              <w:lastRenderedPageBreak/>
              <w:t>Zpráva bude obsahovat tyto části určené pro různé uživatele výstupů analýzy:</w:t>
            </w:r>
          </w:p>
          <w:p w14:paraId="5C4FA96F" w14:textId="77777777" w:rsidR="006E359D" w:rsidRDefault="009B1D28">
            <w:pPr>
              <w:numPr>
                <w:ilvl w:val="0"/>
                <w:numId w:val="20"/>
              </w:numPr>
              <w:ind w:left="391" w:hanging="391"/>
              <w:rPr>
                <w:rFonts w:ascii="Arial" w:eastAsia="Arial" w:hAnsi="Arial" w:cs="Arial"/>
                <w:sz w:val="20"/>
                <w:szCs w:val="20"/>
              </w:rPr>
            </w:pPr>
            <w:r>
              <w:rPr>
                <w:rFonts w:ascii="Arial" w:eastAsia="Arial" w:hAnsi="Arial" w:cs="Arial"/>
                <w:sz w:val="20"/>
                <w:szCs w:val="20"/>
              </w:rPr>
              <w:t>Manažerské shrnutí (max. 2 strany)</w:t>
            </w:r>
          </w:p>
          <w:p w14:paraId="7723DF36" w14:textId="77777777" w:rsidR="006E359D" w:rsidRDefault="009B1D28">
            <w:pPr>
              <w:numPr>
                <w:ilvl w:val="0"/>
                <w:numId w:val="20"/>
              </w:numPr>
              <w:ind w:left="391" w:hanging="391"/>
              <w:jc w:val="both"/>
              <w:rPr>
                <w:rFonts w:ascii="Arial" w:eastAsia="Arial" w:hAnsi="Arial" w:cs="Arial"/>
                <w:sz w:val="20"/>
                <w:szCs w:val="20"/>
              </w:rPr>
            </w:pPr>
            <w:r>
              <w:rPr>
                <w:rFonts w:ascii="Arial" w:eastAsia="Arial" w:hAnsi="Arial" w:cs="Arial"/>
                <w:sz w:val="20"/>
                <w:szCs w:val="20"/>
              </w:rPr>
              <w:t>Základní informace o tématu a specifikace cílů analýzy</w:t>
            </w:r>
          </w:p>
          <w:p w14:paraId="36371D4B" w14:textId="77777777" w:rsidR="006E359D" w:rsidRDefault="009B1D28">
            <w:pPr>
              <w:numPr>
                <w:ilvl w:val="0"/>
                <w:numId w:val="20"/>
              </w:numPr>
              <w:ind w:left="391" w:hanging="391"/>
              <w:jc w:val="both"/>
              <w:rPr>
                <w:rFonts w:ascii="Arial" w:eastAsia="Arial" w:hAnsi="Arial" w:cs="Arial"/>
                <w:sz w:val="20"/>
                <w:szCs w:val="20"/>
              </w:rPr>
            </w:pPr>
            <w:r>
              <w:rPr>
                <w:rFonts w:ascii="Arial" w:eastAsia="Arial" w:hAnsi="Arial" w:cs="Arial"/>
                <w:sz w:val="20"/>
                <w:szCs w:val="20"/>
              </w:rPr>
              <w:t>Finální specifikace a zdůvodnění úprav v nastavení strategie realizace analýzy</w:t>
            </w:r>
          </w:p>
          <w:p w14:paraId="7B6B97B1" w14:textId="77777777" w:rsidR="006E359D" w:rsidRDefault="009B1D28">
            <w:pPr>
              <w:numPr>
                <w:ilvl w:val="0"/>
                <w:numId w:val="20"/>
              </w:numPr>
              <w:ind w:left="391" w:hanging="391"/>
              <w:jc w:val="both"/>
              <w:rPr>
                <w:rFonts w:ascii="Arial" w:eastAsia="Arial" w:hAnsi="Arial" w:cs="Arial"/>
                <w:sz w:val="20"/>
                <w:szCs w:val="20"/>
              </w:rPr>
            </w:pPr>
            <w:r>
              <w:rPr>
                <w:rFonts w:ascii="Arial" w:eastAsia="Arial" w:hAnsi="Arial" w:cs="Arial"/>
                <w:sz w:val="20"/>
                <w:szCs w:val="20"/>
              </w:rPr>
              <w:t>Hlavní omezení a rizika realizace šetření – vyhodnocení</w:t>
            </w:r>
          </w:p>
          <w:p w14:paraId="69A74C25" w14:textId="77777777" w:rsidR="006E359D" w:rsidRDefault="009B1D28">
            <w:pPr>
              <w:numPr>
                <w:ilvl w:val="0"/>
                <w:numId w:val="20"/>
              </w:numPr>
              <w:ind w:left="391" w:hanging="391"/>
              <w:jc w:val="both"/>
              <w:rPr>
                <w:rFonts w:ascii="Arial" w:eastAsia="Arial" w:hAnsi="Arial" w:cs="Arial"/>
                <w:sz w:val="20"/>
                <w:szCs w:val="20"/>
              </w:rPr>
            </w:pPr>
            <w:r>
              <w:rPr>
                <w:rFonts w:ascii="Arial" w:eastAsia="Arial" w:hAnsi="Arial" w:cs="Arial"/>
                <w:sz w:val="20"/>
                <w:szCs w:val="20"/>
              </w:rPr>
              <w:t>Popis využívaných primárních a sekundárních dat, vysvětlení realizované práce s daty při analýze</w:t>
            </w:r>
          </w:p>
          <w:p w14:paraId="5221288B" w14:textId="77777777" w:rsidR="006E359D" w:rsidRDefault="009B1D28">
            <w:pPr>
              <w:numPr>
                <w:ilvl w:val="0"/>
                <w:numId w:val="20"/>
              </w:numPr>
              <w:ind w:left="391" w:hanging="391"/>
              <w:rPr>
                <w:rFonts w:ascii="Arial" w:eastAsia="Arial" w:hAnsi="Arial" w:cs="Arial"/>
                <w:sz w:val="20"/>
                <w:szCs w:val="20"/>
              </w:rPr>
            </w:pPr>
            <w:r>
              <w:rPr>
                <w:rFonts w:ascii="Arial" w:eastAsia="Arial" w:hAnsi="Arial" w:cs="Arial"/>
                <w:sz w:val="20"/>
                <w:szCs w:val="20"/>
              </w:rPr>
              <w:t>Vyhodnocení jednotlivých výzkumných cílů (zjištění, závěry a doporučení)</w:t>
            </w:r>
          </w:p>
          <w:p w14:paraId="5D1D350F" w14:textId="77777777" w:rsidR="006E359D" w:rsidRDefault="009B1D28">
            <w:pPr>
              <w:numPr>
                <w:ilvl w:val="0"/>
                <w:numId w:val="20"/>
              </w:numPr>
              <w:ind w:left="391" w:hanging="391"/>
              <w:rPr>
                <w:rFonts w:ascii="Arial" w:eastAsia="Arial" w:hAnsi="Arial" w:cs="Arial"/>
                <w:sz w:val="20"/>
                <w:szCs w:val="20"/>
              </w:rPr>
            </w:pPr>
            <w:r>
              <w:rPr>
                <w:rFonts w:ascii="Arial" w:eastAsia="Arial" w:hAnsi="Arial" w:cs="Arial"/>
                <w:sz w:val="20"/>
                <w:szCs w:val="20"/>
              </w:rPr>
              <w:t xml:space="preserve">Samostatná technická příloha s detailním popisem postupu šetření, metodologií sběru a analýzy dat. </w:t>
            </w:r>
          </w:p>
          <w:p w14:paraId="4489751D"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Návrh závěrečné zprávy bude představovat ze strany Zpracovatele kompletní verzi se všemi požadovanými náležitostmi, nebude se jednat o pouhý draft, ale o verzi připravenou ke konkrétním připomínkám.</w:t>
            </w:r>
          </w:p>
        </w:tc>
      </w:tr>
      <w:tr w:rsidR="006E359D" w14:paraId="79F3401B"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130327D6" w14:textId="77777777" w:rsidR="006E359D" w:rsidRDefault="009B1D28">
            <w:pPr>
              <w:spacing w:before="120" w:after="120"/>
              <w:rPr>
                <w:rFonts w:ascii="Arial" w:eastAsia="Arial" w:hAnsi="Arial" w:cs="Arial"/>
                <w:sz w:val="20"/>
                <w:szCs w:val="20"/>
              </w:rPr>
            </w:pPr>
            <w:r>
              <w:rPr>
                <w:rFonts w:ascii="Arial" w:eastAsia="Arial" w:hAnsi="Arial" w:cs="Arial"/>
                <w:sz w:val="20"/>
                <w:szCs w:val="20"/>
              </w:rPr>
              <w:lastRenderedPageBreak/>
              <w:t>Závěrečná zpráva – finální verze</w:t>
            </w:r>
          </w:p>
          <w:p w14:paraId="7B1BF7A2" w14:textId="77777777" w:rsidR="006E359D" w:rsidRDefault="006E359D">
            <w:pPr>
              <w:spacing w:before="120" w:after="120"/>
              <w:rPr>
                <w:rFonts w:ascii="Arial" w:eastAsia="Arial" w:hAnsi="Arial" w:cs="Arial"/>
                <w:sz w:val="20"/>
                <w:szCs w:val="20"/>
              </w:rPr>
            </w:pPr>
          </w:p>
          <w:p w14:paraId="7AF7F936" w14:textId="77777777" w:rsidR="006E359D" w:rsidRDefault="006E359D">
            <w:pPr>
              <w:spacing w:before="120" w:after="120"/>
              <w:rPr>
                <w:rFonts w:ascii="Arial" w:eastAsia="Arial" w:hAnsi="Arial" w:cs="Arial"/>
                <w:sz w:val="20"/>
                <w:szCs w:val="20"/>
              </w:rPr>
            </w:pP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16207419" w14:textId="77777777" w:rsidR="006E359D" w:rsidRDefault="009B1D28">
            <w:pPr>
              <w:spacing w:before="120" w:after="120"/>
              <w:rPr>
                <w:rFonts w:ascii="Arial" w:eastAsia="Arial" w:hAnsi="Arial" w:cs="Arial"/>
                <w:sz w:val="20"/>
                <w:szCs w:val="20"/>
              </w:rPr>
            </w:pPr>
            <w:r>
              <w:rPr>
                <w:rFonts w:ascii="Arial" w:eastAsia="Arial" w:hAnsi="Arial" w:cs="Arial"/>
                <w:sz w:val="20"/>
                <w:szCs w:val="20"/>
              </w:rPr>
              <w:t>Do 15 kalendářních dnů od obdržení připomínek Objednatele k návrhu závěrečné zprávy.</w:t>
            </w:r>
          </w:p>
        </w:tc>
        <w:tc>
          <w:tcPr>
            <w:tcW w:w="5342"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761290B6"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Zpracovatel předloží závěrečnou zprávu se zapracovanými připomínkami Objednatele k jejímu návrhu.</w:t>
            </w:r>
          </w:p>
          <w:p w14:paraId="414687B5"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Zpráva bude formálně a jazykově zpracována tak, aby bylo možné její zveřejnění na webu.</w:t>
            </w:r>
          </w:p>
          <w:p w14:paraId="49D112AE"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 xml:space="preserve">Po dohodě s Objednatelem Zpracovatel zajistí prezentaci závěrečné zprávy pro vybrané uživatele realizované analýzy. Zpracovatel poskytne Objednateli k využití prezentaci v elektronické podobě. </w:t>
            </w:r>
          </w:p>
          <w:p w14:paraId="74C67493"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Součástí finální závěrečné zprávy je manažerské shrnutí v anglickém jazyce. Manažerské shrnutí v anglickém jazyce doplní Zpracovatel do 30 dnů po akceptaci závěrečné zprávy Objednatelem.</w:t>
            </w:r>
          </w:p>
          <w:p w14:paraId="7C7323A9" w14:textId="77777777" w:rsidR="006E359D" w:rsidRDefault="006E359D">
            <w:pPr>
              <w:spacing w:before="120" w:after="120"/>
              <w:jc w:val="both"/>
              <w:rPr>
                <w:rFonts w:ascii="Arial" w:eastAsia="Arial" w:hAnsi="Arial" w:cs="Arial"/>
                <w:sz w:val="20"/>
                <w:szCs w:val="20"/>
              </w:rPr>
            </w:pPr>
          </w:p>
          <w:p w14:paraId="682BF8C3" w14:textId="77777777" w:rsidR="006E359D" w:rsidRDefault="009B1D28">
            <w:pPr>
              <w:spacing w:before="120" w:after="120"/>
              <w:jc w:val="both"/>
              <w:rPr>
                <w:rFonts w:ascii="Arial" w:eastAsia="Arial" w:hAnsi="Arial" w:cs="Arial"/>
                <w:sz w:val="20"/>
                <w:szCs w:val="20"/>
              </w:rPr>
            </w:pPr>
            <w:r>
              <w:rPr>
                <w:rFonts w:ascii="Arial" w:eastAsia="Arial" w:hAnsi="Arial" w:cs="Arial"/>
                <w:sz w:val="20"/>
                <w:szCs w:val="20"/>
              </w:rPr>
              <w:t>Po schválení finální verze závěrečné zprávy Objednatelem Zpracovatel předloží fakturu na druhou dílčí platbu.</w:t>
            </w:r>
          </w:p>
        </w:tc>
      </w:tr>
    </w:tbl>
    <w:p w14:paraId="03EF41E6" w14:textId="77777777" w:rsidR="006E359D" w:rsidRDefault="009B1D28">
      <w:pPr>
        <w:spacing w:before="60"/>
        <w:jc w:val="both"/>
        <w:rPr>
          <w:rFonts w:ascii="Arial" w:eastAsia="Arial" w:hAnsi="Arial" w:cs="Arial"/>
          <w:sz w:val="20"/>
          <w:szCs w:val="20"/>
        </w:rPr>
      </w:pPr>
      <w:r>
        <w:rPr>
          <w:rFonts w:ascii="Arial" w:eastAsia="Arial" w:hAnsi="Arial" w:cs="Arial"/>
          <w:sz w:val="20"/>
          <w:szCs w:val="20"/>
        </w:rPr>
        <w:t>* Termíny výstupů mohou být posunuty dle dohody Objednatele se Zpracovatelem v závislosti na potřebách Objednatele a dostupnosti dat.</w:t>
      </w:r>
    </w:p>
    <w:p w14:paraId="0CBFD239" w14:textId="77777777" w:rsidR="006E359D" w:rsidRDefault="006E359D">
      <w:pPr>
        <w:spacing w:before="60"/>
        <w:jc w:val="both"/>
        <w:rPr>
          <w:rFonts w:ascii="Arial" w:eastAsia="Arial" w:hAnsi="Arial" w:cs="Arial"/>
          <w:sz w:val="20"/>
          <w:szCs w:val="20"/>
        </w:rPr>
      </w:pPr>
    </w:p>
    <w:p w14:paraId="35F09AFE" w14:textId="77777777" w:rsidR="006E359D" w:rsidRDefault="006E359D">
      <w:pPr>
        <w:spacing w:before="60"/>
        <w:jc w:val="both"/>
        <w:rPr>
          <w:rFonts w:ascii="Arial" w:eastAsia="Arial" w:hAnsi="Arial" w:cs="Arial"/>
          <w:sz w:val="20"/>
          <w:szCs w:val="20"/>
        </w:rPr>
      </w:pPr>
    </w:p>
    <w:p w14:paraId="6A76C448" w14:textId="77777777" w:rsidR="006E359D" w:rsidRDefault="009B1D28">
      <w:pPr>
        <w:keepNext/>
        <w:keepLines/>
        <w:numPr>
          <w:ilvl w:val="0"/>
          <w:numId w:val="7"/>
        </w:numPr>
        <w:spacing w:line="276" w:lineRule="auto"/>
        <w:rPr>
          <w:rFonts w:ascii="Arial" w:eastAsia="Arial" w:hAnsi="Arial" w:cs="Arial"/>
          <w:b/>
          <w:color w:val="4F81BD"/>
          <w:sz w:val="20"/>
          <w:szCs w:val="20"/>
        </w:rPr>
      </w:pPr>
      <w:r>
        <w:rPr>
          <w:rFonts w:ascii="Arial" w:eastAsia="Arial" w:hAnsi="Arial" w:cs="Arial"/>
          <w:b/>
          <w:color w:val="4F81BD"/>
          <w:sz w:val="20"/>
          <w:szCs w:val="20"/>
        </w:rPr>
        <w:t>Další požadavky na plnění</w:t>
      </w:r>
    </w:p>
    <w:p w14:paraId="6954FF55" w14:textId="77777777" w:rsidR="006E359D" w:rsidRDefault="009B1D28">
      <w:pPr>
        <w:spacing w:after="200"/>
        <w:jc w:val="both"/>
        <w:rPr>
          <w:rFonts w:ascii="Arial" w:eastAsia="Arial" w:hAnsi="Arial" w:cs="Arial"/>
          <w:sz w:val="20"/>
          <w:szCs w:val="20"/>
        </w:rPr>
      </w:pPr>
      <w:r>
        <w:rPr>
          <w:rFonts w:ascii="Arial" w:eastAsia="Arial" w:hAnsi="Arial" w:cs="Arial"/>
          <w:sz w:val="20"/>
          <w:szCs w:val="20"/>
        </w:rPr>
        <w:t>Zpracovatel bude ve všech fázích realizace postupovat v souladu s Etickým kodexem a Formálními standardy (viz www.czecheval.cz).</w:t>
      </w:r>
    </w:p>
    <w:p w14:paraId="7CD43F69" w14:textId="77777777" w:rsidR="006E359D" w:rsidRDefault="006E359D">
      <w:pPr>
        <w:spacing w:after="200" w:line="276" w:lineRule="auto"/>
        <w:jc w:val="both"/>
        <w:rPr>
          <w:rFonts w:ascii="Arial" w:eastAsia="Arial" w:hAnsi="Arial" w:cs="Arial"/>
          <w:sz w:val="20"/>
          <w:szCs w:val="20"/>
        </w:rPr>
      </w:pPr>
    </w:p>
    <w:p w14:paraId="75918FAF" w14:textId="77777777" w:rsidR="006E359D" w:rsidRDefault="009B1D28">
      <w:pPr>
        <w:keepNext/>
        <w:keepLines/>
        <w:numPr>
          <w:ilvl w:val="0"/>
          <w:numId w:val="7"/>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Zdroje</w:t>
      </w:r>
    </w:p>
    <w:p w14:paraId="6C42262E" w14:textId="77777777" w:rsidR="006E359D" w:rsidRDefault="006E359D">
      <w:pPr>
        <w:rPr>
          <w:rFonts w:ascii="Arial" w:eastAsia="Arial" w:hAnsi="Arial" w:cs="Arial"/>
          <w:sz w:val="20"/>
          <w:szCs w:val="20"/>
        </w:rPr>
      </w:pPr>
    </w:p>
    <w:p w14:paraId="40BFAB6C" w14:textId="77777777" w:rsidR="006E359D" w:rsidRDefault="009B1D28">
      <w:pPr>
        <w:spacing w:line="276" w:lineRule="auto"/>
        <w:rPr>
          <w:rFonts w:ascii="Arial" w:eastAsia="Arial" w:hAnsi="Arial" w:cs="Arial"/>
          <w:b/>
          <w:sz w:val="20"/>
          <w:szCs w:val="20"/>
        </w:rPr>
      </w:pPr>
      <w:r>
        <w:rPr>
          <w:rFonts w:ascii="Arial" w:eastAsia="Arial" w:hAnsi="Arial" w:cs="Arial"/>
          <w:b/>
          <w:sz w:val="20"/>
          <w:szCs w:val="20"/>
        </w:rPr>
        <w:t>Odborná literatura:</w:t>
      </w:r>
    </w:p>
    <w:p w14:paraId="142019B1" w14:textId="77777777" w:rsidR="006E359D" w:rsidRDefault="009B1D28">
      <w:pPr>
        <w:spacing w:line="276" w:lineRule="auto"/>
        <w:rPr>
          <w:rFonts w:ascii="Arial" w:eastAsia="Arial" w:hAnsi="Arial" w:cs="Arial"/>
          <w:sz w:val="20"/>
          <w:szCs w:val="20"/>
        </w:rPr>
      </w:pPr>
      <w:r>
        <w:rPr>
          <w:rFonts w:ascii="Arial" w:eastAsia="Arial" w:hAnsi="Arial" w:cs="Arial"/>
          <w:sz w:val="20"/>
          <w:szCs w:val="20"/>
        </w:rPr>
        <w:t xml:space="preserve">OCHRANA, František. Hodnocení veřejných zakázek a veřejných projektů. Praha: ASPI </w:t>
      </w:r>
      <w:proofErr w:type="spellStart"/>
      <w:r>
        <w:rPr>
          <w:rFonts w:ascii="Arial" w:eastAsia="Arial" w:hAnsi="Arial" w:cs="Arial"/>
          <w:sz w:val="20"/>
          <w:szCs w:val="20"/>
        </w:rPr>
        <w:t>Publishing</w:t>
      </w:r>
      <w:proofErr w:type="spellEnd"/>
      <w:r>
        <w:rPr>
          <w:rFonts w:ascii="Arial" w:eastAsia="Arial" w:hAnsi="Arial" w:cs="Arial"/>
          <w:sz w:val="20"/>
          <w:szCs w:val="20"/>
        </w:rPr>
        <w:t>, 2004. ISBN  80-7357-033-5</w:t>
      </w:r>
    </w:p>
    <w:p w14:paraId="2E864B68" w14:textId="77777777" w:rsidR="006E359D" w:rsidRDefault="006E359D">
      <w:pPr>
        <w:spacing w:line="276" w:lineRule="auto"/>
        <w:rPr>
          <w:rFonts w:ascii="Arial" w:eastAsia="Arial" w:hAnsi="Arial" w:cs="Arial"/>
          <w:sz w:val="20"/>
          <w:szCs w:val="20"/>
        </w:rPr>
      </w:pPr>
    </w:p>
    <w:p w14:paraId="71079FC8" w14:textId="77777777" w:rsidR="006E359D" w:rsidRDefault="009B1D28">
      <w:pPr>
        <w:spacing w:line="276" w:lineRule="auto"/>
        <w:rPr>
          <w:rFonts w:ascii="Arial" w:eastAsia="Arial" w:hAnsi="Arial" w:cs="Arial"/>
          <w:sz w:val="20"/>
          <w:szCs w:val="20"/>
        </w:rPr>
      </w:pPr>
      <w:r>
        <w:rPr>
          <w:rFonts w:ascii="Arial" w:eastAsia="Arial" w:hAnsi="Arial" w:cs="Arial"/>
          <w:sz w:val="20"/>
          <w:szCs w:val="20"/>
        </w:rPr>
        <w:t xml:space="preserve">OCHRANA, František. Nákladově užitkové metody ve veřejném sektoru. Praha: </w:t>
      </w:r>
      <w:proofErr w:type="spellStart"/>
      <w:r>
        <w:rPr>
          <w:rFonts w:ascii="Arial" w:eastAsia="Arial" w:hAnsi="Arial" w:cs="Arial"/>
          <w:sz w:val="20"/>
          <w:szCs w:val="20"/>
        </w:rPr>
        <w:t>Ekopress</w:t>
      </w:r>
      <w:proofErr w:type="spellEnd"/>
      <w:r>
        <w:rPr>
          <w:rFonts w:ascii="Arial" w:eastAsia="Arial" w:hAnsi="Arial" w:cs="Arial"/>
          <w:sz w:val="20"/>
          <w:szCs w:val="20"/>
        </w:rPr>
        <w:t>, 2005. ISBN 80-86119-96-3</w:t>
      </w:r>
    </w:p>
    <w:p w14:paraId="4C89B50A" w14:textId="77777777" w:rsidR="006E359D" w:rsidRDefault="006E359D">
      <w:pPr>
        <w:spacing w:line="276" w:lineRule="auto"/>
        <w:rPr>
          <w:rFonts w:ascii="Arial" w:eastAsia="Arial" w:hAnsi="Arial" w:cs="Arial"/>
          <w:sz w:val="20"/>
          <w:szCs w:val="20"/>
        </w:rPr>
      </w:pPr>
    </w:p>
    <w:p w14:paraId="59F3245C" w14:textId="77777777" w:rsidR="006E359D" w:rsidRDefault="009B1D28">
      <w:pPr>
        <w:spacing w:line="276" w:lineRule="auto"/>
        <w:rPr>
          <w:rFonts w:ascii="Arial" w:eastAsia="Arial" w:hAnsi="Arial" w:cs="Arial"/>
          <w:b/>
          <w:sz w:val="20"/>
          <w:szCs w:val="20"/>
        </w:rPr>
      </w:pPr>
      <w:r>
        <w:rPr>
          <w:rFonts w:ascii="Arial" w:eastAsia="Arial" w:hAnsi="Arial" w:cs="Arial"/>
          <w:b/>
          <w:sz w:val="20"/>
          <w:szCs w:val="20"/>
        </w:rPr>
        <w:t>Evaluační zpráva vybraného projektu:</w:t>
      </w:r>
    </w:p>
    <w:p w14:paraId="5FC6D48E" w14:textId="77777777" w:rsidR="006E359D" w:rsidRDefault="009B1D28">
      <w:pPr>
        <w:spacing w:line="276" w:lineRule="auto"/>
        <w:rPr>
          <w:rFonts w:ascii="Arial" w:eastAsia="Arial" w:hAnsi="Arial" w:cs="Arial"/>
          <w:sz w:val="20"/>
          <w:szCs w:val="20"/>
        </w:rPr>
      </w:pPr>
      <w:bookmarkStart w:id="12" w:name="_heading=h.3rdcrjn" w:colFirst="0" w:colLast="0"/>
      <w:bookmarkEnd w:id="12"/>
      <w:r>
        <w:rPr>
          <w:rFonts w:ascii="Arial" w:eastAsia="Arial" w:hAnsi="Arial" w:cs="Arial"/>
          <w:sz w:val="20"/>
          <w:szCs w:val="20"/>
        </w:rPr>
        <w:t xml:space="preserve">KVÁČA, Vladimír a Adela GOTTWALDOVÁ. Průběžná evaluační zpráva projektu Společně na svobodu. 2019. Realizátor projektu: RUBIKON Centrum, </w:t>
      </w:r>
      <w:proofErr w:type="spellStart"/>
      <w:r>
        <w:rPr>
          <w:rFonts w:ascii="Arial" w:eastAsia="Arial" w:hAnsi="Arial" w:cs="Arial"/>
          <w:sz w:val="20"/>
          <w:szCs w:val="20"/>
        </w:rPr>
        <w:t>z.ú</w:t>
      </w:r>
      <w:proofErr w:type="spellEnd"/>
      <w:r>
        <w:rPr>
          <w:rFonts w:ascii="Arial" w:eastAsia="Arial" w:hAnsi="Arial" w:cs="Arial"/>
          <w:sz w:val="20"/>
          <w:szCs w:val="20"/>
        </w:rPr>
        <w:t>.</w:t>
      </w:r>
    </w:p>
    <w:p w14:paraId="69D54471" w14:textId="77777777" w:rsidR="006E359D" w:rsidRDefault="006E359D">
      <w:pPr>
        <w:spacing w:line="276" w:lineRule="auto"/>
        <w:rPr>
          <w:rFonts w:ascii="Arial" w:eastAsia="Arial" w:hAnsi="Arial" w:cs="Arial"/>
          <w:sz w:val="20"/>
          <w:szCs w:val="20"/>
        </w:rPr>
      </w:pPr>
    </w:p>
    <w:p w14:paraId="35AFA2BB" w14:textId="77777777" w:rsidR="006E359D" w:rsidRDefault="009B1D28">
      <w:pPr>
        <w:keepNext/>
        <w:keepLines/>
        <w:numPr>
          <w:ilvl w:val="0"/>
          <w:numId w:val="7"/>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Přílohy</w:t>
      </w:r>
    </w:p>
    <w:p w14:paraId="2E02A731" w14:textId="77777777" w:rsidR="006E359D" w:rsidRDefault="006E359D">
      <w:pPr>
        <w:spacing w:line="276" w:lineRule="auto"/>
        <w:rPr>
          <w:rFonts w:ascii="Arial" w:eastAsia="Arial" w:hAnsi="Arial" w:cs="Arial"/>
          <w:sz w:val="20"/>
          <w:szCs w:val="20"/>
        </w:rPr>
      </w:pPr>
    </w:p>
    <w:p w14:paraId="36D4D2AD" w14:textId="59470C18" w:rsidR="006E359D" w:rsidRDefault="009B1D28">
      <w:pPr>
        <w:spacing w:line="276" w:lineRule="auto"/>
        <w:rPr>
          <w:rFonts w:ascii="Arial" w:eastAsia="Arial" w:hAnsi="Arial" w:cs="Arial"/>
          <w:sz w:val="20"/>
          <w:szCs w:val="20"/>
        </w:rPr>
      </w:pPr>
      <w:r>
        <w:rPr>
          <w:rFonts w:ascii="Arial" w:eastAsia="Arial" w:hAnsi="Arial" w:cs="Arial"/>
          <w:sz w:val="20"/>
          <w:szCs w:val="20"/>
        </w:rPr>
        <w:t xml:space="preserve">KVÁČA, Vladimír a Adela GOTTWALDOVÁ. Závěrečná evaluační zpráva projektu Společně na svobodu. 2021. Realizátor projektu: RUBIKON Centrum, </w:t>
      </w:r>
      <w:proofErr w:type="spellStart"/>
      <w:r>
        <w:rPr>
          <w:rFonts w:ascii="Arial" w:eastAsia="Arial" w:hAnsi="Arial" w:cs="Arial"/>
          <w:sz w:val="20"/>
          <w:szCs w:val="20"/>
        </w:rPr>
        <w:t>z.ú</w:t>
      </w:r>
      <w:proofErr w:type="spellEnd"/>
      <w:r>
        <w:rPr>
          <w:rFonts w:ascii="Arial" w:eastAsia="Arial" w:hAnsi="Arial" w:cs="Arial"/>
          <w:sz w:val="20"/>
          <w:szCs w:val="20"/>
        </w:rPr>
        <w:t>.</w:t>
      </w:r>
    </w:p>
    <w:p w14:paraId="15A7CAE4" w14:textId="611F3BF5" w:rsidR="006A7875" w:rsidRDefault="006A7875">
      <w:pPr>
        <w:spacing w:line="276" w:lineRule="auto"/>
        <w:rPr>
          <w:rFonts w:ascii="Arial" w:eastAsia="Arial" w:hAnsi="Arial" w:cs="Arial"/>
          <w:sz w:val="20"/>
          <w:szCs w:val="20"/>
        </w:rPr>
      </w:pPr>
    </w:p>
    <w:p w14:paraId="064C0983" w14:textId="2E15A275" w:rsidR="006A7875" w:rsidRDefault="006A7875">
      <w:pPr>
        <w:spacing w:line="276" w:lineRule="auto"/>
        <w:rPr>
          <w:rFonts w:ascii="Arial" w:eastAsia="Arial" w:hAnsi="Arial" w:cs="Arial"/>
          <w:sz w:val="20"/>
          <w:szCs w:val="20"/>
        </w:rPr>
      </w:pPr>
    </w:p>
    <w:p w14:paraId="0F06415E" w14:textId="7E0664F9" w:rsidR="006A7875" w:rsidRDefault="006A7875">
      <w:pPr>
        <w:spacing w:line="276" w:lineRule="auto"/>
        <w:rPr>
          <w:rFonts w:ascii="Arial" w:eastAsia="Arial" w:hAnsi="Arial" w:cs="Arial"/>
          <w:sz w:val="20"/>
          <w:szCs w:val="20"/>
        </w:rPr>
      </w:pPr>
    </w:p>
    <w:p w14:paraId="565C9CA4" w14:textId="39F226E8" w:rsidR="006A7875" w:rsidRDefault="006A7875">
      <w:pPr>
        <w:spacing w:line="276" w:lineRule="auto"/>
        <w:rPr>
          <w:rFonts w:ascii="Arial" w:eastAsia="Arial" w:hAnsi="Arial" w:cs="Arial"/>
          <w:sz w:val="20"/>
          <w:szCs w:val="20"/>
        </w:rPr>
      </w:pPr>
    </w:p>
    <w:p w14:paraId="19CB5844" w14:textId="2905F535" w:rsidR="006A7875" w:rsidRDefault="006A7875">
      <w:pPr>
        <w:spacing w:line="276" w:lineRule="auto"/>
        <w:rPr>
          <w:rFonts w:ascii="Arial" w:eastAsia="Arial" w:hAnsi="Arial" w:cs="Arial"/>
          <w:sz w:val="20"/>
          <w:szCs w:val="20"/>
        </w:rPr>
      </w:pPr>
    </w:p>
    <w:p w14:paraId="649CB730" w14:textId="6B2C8A78" w:rsidR="006A7875" w:rsidRDefault="006A7875">
      <w:pPr>
        <w:spacing w:line="276" w:lineRule="auto"/>
        <w:rPr>
          <w:rFonts w:ascii="Arial" w:eastAsia="Arial" w:hAnsi="Arial" w:cs="Arial"/>
          <w:sz w:val="20"/>
          <w:szCs w:val="20"/>
        </w:rPr>
      </w:pPr>
    </w:p>
    <w:p w14:paraId="26C91C39" w14:textId="0C4C8FA7" w:rsidR="006A7875" w:rsidRDefault="006A7875">
      <w:pPr>
        <w:spacing w:line="276" w:lineRule="auto"/>
        <w:rPr>
          <w:rFonts w:ascii="Arial" w:eastAsia="Arial" w:hAnsi="Arial" w:cs="Arial"/>
          <w:sz w:val="20"/>
          <w:szCs w:val="20"/>
        </w:rPr>
      </w:pPr>
    </w:p>
    <w:p w14:paraId="702F9E15" w14:textId="6DD0701B" w:rsidR="006A7875" w:rsidRDefault="006A7875">
      <w:pPr>
        <w:spacing w:line="276" w:lineRule="auto"/>
        <w:rPr>
          <w:rFonts w:ascii="Arial" w:eastAsia="Arial" w:hAnsi="Arial" w:cs="Arial"/>
          <w:sz w:val="20"/>
          <w:szCs w:val="20"/>
        </w:rPr>
      </w:pPr>
    </w:p>
    <w:p w14:paraId="7069ABF9" w14:textId="20F76C84" w:rsidR="006A7875" w:rsidRDefault="006A7875">
      <w:pPr>
        <w:spacing w:line="276" w:lineRule="auto"/>
        <w:rPr>
          <w:rFonts w:ascii="Arial" w:eastAsia="Arial" w:hAnsi="Arial" w:cs="Arial"/>
          <w:sz w:val="20"/>
          <w:szCs w:val="20"/>
        </w:rPr>
      </w:pPr>
    </w:p>
    <w:p w14:paraId="4F0ABD93" w14:textId="6A177E07" w:rsidR="006A7875" w:rsidRDefault="006A7875">
      <w:pPr>
        <w:spacing w:line="276" w:lineRule="auto"/>
        <w:rPr>
          <w:rFonts w:ascii="Arial" w:eastAsia="Arial" w:hAnsi="Arial" w:cs="Arial"/>
          <w:sz w:val="20"/>
          <w:szCs w:val="20"/>
        </w:rPr>
      </w:pPr>
    </w:p>
    <w:p w14:paraId="224AB347" w14:textId="26CC7161" w:rsidR="006A7875" w:rsidRDefault="006A7875">
      <w:pPr>
        <w:spacing w:line="276" w:lineRule="auto"/>
        <w:rPr>
          <w:rFonts w:ascii="Arial" w:eastAsia="Arial" w:hAnsi="Arial" w:cs="Arial"/>
          <w:sz w:val="20"/>
          <w:szCs w:val="20"/>
        </w:rPr>
      </w:pPr>
    </w:p>
    <w:p w14:paraId="0C264DC3" w14:textId="3481FC2B" w:rsidR="006A7875" w:rsidRDefault="006A7875">
      <w:pPr>
        <w:spacing w:line="276" w:lineRule="auto"/>
        <w:rPr>
          <w:rFonts w:ascii="Arial" w:eastAsia="Arial" w:hAnsi="Arial" w:cs="Arial"/>
          <w:sz w:val="20"/>
          <w:szCs w:val="20"/>
        </w:rPr>
      </w:pPr>
    </w:p>
    <w:p w14:paraId="79B3DEA6" w14:textId="04718F21" w:rsidR="006A7875" w:rsidRDefault="006A7875">
      <w:pPr>
        <w:spacing w:line="276" w:lineRule="auto"/>
        <w:rPr>
          <w:rFonts w:ascii="Arial" w:eastAsia="Arial" w:hAnsi="Arial" w:cs="Arial"/>
          <w:sz w:val="20"/>
          <w:szCs w:val="20"/>
        </w:rPr>
      </w:pPr>
    </w:p>
    <w:p w14:paraId="138C8C2E" w14:textId="11EA741D" w:rsidR="006A7875" w:rsidRDefault="006A7875">
      <w:pPr>
        <w:spacing w:line="276" w:lineRule="auto"/>
        <w:rPr>
          <w:rFonts w:ascii="Arial" w:eastAsia="Arial" w:hAnsi="Arial" w:cs="Arial"/>
          <w:sz w:val="20"/>
          <w:szCs w:val="20"/>
        </w:rPr>
      </w:pPr>
    </w:p>
    <w:p w14:paraId="6A75473D" w14:textId="303ACCAC" w:rsidR="006A7875" w:rsidRDefault="006A7875">
      <w:pPr>
        <w:spacing w:line="276" w:lineRule="auto"/>
        <w:rPr>
          <w:rFonts w:ascii="Arial" w:eastAsia="Arial" w:hAnsi="Arial" w:cs="Arial"/>
          <w:sz w:val="20"/>
          <w:szCs w:val="20"/>
        </w:rPr>
      </w:pPr>
    </w:p>
    <w:p w14:paraId="5ACAB055" w14:textId="2CDBA285" w:rsidR="006A7875" w:rsidRDefault="006A7875">
      <w:pPr>
        <w:spacing w:line="276" w:lineRule="auto"/>
        <w:rPr>
          <w:rFonts w:ascii="Arial" w:eastAsia="Arial" w:hAnsi="Arial" w:cs="Arial"/>
          <w:sz w:val="20"/>
          <w:szCs w:val="20"/>
        </w:rPr>
      </w:pPr>
    </w:p>
    <w:p w14:paraId="00F6828A" w14:textId="0BFAA0C8" w:rsidR="006A7875" w:rsidRDefault="006A7875">
      <w:pPr>
        <w:spacing w:line="276" w:lineRule="auto"/>
        <w:rPr>
          <w:rFonts w:ascii="Arial" w:eastAsia="Arial" w:hAnsi="Arial" w:cs="Arial"/>
          <w:sz w:val="20"/>
          <w:szCs w:val="20"/>
        </w:rPr>
      </w:pPr>
    </w:p>
    <w:p w14:paraId="28F6D86C" w14:textId="20D97C51" w:rsidR="006A7875" w:rsidRDefault="006A7875">
      <w:pPr>
        <w:spacing w:line="276" w:lineRule="auto"/>
        <w:rPr>
          <w:rFonts w:ascii="Arial" w:eastAsia="Arial" w:hAnsi="Arial" w:cs="Arial"/>
          <w:sz w:val="20"/>
          <w:szCs w:val="20"/>
        </w:rPr>
      </w:pPr>
    </w:p>
    <w:p w14:paraId="5282FFC9" w14:textId="069BA7BD" w:rsidR="006A7875" w:rsidRDefault="006A7875">
      <w:pPr>
        <w:spacing w:line="276" w:lineRule="auto"/>
        <w:rPr>
          <w:rFonts w:ascii="Arial" w:eastAsia="Arial" w:hAnsi="Arial" w:cs="Arial"/>
          <w:sz w:val="20"/>
          <w:szCs w:val="20"/>
        </w:rPr>
      </w:pPr>
    </w:p>
    <w:p w14:paraId="1C7EB410" w14:textId="43CE7858" w:rsidR="006A7875" w:rsidRDefault="006A7875">
      <w:pPr>
        <w:spacing w:line="276" w:lineRule="auto"/>
        <w:rPr>
          <w:rFonts w:ascii="Arial" w:eastAsia="Arial" w:hAnsi="Arial" w:cs="Arial"/>
          <w:sz w:val="20"/>
          <w:szCs w:val="20"/>
        </w:rPr>
      </w:pPr>
    </w:p>
    <w:p w14:paraId="62EB9A17" w14:textId="03834132" w:rsidR="006A7875" w:rsidRDefault="006A7875">
      <w:pPr>
        <w:spacing w:line="276" w:lineRule="auto"/>
        <w:rPr>
          <w:rFonts w:ascii="Arial" w:eastAsia="Arial" w:hAnsi="Arial" w:cs="Arial"/>
          <w:sz w:val="20"/>
          <w:szCs w:val="20"/>
        </w:rPr>
      </w:pPr>
    </w:p>
    <w:p w14:paraId="5D68D0A9" w14:textId="1919D7C3" w:rsidR="006A7875" w:rsidRDefault="006A7875">
      <w:pPr>
        <w:spacing w:line="276" w:lineRule="auto"/>
        <w:rPr>
          <w:rFonts w:ascii="Arial" w:eastAsia="Arial" w:hAnsi="Arial" w:cs="Arial"/>
          <w:sz w:val="20"/>
          <w:szCs w:val="20"/>
        </w:rPr>
      </w:pPr>
    </w:p>
    <w:p w14:paraId="0F770AB1" w14:textId="64E1DA47" w:rsidR="006A7875" w:rsidRDefault="006A7875">
      <w:pPr>
        <w:spacing w:line="276" w:lineRule="auto"/>
        <w:rPr>
          <w:rFonts w:ascii="Arial" w:eastAsia="Arial" w:hAnsi="Arial" w:cs="Arial"/>
          <w:sz w:val="20"/>
          <w:szCs w:val="20"/>
        </w:rPr>
      </w:pPr>
    </w:p>
    <w:p w14:paraId="477FB58D" w14:textId="0964C14F" w:rsidR="006A7875" w:rsidRDefault="006A7875">
      <w:pPr>
        <w:spacing w:line="276" w:lineRule="auto"/>
        <w:rPr>
          <w:rFonts w:ascii="Arial" w:eastAsia="Arial" w:hAnsi="Arial" w:cs="Arial"/>
          <w:sz w:val="20"/>
          <w:szCs w:val="20"/>
        </w:rPr>
      </w:pPr>
    </w:p>
    <w:p w14:paraId="7958BA6E" w14:textId="5BF4F9C8" w:rsidR="006A7875" w:rsidRDefault="006A7875">
      <w:pPr>
        <w:spacing w:line="276" w:lineRule="auto"/>
        <w:rPr>
          <w:rFonts w:ascii="Arial" w:eastAsia="Arial" w:hAnsi="Arial" w:cs="Arial"/>
          <w:sz w:val="20"/>
          <w:szCs w:val="20"/>
        </w:rPr>
      </w:pPr>
    </w:p>
    <w:p w14:paraId="601F562E" w14:textId="2D3A0B76" w:rsidR="006A7875" w:rsidRDefault="006A7875">
      <w:pPr>
        <w:spacing w:line="276" w:lineRule="auto"/>
        <w:rPr>
          <w:rFonts w:ascii="Arial" w:eastAsia="Arial" w:hAnsi="Arial" w:cs="Arial"/>
          <w:sz w:val="20"/>
          <w:szCs w:val="20"/>
        </w:rPr>
      </w:pPr>
    </w:p>
    <w:p w14:paraId="26D68529" w14:textId="0EBF40D3" w:rsidR="006A7875" w:rsidRDefault="006A7875">
      <w:pPr>
        <w:spacing w:line="276" w:lineRule="auto"/>
        <w:rPr>
          <w:rFonts w:ascii="Arial" w:eastAsia="Arial" w:hAnsi="Arial" w:cs="Arial"/>
          <w:sz w:val="20"/>
          <w:szCs w:val="20"/>
        </w:rPr>
      </w:pPr>
    </w:p>
    <w:p w14:paraId="5A26AAB4" w14:textId="186FA33E" w:rsidR="006A7875" w:rsidRDefault="006A7875">
      <w:pPr>
        <w:spacing w:line="276" w:lineRule="auto"/>
        <w:rPr>
          <w:rFonts w:ascii="Arial" w:eastAsia="Arial" w:hAnsi="Arial" w:cs="Arial"/>
          <w:sz w:val="20"/>
          <w:szCs w:val="20"/>
        </w:rPr>
      </w:pPr>
    </w:p>
    <w:p w14:paraId="0DD651ED" w14:textId="7211A0C0" w:rsidR="006A7875" w:rsidRDefault="006A7875">
      <w:pPr>
        <w:spacing w:line="276" w:lineRule="auto"/>
        <w:rPr>
          <w:rFonts w:ascii="Arial" w:eastAsia="Arial" w:hAnsi="Arial" w:cs="Arial"/>
          <w:sz w:val="20"/>
          <w:szCs w:val="20"/>
        </w:rPr>
      </w:pPr>
    </w:p>
    <w:p w14:paraId="2950D3AC" w14:textId="1CD532F2" w:rsidR="006A7875" w:rsidRDefault="006A7875">
      <w:pPr>
        <w:spacing w:line="276" w:lineRule="auto"/>
        <w:rPr>
          <w:rFonts w:ascii="Arial" w:eastAsia="Arial" w:hAnsi="Arial" w:cs="Arial"/>
          <w:sz w:val="20"/>
          <w:szCs w:val="20"/>
        </w:rPr>
      </w:pPr>
    </w:p>
    <w:p w14:paraId="3A103000" w14:textId="1A0E51C9" w:rsidR="006A7875" w:rsidRDefault="006A7875">
      <w:pPr>
        <w:spacing w:line="276" w:lineRule="auto"/>
        <w:rPr>
          <w:rFonts w:ascii="Arial" w:eastAsia="Arial" w:hAnsi="Arial" w:cs="Arial"/>
          <w:sz w:val="20"/>
          <w:szCs w:val="20"/>
        </w:rPr>
      </w:pPr>
    </w:p>
    <w:p w14:paraId="32644112" w14:textId="4B211A18" w:rsidR="006A7875" w:rsidRDefault="006A7875">
      <w:pPr>
        <w:spacing w:line="276" w:lineRule="auto"/>
        <w:rPr>
          <w:rFonts w:ascii="Arial" w:eastAsia="Arial" w:hAnsi="Arial" w:cs="Arial"/>
          <w:sz w:val="20"/>
          <w:szCs w:val="20"/>
        </w:rPr>
      </w:pPr>
    </w:p>
    <w:p w14:paraId="4FF2DA4B" w14:textId="32AD4557" w:rsidR="006A7875" w:rsidRDefault="006A7875">
      <w:pPr>
        <w:spacing w:line="276" w:lineRule="auto"/>
        <w:rPr>
          <w:rFonts w:ascii="Arial" w:eastAsia="Arial" w:hAnsi="Arial" w:cs="Arial"/>
          <w:sz w:val="20"/>
          <w:szCs w:val="20"/>
        </w:rPr>
      </w:pPr>
    </w:p>
    <w:p w14:paraId="3C49E922" w14:textId="7A817E9C" w:rsidR="006A7875" w:rsidRDefault="006A7875">
      <w:pPr>
        <w:spacing w:line="276" w:lineRule="auto"/>
        <w:rPr>
          <w:rFonts w:ascii="Arial" w:eastAsia="Arial" w:hAnsi="Arial" w:cs="Arial"/>
          <w:sz w:val="20"/>
          <w:szCs w:val="20"/>
        </w:rPr>
      </w:pPr>
    </w:p>
    <w:p w14:paraId="54E32EE4" w14:textId="2A8AC35C" w:rsidR="006A7875" w:rsidRDefault="006A7875">
      <w:pPr>
        <w:spacing w:line="276" w:lineRule="auto"/>
        <w:rPr>
          <w:rFonts w:ascii="Arial" w:eastAsia="Arial" w:hAnsi="Arial" w:cs="Arial"/>
          <w:sz w:val="20"/>
          <w:szCs w:val="20"/>
        </w:rPr>
      </w:pPr>
    </w:p>
    <w:p w14:paraId="287574CB" w14:textId="3D0E5774" w:rsidR="006A7875" w:rsidRDefault="006A7875">
      <w:pPr>
        <w:spacing w:line="276" w:lineRule="auto"/>
        <w:rPr>
          <w:rFonts w:ascii="Arial" w:eastAsia="Arial" w:hAnsi="Arial" w:cs="Arial"/>
          <w:sz w:val="20"/>
          <w:szCs w:val="20"/>
        </w:rPr>
      </w:pPr>
    </w:p>
    <w:p w14:paraId="6A3DD075" w14:textId="6073181B" w:rsidR="006A7875" w:rsidRDefault="006A7875">
      <w:pPr>
        <w:spacing w:line="276" w:lineRule="auto"/>
        <w:rPr>
          <w:rFonts w:ascii="Arial" w:eastAsia="Arial" w:hAnsi="Arial" w:cs="Arial"/>
          <w:sz w:val="20"/>
          <w:szCs w:val="20"/>
        </w:rPr>
      </w:pPr>
    </w:p>
    <w:p w14:paraId="3A70AA76" w14:textId="0F4844DD" w:rsidR="006A7875" w:rsidRDefault="006A7875">
      <w:pPr>
        <w:spacing w:line="276" w:lineRule="auto"/>
        <w:rPr>
          <w:rFonts w:ascii="Arial" w:eastAsia="Arial" w:hAnsi="Arial" w:cs="Arial"/>
          <w:sz w:val="20"/>
          <w:szCs w:val="20"/>
        </w:rPr>
      </w:pPr>
    </w:p>
    <w:p w14:paraId="62869D83" w14:textId="61559284" w:rsidR="006A7875" w:rsidRDefault="006A7875">
      <w:pPr>
        <w:spacing w:line="276" w:lineRule="auto"/>
        <w:rPr>
          <w:rFonts w:ascii="Arial" w:eastAsia="Arial" w:hAnsi="Arial" w:cs="Arial"/>
          <w:sz w:val="20"/>
          <w:szCs w:val="20"/>
        </w:rPr>
      </w:pPr>
    </w:p>
    <w:p w14:paraId="2AE2A952" w14:textId="548680AF" w:rsidR="006A7875" w:rsidRDefault="006A7875">
      <w:pPr>
        <w:spacing w:line="276" w:lineRule="auto"/>
        <w:rPr>
          <w:rFonts w:ascii="Arial" w:eastAsia="Arial" w:hAnsi="Arial" w:cs="Arial"/>
          <w:sz w:val="20"/>
          <w:szCs w:val="20"/>
        </w:rPr>
      </w:pPr>
    </w:p>
    <w:p w14:paraId="4703A7DE" w14:textId="724BD7DF" w:rsidR="006A7875" w:rsidRDefault="006A7875">
      <w:pPr>
        <w:spacing w:line="276" w:lineRule="auto"/>
        <w:rPr>
          <w:rFonts w:ascii="Arial" w:eastAsia="Arial" w:hAnsi="Arial" w:cs="Arial"/>
          <w:sz w:val="20"/>
          <w:szCs w:val="20"/>
        </w:rPr>
      </w:pPr>
    </w:p>
    <w:p w14:paraId="62A57940" w14:textId="77777777" w:rsidR="006A7875" w:rsidRDefault="006A7875">
      <w:pPr>
        <w:spacing w:line="276" w:lineRule="auto"/>
        <w:rPr>
          <w:rFonts w:ascii="Arial" w:eastAsia="Arial" w:hAnsi="Arial" w:cs="Arial"/>
          <w:sz w:val="20"/>
          <w:szCs w:val="20"/>
        </w:rPr>
      </w:pPr>
    </w:p>
    <w:p w14:paraId="1DA30274" w14:textId="77777777" w:rsidR="006E359D" w:rsidRDefault="006E359D">
      <w:pPr>
        <w:spacing w:line="276" w:lineRule="auto"/>
        <w:rPr>
          <w:rFonts w:ascii="Arial" w:eastAsia="Arial" w:hAnsi="Arial" w:cs="Arial"/>
          <w:sz w:val="20"/>
          <w:szCs w:val="20"/>
        </w:rPr>
      </w:pPr>
    </w:p>
    <w:p w14:paraId="11A1DA2F" w14:textId="77777777" w:rsidR="006E359D" w:rsidRDefault="006A7875">
      <w:pPr>
        <w:pBdr>
          <w:top w:val="single" w:sz="4" w:space="1" w:color="000000"/>
          <w:left w:val="single" w:sz="4" w:space="4" w:color="000000"/>
          <w:bottom w:val="single" w:sz="4" w:space="1" w:color="000000"/>
          <w:right w:val="single" w:sz="4" w:space="4" w:color="000000"/>
        </w:pBdr>
        <w:shd w:val="clear" w:color="auto" w:fill="BFBFBF"/>
        <w:jc w:val="center"/>
        <w:rPr>
          <w:rFonts w:ascii="Arial" w:eastAsia="Arial" w:hAnsi="Arial" w:cs="Arial"/>
          <w:sz w:val="28"/>
          <w:szCs w:val="28"/>
        </w:rPr>
      </w:pPr>
      <w:sdt>
        <w:sdtPr>
          <w:tag w:val="goog_rdk_4"/>
          <w:id w:val="1298572704"/>
        </w:sdtPr>
        <w:sdtEndPr/>
        <w:sdtContent/>
      </w:sdt>
      <w:sdt>
        <w:sdtPr>
          <w:tag w:val="goog_rdk_5"/>
          <w:id w:val="1398243094"/>
        </w:sdtPr>
        <w:sdtEndPr/>
        <w:sdtContent/>
      </w:sdt>
      <w:r w:rsidR="009B1D28">
        <w:rPr>
          <w:rFonts w:ascii="Arial" w:eastAsia="Arial" w:hAnsi="Arial" w:cs="Arial"/>
          <w:sz w:val="28"/>
          <w:szCs w:val="28"/>
        </w:rPr>
        <w:t>Příloha č. 3: Popis předmětu plnění</w:t>
      </w:r>
    </w:p>
    <w:p w14:paraId="093BFFD7" w14:textId="77777777" w:rsidR="006E359D" w:rsidRDefault="009B1D28">
      <w:pPr>
        <w:pStyle w:val="Nadpis4"/>
        <w:keepLines/>
        <w:spacing w:before="280" w:after="80" w:line="276" w:lineRule="auto"/>
        <w:jc w:val="both"/>
        <w:rPr>
          <w:rFonts w:ascii="Arial" w:eastAsia="Arial" w:hAnsi="Arial" w:cs="Arial"/>
        </w:rPr>
      </w:pPr>
      <w:bookmarkStart w:id="13" w:name="_heading=h.8lpi23hm9yu2" w:colFirst="0" w:colLast="0"/>
      <w:bookmarkEnd w:id="13"/>
      <w:r>
        <w:rPr>
          <w:rFonts w:ascii="Arial" w:eastAsia="Arial" w:hAnsi="Arial" w:cs="Arial"/>
          <w:i w:val="0"/>
        </w:rPr>
        <w:t>Úvod: Východiska a porozumění potřebám Zadavatele</w:t>
      </w:r>
    </w:p>
    <w:p w14:paraId="5DD28883"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Tento ‘Návrh strategie zpracování analýzy’ je vypracován s ohledem na naše pochopení potřeb zadavatele a porozumění situace a stavu v předmětném projektu. Podle požadavků ve ‘Výzvě’ popisujeme níže návrh řešení v jednotlivých krocích, které dohromady adresují jednotlivé výzkumné cíle a také navrhují rozložení výstupů mezi tyto kroky.</w:t>
      </w:r>
    </w:p>
    <w:p w14:paraId="70CBE646" w14:textId="77777777" w:rsidR="006E359D" w:rsidRDefault="006E359D">
      <w:pPr>
        <w:spacing w:line="276" w:lineRule="auto"/>
        <w:jc w:val="both"/>
        <w:rPr>
          <w:rFonts w:ascii="Arial" w:eastAsia="Arial" w:hAnsi="Arial" w:cs="Arial"/>
          <w:sz w:val="22"/>
          <w:szCs w:val="22"/>
        </w:rPr>
      </w:pPr>
    </w:p>
    <w:p w14:paraId="594DFFB8"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Naše současné porozumění situace v předmětném projektu (popsáno detailněji níže) je, že evaluace byla zpracována se snahou o kvantifikaci a monetizaci dopadů. Evaluace již využívá dostupná data a potenciál pro </w:t>
      </w:r>
      <w:proofErr w:type="spellStart"/>
      <w:r>
        <w:rPr>
          <w:rFonts w:ascii="Arial" w:eastAsia="Arial" w:hAnsi="Arial" w:cs="Arial"/>
          <w:sz w:val="22"/>
          <w:szCs w:val="22"/>
        </w:rPr>
        <w:t>dosběr</w:t>
      </w:r>
      <w:proofErr w:type="spellEnd"/>
      <w:r>
        <w:rPr>
          <w:rFonts w:ascii="Arial" w:eastAsia="Arial" w:hAnsi="Arial" w:cs="Arial"/>
          <w:sz w:val="22"/>
          <w:szCs w:val="22"/>
        </w:rPr>
        <w:t xml:space="preserve"> dat pro identifikované dopady se jeví jako velmi omezený. Proto </w:t>
      </w:r>
      <w:proofErr w:type="spellStart"/>
      <w:r>
        <w:rPr>
          <w:rFonts w:ascii="Arial" w:eastAsia="Arial" w:hAnsi="Arial" w:cs="Arial"/>
          <w:sz w:val="22"/>
          <w:szCs w:val="22"/>
        </w:rPr>
        <w:t>ananlýza</w:t>
      </w:r>
      <w:proofErr w:type="spellEnd"/>
      <w:r>
        <w:rPr>
          <w:rFonts w:ascii="Arial" w:eastAsia="Arial" w:hAnsi="Arial" w:cs="Arial"/>
          <w:sz w:val="22"/>
          <w:szCs w:val="22"/>
        </w:rPr>
        <w:t xml:space="preserve"> dalších dopadů bude do velké míry bude moci stavět pouze </w:t>
      </w:r>
      <w:proofErr w:type="gramStart"/>
      <w:r>
        <w:rPr>
          <w:rFonts w:ascii="Arial" w:eastAsia="Arial" w:hAnsi="Arial" w:cs="Arial"/>
          <w:sz w:val="22"/>
          <w:szCs w:val="22"/>
        </w:rPr>
        <w:t>na  zahraniční</w:t>
      </w:r>
      <w:proofErr w:type="gramEnd"/>
      <w:r>
        <w:rPr>
          <w:rFonts w:ascii="Arial" w:eastAsia="Arial" w:hAnsi="Arial" w:cs="Arial"/>
          <w:sz w:val="22"/>
          <w:szCs w:val="22"/>
        </w:rPr>
        <w:t xml:space="preserve"> literatuře, která ale může podat vstupy s pouze omezenou přenositelností. Dále je možné předpokládat identifikaci dalších dopadů, u kterých budeme ale čelit podobným limitům ohledně dostupnosti dat či existujících odhadů v českém kontextu, popř. ohledně využitelnost zahraničních odhadů v tomto kontextu. Dát se tedy očekávat, že výzkumné cíle zejména v Oblasti 2 půjdou realizovat jen omezeně.</w:t>
      </w:r>
    </w:p>
    <w:p w14:paraId="20580C17" w14:textId="77777777" w:rsidR="006E359D" w:rsidRDefault="006E359D">
      <w:pPr>
        <w:spacing w:line="276" w:lineRule="auto"/>
        <w:jc w:val="both"/>
        <w:rPr>
          <w:rFonts w:ascii="Arial" w:eastAsia="Arial" w:hAnsi="Arial" w:cs="Arial"/>
          <w:sz w:val="22"/>
          <w:szCs w:val="22"/>
        </w:rPr>
      </w:pPr>
    </w:p>
    <w:p w14:paraId="6CD48474"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V Předběžné tržní konzultaci k této VZ bylo poukazováno na potřebnou kvalitu existujících vstupů: </w:t>
      </w:r>
      <w:r>
        <w:rPr>
          <w:rFonts w:ascii="Arial" w:eastAsia="Arial" w:hAnsi="Arial" w:cs="Arial"/>
          <w:i/>
          <w:sz w:val="22"/>
          <w:szCs w:val="22"/>
        </w:rPr>
        <w:t xml:space="preserve">“Klíčové pro úspěšnost a realizovatelnost podobné analýzy je, na kolik je proveditelná předchozí </w:t>
      </w:r>
      <w:proofErr w:type="spellStart"/>
      <w:r>
        <w:rPr>
          <w:rFonts w:ascii="Arial" w:eastAsia="Arial" w:hAnsi="Arial" w:cs="Arial"/>
          <w:i/>
          <w:sz w:val="22"/>
          <w:szCs w:val="22"/>
        </w:rPr>
        <w:t>kontrafaktuální</w:t>
      </w:r>
      <w:proofErr w:type="spellEnd"/>
      <w:r>
        <w:rPr>
          <w:rFonts w:ascii="Arial" w:eastAsia="Arial" w:hAnsi="Arial" w:cs="Arial"/>
          <w:i/>
          <w:sz w:val="22"/>
          <w:szCs w:val="22"/>
        </w:rPr>
        <w:t xml:space="preserve"> analýza, bez níž není možné náklady a přínosy vyčíslovat.” </w:t>
      </w:r>
      <w:r>
        <w:rPr>
          <w:rFonts w:ascii="Arial" w:eastAsia="Arial" w:hAnsi="Arial" w:cs="Arial"/>
          <w:sz w:val="22"/>
          <w:szCs w:val="22"/>
        </w:rPr>
        <w:t xml:space="preserve"> Zároveň je zřejmá omezená možnost kvantifikace dopadů v předmětných projektech: </w:t>
      </w:r>
      <w:r>
        <w:rPr>
          <w:rFonts w:ascii="Arial" w:eastAsia="Arial" w:hAnsi="Arial" w:cs="Arial"/>
          <w:i/>
          <w:sz w:val="22"/>
          <w:szCs w:val="22"/>
        </w:rPr>
        <w:t xml:space="preserve">“Na řadu intervencí jsou obtížně aplikovatelné a určitě ne vždy je u těchto intervencí účelné cílit na jednoznačné číselné vyjádření závěru analýzy”. </w:t>
      </w:r>
      <w:r>
        <w:rPr>
          <w:rFonts w:ascii="Arial" w:eastAsia="Arial" w:hAnsi="Arial" w:cs="Arial"/>
          <w:sz w:val="22"/>
          <w:szCs w:val="22"/>
        </w:rPr>
        <w:t>Fundamentální problém u mnoha podobných projektů je potom identifikace dopadů:</w:t>
      </w:r>
      <w:r>
        <w:rPr>
          <w:rFonts w:ascii="Arial" w:eastAsia="Arial" w:hAnsi="Arial" w:cs="Arial"/>
          <w:i/>
          <w:sz w:val="22"/>
          <w:szCs w:val="22"/>
        </w:rPr>
        <w:t xml:space="preserve"> “...úroveň identifikování dopadů je kruciální a u většiny sociálních projektů bude problematická”. </w:t>
      </w:r>
      <w:r>
        <w:rPr>
          <w:rFonts w:ascii="Arial" w:eastAsia="Arial" w:hAnsi="Arial" w:cs="Arial"/>
          <w:sz w:val="22"/>
          <w:szCs w:val="22"/>
        </w:rPr>
        <w:t>Bližší analýza zadání zakázky a dokumentace projektu tato předběžně identifikovaná rizika potvrdila, přičemž i redukovaná forma CBA bude v kontextu tohoto projektu velmi limitovaná.</w:t>
      </w:r>
    </w:p>
    <w:p w14:paraId="2FEA3587" w14:textId="77777777" w:rsidR="006E359D" w:rsidRDefault="006E359D">
      <w:pPr>
        <w:spacing w:line="276" w:lineRule="auto"/>
        <w:jc w:val="both"/>
        <w:rPr>
          <w:rFonts w:ascii="Arial" w:eastAsia="Arial" w:hAnsi="Arial" w:cs="Arial"/>
          <w:i/>
          <w:sz w:val="22"/>
          <w:szCs w:val="22"/>
        </w:rPr>
      </w:pPr>
    </w:p>
    <w:p w14:paraId="4714385C"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Zároveň ale platí, že logika CBA je vhodná perspektiva:</w:t>
      </w:r>
      <w:r>
        <w:rPr>
          <w:rFonts w:ascii="Arial" w:eastAsia="Arial" w:hAnsi="Arial" w:cs="Arial"/>
          <w:i/>
          <w:sz w:val="22"/>
          <w:szCs w:val="22"/>
        </w:rPr>
        <w:t xml:space="preserve"> “CBA – pro každý projekt může být přínosné přinejmenším se nad ním optikou CBA zamyslet, protože se dívá </w:t>
      </w:r>
      <w:proofErr w:type="gramStart"/>
      <w:r>
        <w:rPr>
          <w:rFonts w:ascii="Arial" w:eastAsia="Arial" w:hAnsi="Arial" w:cs="Arial"/>
          <w:i/>
          <w:sz w:val="22"/>
          <w:szCs w:val="22"/>
        </w:rPr>
        <w:t>celostně</w:t>
      </w:r>
      <w:proofErr w:type="gramEnd"/>
      <w:r>
        <w:rPr>
          <w:rFonts w:ascii="Arial" w:eastAsia="Arial" w:hAnsi="Arial" w:cs="Arial"/>
          <w:i/>
          <w:sz w:val="22"/>
          <w:szCs w:val="22"/>
        </w:rPr>
        <w:t xml:space="preserve"> a i přes to, že v některých případech nebude možné třeba ani identifikovat sílu dopadů natož potom dopady </w:t>
      </w:r>
      <w:proofErr w:type="spellStart"/>
      <w:r>
        <w:rPr>
          <w:rFonts w:ascii="Arial" w:eastAsia="Arial" w:hAnsi="Arial" w:cs="Arial"/>
          <w:i/>
          <w:sz w:val="22"/>
          <w:szCs w:val="22"/>
        </w:rPr>
        <w:t>monetizovat</w:t>
      </w:r>
      <w:proofErr w:type="spellEnd"/>
      <w:r>
        <w:rPr>
          <w:rFonts w:ascii="Arial" w:eastAsia="Arial" w:hAnsi="Arial" w:cs="Arial"/>
          <w:i/>
          <w:sz w:val="22"/>
          <w:szCs w:val="22"/>
        </w:rPr>
        <w:t xml:space="preserve">.” </w:t>
      </w:r>
      <w:r>
        <w:rPr>
          <w:rFonts w:ascii="Arial" w:eastAsia="Arial" w:hAnsi="Arial" w:cs="Arial"/>
          <w:sz w:val="22"/>
          <w:szCs w:val="22"/>
        </w:rPr>
        <w:t>Zejména u určitých typů projektů při správném způsobu jejich nastavení a provedení evaluace může být CBA dostupná a poskytnout cenné vhledy ohledně celkového dopadu daného projektu a možnosti jeho škálování.</w:t>
      </w:r>
    </w:p>
    <w:p w14:paraId="6DC303BA" w14:textId="77777777" w:rsidR="006E359D" w:rsidRDefault="006E359D">
      <w:pPr>
        <w:spacing w:line="276" w:lineRule="auto"/>
        <w:jc w:val="both"/>
        <w:rPr>
          <w:rFonts w:ascii="Arial" w:eastAsia="Arial" w:hAnsi="Arial" w:cs="Arial"/>
          <w:sz w:val="22"/>
          <w:szCs w:val="22"/>
        </w:rPr>
      </w:pPr>
    </w:p>
    <w:p w14:paraId="6D72DC65"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Proto navrhujeme rozdělení kapacity mezi požadované výzkumné cíle způsobem, který umožní přidat dodatečný výzkumný cíl</w:t>
      </w:r>
      <w:proofErr w:type="gramStart"/>
      <w:r>
        <w:rPr>
          <w:rFonts w:ascii="Arial" w:eastAsia="Arial" w:hAnsi="Arial" w:cs="Arial"/>
          <w:sz w:val="22"/>
          <w:szCs w:val="22"/>
        </w:rPr>
        <w:t>: ‘</w:t>
      </w:r>
      <w:proofErr w:type="gramEnd"/>
      <w:r>
        <w:rPr>
          <w:rFonts w:ascii="Arial" w:eastAsia="Arial" w:hAnsi="Arial" w:cs="Arial"/>
          <w:sz w:val="22"/>
          <w:szCs w:val="22"/>
        </w:rPr>
        <w:t>3. Vytvořit Praktický manuál pro zajištění předpokladů realizace CBA a škálování sociálně-inovačních projektů’. Tento výzkumný cíl jde nad rámec (tedy nenahrazuje) splnění požadovaných výzkumných cílů a výstupů. Vzhledem k obecné logice předpokládáme, že detailnější a užitečnější realizaci tohoto výzkumného cíle můžeme poskytnout, pokud budeme plnit současně obě části této veřejné zakázky.</w:t>
      </w:r>
    </w:p>
    <w:p w14:paraId="6A7E0932" w14:textId="77777777" w:rsidR="006E359D" w:rsidRDefault="006E359D">
      <w:pPr>
        <w:spacing w:line="276" w:lineRule="auto"/>
        <w:jc w:val="both"/>
        <w:rPr>
          <w:rFonts w:ascii="Arial" w:eastAsia="Arial" w:hAnsi="Arial" w:cs="Arial"/>
          <w:sz w:val="22"/>
          <w:szCs w:val="22"/>
        </w:rPr>
      </w:pPr>
    </w:p>
    <w:p w14:paraId="0033C2C5"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Výsledný manuál by tedy měl poskytnout návod pro výběr budoucích projektů, u kterých bude žádoucí realizace CBA. Takové rozhodnutí a správné nastavení projektu a jeho evaluace je klíčové a musí se tedy stát před jeho začátkem (vs. pouze ex-post ‘CBA’ </w:t>
      </w:r>
      <w:r>
        <w:rPr>
          <w:rFonts w:ascii="Arial" w:eastAsia="Arial" w:hAnsi="Arial" w:cs="Arial"/>
          <w:sz w:val="22"/>
          <w:szCs w:val="22"/>
        </w:rPr>
        <w:lastRenderedPageBreak/>
        <w:t xml:space="preserve">evaluace, která pracuje s omezenými daty). Manuál bude dále obsahovat postup a principy pro specifikace požadavků u takových projektů, a také návod pro odhad a doporučení pro škálovatelnost realizovaných sociálně-inovačních projektů s využitím závěrů CBA. </w:t>
      </w:r>
    </w:p>
    <w:p w14:paraId="5CC3BFDA" w14:textId="77777777" w:rsidR="006E359D" w:rsidRDefault="006E359D">
      <w:pPr>
        <w:spacing w:line="276" w:lineRule="auto"/>
        <w:jc w:val="both"/>
        <w:rPr>
          <w:rFonts w:ascii="Arial" w:eastAsia="Arial" w:hAnsi="Arial" w:cs="Arial"/>
          <w:sz w:val="22"/>
          <w:szCs w:val="22"/>
        </w:rPr>
      </w:pPr>
    </w:p>
    <w:p w14:paraId="5CA4088E" w14:textId="77777777" w:rsidR="006E359D" w:rsidRDefault="009B1D28">
      <w:pPr>
        <w:spacing w:line="276" w:lineRule="auto"/>
        <w:jc w:val="both"/>
        <w:rPr>
          <w:rFonts w:ascii="Arial" w:eastAsia="Arial" w:hAnsi="Arial" w:cs="Arial"/>
          <w:i/>
          <w:sz w:val="22"/>
          <w:szCs w:val="22"/>
        </w:rPr>
      </w:pPr>
      <w:r>
        <w:rPr>
          <w:rFonts w:ascii="Arial" w:eastAsia="Arial" w:hAnsi="Arial" w:cs="Arial"/>
          <w:sz w:val="22"/>
          <w:szCs w:val="22"/>
        </w:rPr>
        <w:t>Jsme přesvědčeni, že právě ve zobecnění poznatků ohledně aplikovatelnosti CBA leží hlavní hodnota této analýzy. Kritickým přínosem by mělo být vhodné nastavení (alespoň části) budoucích projektů takovým způsobem, který umožní realizovat adekvátní CBA a také bude umožňovat informované odhady o dopadech projektů při jejich potenciálním škálování.</w:t>
      </w:r>
    </w:p>
    <w:p w14:paraId="1BE90934" w14:textId="77777777" w:rsidR="006E359D" w:rsidRDefault="006E359D">
      <w:pPr>
        <w:spacing w:line="276" w:lineRule="auto"/>
        <w:jc w:val="both"/>
        <w:rPr>
          <w:rFonts w:ascii="Arial" w:eastAsia="Arial" w:hAnsi="Arial" w:cs="Arial"/>
          <w:sz w:val="22"/>
          <w:szCs w:val="22"/>
        </w:rPr>
      </w:pPr>
    </w:p>
    <w:p w14:paraId="5612CCA8"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Zbývající část textu představuje detailnější náhled na postup v projektu a je rozdělena podle plánovaných fází, které odpovídají jednotlivým výzkumným cílům. Velká část textu Návrhu je totožná pro obě části této VZ, protože očekáváme obdobný postup v obou částech a také synergické efekty zejména ve Fázi 3.</w:t>
      </w:r>
    </w:p>
    <w:p w14:paraId="2A422EC9" w14:textId="77777777" w:rsidR="006E359D" w:rsidRDefault="006E359D">
      <w:pPr>
        <w:spacing w:line="276" w:lineRule="auto"/>
        <w:jc w:val="both"/>
        <w:rPr>
          <w:rFonts w:ascii="Arial" w:eastAsia="Arial" w:hAnsi="Arial" w:cs="Arial"/>
          <w:sz w:val="22"/>
          <w:szCs w:val="22"/>
        </w:rPr>
      </w:pPr>
    </w:p>
    <w:p w14:paraId="4809A21F" w14:textId="77777777" w:rsidR="006E359D" w:rsidRDefault="009B1D28">
      <w:pPr>
        <w:pStyle w:val="Nadpis4"/>
        <w:keepLines/>
        <w:spacing w:before="280" w:after="80" w:line="276" w:lineRule="auto"/>
        <w:jc w:val="both"/>
        <w:rPr>
          <w:rFonts w:ascii="Arial" w:eastAsia="Arial" w:hAnsi="Arial" w:cs="Arial"/>
          <w:i w:val="0"/>
        </w:rPr>
      </w:pPr>
      <w:bookmarkStart w:id="14" w:name="_heading=h.qvzn1g3a52oc" w:colFirst="0" w:colLast="0"/>
      <w:bookmarkEnd w:id="14"/>
      <w:r>
        <w:rPr>
          <w:rFonts w:ascii="Arial" w:eastAsia="Arial" w:hAnsi="Arial" w:cs="Arial"/>
          <w:i w:val="0"/>
        </w:rPr>
        <w:t>Fáze 1.</w:t>
      </w:r>
    </w:p>
    <w:p w14:paraId="0DA0436E" w14:textId="1D0B8107" w:rsidR="006E359D" w:rsidRDefault="006A7875">
      <w:pPr>
        <w:spacing w:line="276" w:lineRule="auto"/>
        <w:jc w:val="both"/>
        <w:rPr>
          <w:rFonts w:ascii="Arial" w:eastAsia="Arial" w:hAnsi="Arial" w:cs="Arial"/>
          <w:sz w:val="22"/>
          <w:szCs w:val="22"/>
        </w:rPr>
      </w:pPr>
      <w:sdt>
        <w:sdtPr>
          <w:tag w:val="goog_rdk_9"/>
          <w:id w:val="-80210683"/>
        </w:sdtPr>
        <w:sdtEndPr/>
        <w:sdtContent>
          <w:r w:rsidR="009B1D28">
            <w:rPr>
              <w:rFonts w:ascii="Arial" w:eastAsia="Arial" w:hAnsi="Arial" w:cs="Arial"/>
              <w:sz w:val="22"/>
              <w:szCs w:val="22"/>
            </w:rPr>
            <w:t>Fáze 1. je rozdělena do 7 kroků, které společně adresují výzkumné otázky 1.1-1.4 a v jejím rámci bude realizováno prvních 6 formálních výstupů (I. Úvodní pracovní schůzka, II. Vstupní zpráva – návrh, III. Vstupní zpráva – finální verze, IV. Průběžná zpráva – návrh, V. Aktualizační pracovní schůzka, VI. Průběžná zpráva – finální verze).</w:t>
          </w:r>
          <w:sdt>
            <w:sdtPr>
              <w:tag w:val="goog_rdk_6"/>
              <w:id w:val="1948736856"/>
              <w:showingPlcHdr/>
            </w:sdtPr>
            <w:sdtEndPr/>
            <w:sdtContent>
              <w:r w:rsidR="005974EA">
                <w:t xml:space="preserve">     </w:t>
              </w:r>
            </w:sdtContent>
          </w:sdt>
          <w:sdt>
            <w:sdtPr>
              <w:tag w:val="goog_rdk_7"/>
              <w:id w:val="1572002687"/>
            </w:sdtPr>
            <w:sdtEndPr/>
            <w:sdtContent>
              <w:sdt>
                <w:sdtPr>
                  <w:tag w:val="goog_rdk_8"/>
                  <w:id w:val="1097754125"/>
                  <w:showingPlcHdr/>
                </w:sdtPr>
                <w:sdtEndPr/>
                <w:sdtContent>
                  <w:r w:rsidR="005974EA">
                    <w:t xml:space="preserve">     </w:t>
                  </w:r>
                </w:sdtContent>
              </w:sdt>
            </w:sdtContent>
          </w:sdt>
        </w:sdtContent>
      </w:sdt>
      <w:sdt>
        <w:sdtPr>
          <w:tag w:val="goog_rdk_12"/>
          <w:id w:val="-2128235106"/>
        </w:sdtPr>
        <w:sdtEndPr/>
        <w:sdtContent>
          <w:sdt>
            <w:sdtPr>
              <w:tag w:val="goog_rdk_11"/>
              <w:id w:val="-1675945354"/>
              <w:showingPlcHdr/>
            </w:sdtPr>
            <w:sdtEndPr/>
            <w:sdtContent>
              <w:r w:rsidR="005974EA">
                <w:t xml:space="preserve">     </w:t>
              </w:r>
            </w:sdtContent>
          </w:sdt>
        </w:sdtContent>
      </w:sdt>
    </w:p>
    <w:p w14:paraId="0832D391" w14:textId="77777777" w:rsidR="005974EA" w:rsidRDefault="005974EA">
      <w:pPr>
        <w:spacing w:line="276" w:lineRule="auto"/>
        <w:jc w:val="both"/>
        <w:rPr>
          <w:rFonts w:ascii="Arial" w:eastAsia="Arial" w:hAnsi="Arial" w:cs="Arial"/>
          <w:sz w:val="22"/>
          <w:szCs w:val="22"/>
        </w:rPr>
      </w:pPr>
    </w:p>
    <w:p w14:paraId="58478F94" w14:textId="5D61B392"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Ještě před započetím samotné intenzivní práce na projektu očekáváme realizaci Výstupu I ‘Úvodní pracovní schůzka Objednatele se Zpracovatelem ke specifikaci následujících výstupů, především ke způsobu zpracování vstupní zprávy v návaznosti na podobu nabídky podané dodavatelem’. Pro tuto schůzku předpokládáme, že bude z naší strany vyhotovený návrh struktury Vstupní zprávy pro efektivnější </w:t>
      </w:r>
      <w:proofErr w:type="gramStart"/>
      <w:r>
        <w:rPr>
          <w:rFonts w:ascii="Arial" w:eastAsia="Arial" w:hAnsi="Arial" w:cs="Arial"/>
          <w:sz w:val="22"/>
          <w:szCs w:val="22"/>
        </w:rPr>
        <w:t>diskuzi</w:t>
      </w:r>
      <w:proofErr w:type="gramEnd"/>
      <w:r>
        <w:rPr>
          <w:rFonts w:ascii="Arial" w:eastAsia="Arial" w:hAnsi="Arial" w:cs="Arial"/>
          <w:sz w:val="22"/>
          <w:szCs w:val="22"/>
        </w:rPr>
        <w:t xml:space="preserve"> se zadavatelem. Dále předpokládáme mít připravený seznam dodatečných otázek na zadavatele k detailní specifikaci výzkumných cílů a dalších výstupů v projektu.</w:t>
      </w:r>
    </w:p>
    <w:p w14:paraId="4C5BF895" w14:textId="77777777" w:rsidR="006E359D" w:rsidRDefault="009B1D28">
      <w:pPr>
        <w:pStyle w:val="Nadpis5"/>
        <w:spacing w:before="240" w:after="80" w:line="276" w:lineRule="auto"/>
        <w:jc w:val="both"/>
        <w:rPr>
          <w:rFonts w:ascii="Arial" w:eastAsia="Arial" w:hAnsi="Arial" w:cs="Arial"/>
          <w:b w:val="0"/>
        </w:rPr>
      </w:pPr>
      <w:bookmarkStart w:id="15" w:name="_heading=h.t75u1wxgupbb" w:colFirst="0" w:colLast="0"/>
      <w:bookmarkEnd w:id="15"/>
      <w:r>
        <w:rPr>
          <w:rFonts w:ascii="Arial" w:eastAsia="Arial" w:hAnsi="Arial" w:cs="Arial"/>
          <w:b w:val="0"/>
        </w:rPr>
        <w:t>Krok A.</w:t>
      </w:r>
    </w:p>
    <w:p w14:paraId="7F5C4178"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 kroku A provedeme extenzivní rešerši literatury, jejímž cílem bude zjistit typickou strukturu CBA pro tento typ projektů. Výsledkem tedy bude seznam typických jednotlivých významných dopadů na straně přínosů a také nákladových položek. Toto poslouží k vytvoření představy o ‘ideální struktuře’ výsledné CBA pro tento projekt, k jejímuž doplnění bude směřovány další kroky.</w:t>
      </w:r>
    </w:p>
    <w:p w14:paraId="11489487" w14:textId="77777777" w:rsidR="006E359D" w:rsidRDefault="006E359D">
      <w:pPr>
        <w:spacing w:line="276" w:lineRule="auto"/>
        <w:jc w:val="both"/>
        <w:rPr>
          <w:rFonts w:ascii="Arial" w:eastAsia="Arial" w:hAnsi="Arial" w:cs="Arial"/>
          <w:sz w:val="22"/>
          <w:szCs w:val="22"/>
        </w:rPr>
      </w:pPr>
    </w:p>
    <w:p w14:paraId="2876C34E"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Předběžná přehledová rešerše ukázala, že existují kvalitní zahraniční studie, s jejichž pomocí bude možné připravit ‘ideální strukturu’ CBA pro tento projekt, popř. i v dalších fázích využít některé odhady dopadu obsažené v těchto studiích jako dodatečné vstupy. Projekt Společně na svobodu byl inspirován zahraniční praxí tzv. kognitivně-behaviorálních programů a podpůrných resocializačních služeb, které prokazatelně vedou ke snížení recidivy, proto nejvíce informativní ve vztahu k intervenci obsažené v projektu jsou studie zaměřené na efektivitu intervencí z rodiny kognitivně behaviorální terapie (CBT). Typicky tyto studie odhadují dopad na recidivu, což je naopak oblast přínosů, která v evaluaci inovačního projektu zahrnuta není. Z hlediska intervencí jsou ve studiích zahrnuty i ty zaměřené specificky na </w:t>
      </w:r>
      <w:proofErr w:type="spellStart"/>
      <w:r>
        <w:rPr>
          <w:rFonts w:ascii="Arial" w:eastAsia="Arial" w:hAnsi="Arial" w:cs="Arial"/>
          <w:sz w:val="22"/>
          <w:szCs w:val="22"/>
        </w:rPr>
        <w:t>life</w:t>
      </w:r>
      <w:proofErr w:type="spellEnd"/>
      <w:r>
        <w:rPr>
          <w:rFonts w:ascii="Arial" w:eastAsia="Arial" w:hAnsi="Arial" w:cs="Arial"/>
          <w:sz w:val="22"/>
          <w:szCs w:val="22"/>
        </w:rPr>
        <w:t xml:space="preserve"> </w:t>
      </w:r>
      <w:proofErr w:type="spellStart"/>
      <w:r>
        <w:rPr>
          <w:rFonts w:ascii="Arial" w:eastAsia="Arial" w:hAnsi="Arial" w:cs="Arial"/>
          <w:sz w:val="22"/>
          <w:szCs w:val="22"/>
        </w:rPr>
        <w:t>skills</w:t>
      </w:r>
      <w:proofErr w:type="spellEnd"/>
      <w:r>
        <w:rPr>
          <w:rFonts w:ascii="Arial" w:eastAsia="Arial" w:hAnsi="Arial" w:cs="Arial"/>
          <w:sz w:val="22"/>
          <w:szCs w:val="22"/>
        </w:rPr>
        <w:t xml:space="preserve"> a na integraci na trh práce.</w:t>
      </w:r>
    </w:p>
    <w:p w14:paraId="6F2F4D04" w14:textId="77777777" w:rsidR="006E359D" w:rsidRDefault="006E359D">
      <w:pPr>
        <w:spacing w:line="276" w:lineRule="auto"/>
        <w:jc w:val="both"/>
        <w:rPr>
          <w:rFonts w:ascii="Arial" w:eastAsia="Arial" w:hAnsi="Arial" w:cs="Arial"/>
          <w:sz w:val="22"/>
          <w:szCs w:val="22"/>
        </w:rPr>
      </w:pPr>
    </w:p>
    <w:p w14:paraId="04AA8FD0"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Celkem bylo identifikováno 31 zdrojů, ze kterých bylo vybráno 8 pro hlubší analýzu. Převážná většina zdrojů pocházela z USA (20), dále z Velké Británie (8), Kanady (1) a Singapuru (1). Kvalita zdrojů byla hodnocena na základě dvou kritérií: velikost zkoumané populace a metoda výzkumu. Do užšího výběru se dostalo 7 zdrojů z USA, 1 z Nigérie a 1 z Velké Británie, ve kterých byla aplikována metoda randomizované kontrolované studie, kvazi-experimentální nebo longitudinální studie. </w:t>
      </w:r>
    </w:p>
    <w:p w14:paraId="1E5BCDB2" w14:textId="77777777" w:rsidR="006E359D" w:rsidRDefault="006E359D">
      <w:pPr>
        <w:spacing w:line="276" w:lineRule="auto"/>
        <w:jc w:val="both"/>
        <w:rPr>
          <w:rFonts w:ascii="Arial" w:eastAsia="Arial" w:hAnsi="Arial" w:cs="Arial"/>
          <w:sz w:val="22"/>
          <w:szCs w:val="22"/>
        </w:rPr>
      </w:pPr>
    </w:p>
    <w:p w14:paraId="42EEE2CE"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Mezi relevantní, kvalitní a alespoň částečně využitelné studie patří např. </w:t>
      </w:r>
    </w:p>
    <w:p w14:paraId="617FDB11" w14:textId="77777777" w:rsidR="006E359D" w:rsidRDefault="009B1D28">
      <w:pPr>
        <w:numPr>
          <w:ilvl w:val="0"/>
          <w:numId w:val="11"/>
        </w:numPr>
        <w:spacing w:line="276" w:lineRule="auto"/>
        <w:jc w:val="both"/>
        <w:rPr>
          <w:rFonts w:ascii="Arial" w:eastAsia="Arial" w:hAnsi="Arial" w:cs="Arial"/>
          <w:sz w:val="22"/>
          <w:szCs w:val="22"/>
        </w:rPr>
      </w:pPr>
      <w:proofErr w:type="spellStart"/>
      <w:r>
        <w:rPr>
          <w:rFonts w:ascii="Arial" w:eastAsia="Arial" w:hAnsi="Arial" w:cs="Arial"/>
          <w:sz w:val="22"/>
          <w:szCs w:val="22"/>
        </w:rPr>
        <w:t>Lipsey</w:t>
      </w:r>
      <w:proofErr w:type="spellEnd"/>
      <w:r>
        <w:rPr>
          <w:rFonts w:ascii="Arial" w:eastAsia="Arial" w:hAnsi="Arial" w:cs="Arial"/>
          <w:sz w:val="22"/>
          <w:szCs w:val="22"/>
        </w:rPr>
        <w:t xml:space="preserve"> MW, </w:t>
      </w:r>
      <w:proofErr w:type="spellStart"/>
      <w:r>
        <w:rPr>
          <w:rFonts w:ascii="Arial" w:eastAsia="Arial" w:hAnsi="Arial" w:cs="Arial"/>
          <w:sz w:val="22"/>
          <w:szCs w:val="22"/>
        </w:rPr>
        <w:t>Landenberger</w:t>
      </w:r>
      <w:proofErr w:type="spellEnd"/>
      <w:r>
        <w:rPr>
          <w:rFonts w:ascii="Arial" w:eastAsia="Arial" w:hAnsi="Arial" w:cs="Arial"/>
          <w:sz w:val="22"/>
          <w:szCs w:val="22"/>
        </w:rPr>
        <w:t xml:space="preserve"> NA, Wilson SJ. </w:t>
      </w:r>
      <w:proofErr w:type="spellStart"/>
      <w:r>
        <w:rPr>
          <w:rFonts w:ascii="Arial" w:eastAsia="Arial" w:hAnsi="Arial" w:cs="Arial"/>
          <w:sz w:val="22"/>
          <w:szCs w:val="22"/>
        </w:rPr>
        <w:t>Effects</w:t>
      </w:r>
      <w:proofErr w:type="spellEnd"/>
      <w:r>
        <w:rPr>
          <w:rFonts w:ascii="Arial" w:eastAsia="Arial" w:hAnsi="Arial" w:cs="Arial"/>
          <w:sz w:val="22"/>
          <w:szCs w:val="22"/>
        </w:rPr>
        <w:t xml:space="preserve"> </w:t>
      </w:r>
      <w:proofErr w:type="spellStart"/>
      <w:r>
        <w:rPr>
          <w:rFonts w:ascii="Arial" w:eastAsia="Arial" w:hAnsi="Arial" w:cs="Arial"/>
          <w:sz w:val="22"/>
          <w:szCs w:val="22"/>
        </w:rPr>
        <w:t>of</w:t>
      </w:r>
      <w:proofErr w:type="spellEnd"/>
      <w:r>
        <w:rPr>
          <w:rFonts w:ascii="Arial" w:eastAsia="Arial" w:hAnsi="Arial" w:cs="Arial"/>
          <w:sz w:val="22"/>
          <w:szCs w:val="22"/>
        </w:rPr>
        <w:t xml:space="preserve"> </w:t>
      </w:r>
      <w:proofErr w:type="spellStart"/>
      <w:r>
        <w:rPr>
          <w:rFonts w:ascii="Arial" w:eastAsia="Arial" w:hAnsi="Arial" w:cs="Arial"/>
          <w:sz w:val="22"/>
          <w:szCs w:val="22"/>
        </w:rPr>
        <w:t>cognitive-behavioral</w:t>
      </w:r>
      <w:proofErr w:type="spellEnd"/>
      <w:r>
        <w:rPr>
          <w:rFonts w:ascii="Arial" w:eastAsia="Arial" w:hAnsi="Arial" w:cs="Arial"/>
          <w:sz w:val="22"/>
          <w:szCs w:val="22"/>
        </w:rPr>
        <w:t xml:space="preserve"> </w:t>
      </w:r>
      <w:proofErr w:type="spellStart"/>
      <w:r>
        <w:rPr>
          <w:rFonts w:ascii="Arial" w:eastAsia="Arial" w:hAnsi="Arial" w:cs="Arial"/>
          <w:sz w:val="22"/>
          <w:szCs w:val="22"/>
        </w:rPr>
        <w:t>programs</w:t>
      </w:r>
      <w:proofErr w:type="spellEnd"/>
      <w:r>
        <w:rPr>
          <w:rFonts w:ascii="Arial" w:eastAsia="Arial" w:hAnsi="Arial" w:cs="Arial"/>
          <w:sz w:val="22"/>
          <w:szCs w:val="22"/>
        </w:rPr>
        <w:t xml:space="preserve"> </w:t>
      </w:r>
      <w:proofErr w:type="spellStart"/>
      <w:r>
        <w:rPr>
          <w:rFonts w:ascii="Arial" w:eastAsia="Arial" w:hAnsi="Arial" w:cs="Arial"/>
          <w:sz w:val="22"/>
          <w:szCs w:val="22"/>
        </w:rPr>
        <w:t>for</w:t>
      </w:r>
      <w:proofErr w:type="spellEnd"/>
      <w:r>
        <w:rPr>
          <w:rFonts w:ascii="Arial" w:eastAsia="Arial" w:hAnsi="Arial" w:cs="Arial"/>
          <w:sz w:val="22"/>
          <w:szCs w:val="22"/>
        </w:rPr>
        <w:t xml:space="preserve"> </w:t>
      </w:r>
      <w:proofErr w:type="spellStart"/>
      <w:r>
        <w:rPr>
          <w:rFonts w:ascii="Arial" w:eastAsia="Arial" w:hAnsi="Arial" w:cs="Arial"/>
          <w:sz w:val="22"/>
          <w:szCs w:val="22"/>
        </w:rPr>
        <w:t>criminal</w:t>
      </w:r>
      <w:proofErr w:type="spellEnd"/>
      <w:r>
        <w:rPr>
          <w:rFonts w:ascii="Arial" w:eastAsia="Arial" w:hAnsi="Arial" w:cs="Arial"/>
          <w:sz w:val="22"/>
          <w:szCs w:val="22"/>
        </w:rPr>
        <w:t xml:space="preserve"> </w:t>
      </w:r>
      <w:proofErr w:type="spellStart"/>
      <w:r>
        <w:rPr>
          <w:rFonts w:ascii="Arial" w:eastAsia="Arial" w:hAnsi="Arial" w:cs="Arial"/>
          <w:sz w:val="22"/>
          <w:szCs w:val="22"/>
        </w:rPr>
        <w:t>offenders</w:t>
      </w:r>
      <w:proofErr w:type="spellEnd"/>
      <w:r>
        <w:rPr>
          <w:rFonts w:ascii="Arial" w:eastAsia="Arial" w:hAnsi="Arial" w:cs="Arial"/>
          <w:sz w:val="22"/>
          <w:szCs w:val="22"/>
        </w:rPr>
        <w:t xml:space="preserve">. Campbell </w:t>
      </w:r>
      <w:proofErr w:type="spellStart"/>
      <w:r>
        <w:rPr>
          <w:rFonts w:ascii="Arial" w:eastAsia="Arial" w:hAnsi="Arial" w:cs="Arial"/>
          <w:sz w:val="22"/>
          <w:szCs w:val="22"/>
        </w:rPr>
        <w:t>Systematic</w:t>
      </w:r>
      <w:proofErr w:type="spellEnd"/>
      <w:r>
        <w:rPr>
          <w:rFonts w:ascii="Arial" w:eastAsia="Arial" w:hAnsi="Arial" w:cs="Arial"/>
          <w:sz w:val="22"/>
          <w:szCs w:val="22"/>
        </w:rPr>
        <w:t xml:space="preserve"> </w:t>
      </w:r>
      <w:proofErr w:type="spellStart"/>
      <w:r>
        <w:rPr>
          <w:rFonts w:ascii="Arial" w:eastAsia="Arial" w:hAnsi="Arial" w:cs="Arial"/>
          <w:sz w:val="22"/>
          <w:szCs w:val="22"/>
        </w:rPr>
        <w:t>Reviews</w:t>
      </w:r>
      <w:proofErr w:type="spellEnd"/>
      <w:r>
        <w:rPr>
          <w:rFonts w:ascii="Arial" w:eastAsia="Arial" w:hAnsi="Arial" w:cs="Arial"/>
          <w:sz w:val="22"/>
          <w:szCs w:val="22"/>
        </w:rPr>
        <w:t xml:space="preserve"> 2007:6. DOI: 10.4073/csr.2007.6</w:t>
      </w:r>
    </w:p>
    <w:p w14:paraId="0103FA0A" w14:textId="77777777" w:rsidR="006E359D" w:rsidRDefault="009B1D28">
      <w:pPr>
        <w:numPr>
          <w:ilvl w:val="0"/>
          <w:numId w:val="11"/>
        </w:numPr>
        <w:spacing w:line="276" w:lineRule="auto"/>
        <w:jc w:val="both"/>
        <w:rPr>
          <w:rFonts w:ascii="Arial" w:eastAsia="Arial" w:hAnsi="Arial" w:cs="Arial"/>
          <w:sz w:val="22"/>
          <w:szCs w:val="22"/>
        </w:rPr>
      </w:pPr>
      <w:proofErr w:type="spellStart"/>
      <w:r>
        <w:rPr>
          <w:rFonts w:ascii="Arial" w:eastAsia="Arial" w:hAnsi="Arial" w:cs="Arial"/>
          <w:sz w:val="22"/>
          <w:szCs w:val="22"/>
        </w:rPr>
        <w:t>McKean</w:t>
      </w:r>
      <w:proofErr w:type="spellEnd"/>
      <w:r>
        <w:rPr>
          <w:rFonts w:ascii="Arial" w:eastAsia="Arial" w:hAnsi="Arial" w:cs="Arial"/>
          <w:sz w:val="22"/>
          <w:szCs w:val="22"/>
        </w:rPr>
        <w:t xml:space="preserve">, L. </w:t>
      </w:r>
      <w:proofErr w:type="spellStart"/>
      <w:r>
        <w:rPr>
          <w:rFonts w:ascii="Arial" w:eastAsia="Arial" w:hAnsi="Arial" w:cs="Arial"/>
          <w:sz w:val="22"/>
          <w:szCs w:val="22"/>
        </w:rPr>
        <w:t>Current</w:t>
      </w:r>
      <w:proofErr w:type="spellEnd"/>
      <w:r>
        <w:rPr>
          <w:rFonts w:ascii="Arial" w:eastAsia="Arial" w:hAnsi="Arial" w:cs="Arial"/>
          <w:sz w:val="22"/>
          <w:szCs w:val="22"/>
        </w:rPr>
        <w:t xml:space="preserve"> </w:t>
      </w:r>
      <w:proofErr w:type="spellStart"/>
      <w:r>
        <w:rPr>
          <w:rFonts w:ascii="Arial" w:eastAsia="Arial" w:hAnsi="Arial" w:cs="Arial"/>
          <w:sz w:val="22"/>
          <w:szCs w:val="22"/>
        </w:rPr>
        <w:t>Strategies</w:t>
      </w:r>
      <w:proofErr w:type="spellEnd"/>
      <w:r>
        <w:rPr>
          <w:rFonts w:ascii="Arial" w:eastAsia="Arial" w:hAnsi="Arial" w:cs="Arial"/>
          <w:sz w:val="22"/>
          <w:szCs w:val="22"/>
        </w:rPr>
        <w:t xml:space="preserve"> </w:t>
      </w:r>
      <w:proofErr w:type="spellStart"/>
      <w:r>
        <w:rPr>
          <w:rFonts w:ascii="Arial" w:eastAsia="Arial" w:hAnsi="Arial" w:cs="Arial"/>
          <w:sz w:val="22"/>
          <w:szCs w:val="22"/>
        </w:rPr>
        <w:t>for</w:t>
      </w:r>
      <w:proofErr w:type="spellEnd"/>
      <w:r>
        <w:rPr>
          <w:rFonts w:ascii="Arial" w:eastAsia="Arial" w:hAnsi="Arial" w:cs="Arial"/>
          <w:sz w:val="22"/>
          <w:szCs w:val="22"/>
        </w:rPr>
        <w:t xml:space="preserve"> </w:t>
      </w:r>
      <w:proofErr w:type="spellStart"/>
      <w:r>
        <w:rPr>
          <w:rFonts w:ascii="Arial" w:eastAsia="Arial" w:hAnsi="Arial" w:cs="Arial"/>
          <w:sz w:val="22"/>
          <w:szCs w:val="22"/>
        </w:rPr>
        <w:t>Reducing</w:t>
      </w:r>
      <w:proofErr w:type="spellEnd"/>
      <w:r>
        <w:rPr>
          <w:rFonts w:ascii="Arial" w:eastAsia="Arial" w:hAnsi="Arial" w:cs="Arial"/>
          <w:sz w:val="22"/>
          <w:szCs w:val="22"/>
        </w:rPr>
        <w:t xml:space="preserve"> </w:t>
      </w:r>
      <w:proofErr w:type="spellStart"/>
      <w:r>
        <w:rPr>
          <w:rFonts w:ascii="Arial" w:eastAsia="Arial" w:hAnsi="Arial" w:cs="Arial"/>
          <w:sz w:val="22"/>
          <w:szCs w:val="22"/>
        </w:rPr>
        <w:t>Recidivism</w:t>
      </w:r>
      <w:proofErr w:type="spellEnd"/>
      <w:r>
        <w:rPr>
          <w:rFonts w:ascii="Arial" w:eastAsia="Arial" w:hAnsi="Arial" w:cs="Arial"/>
          <w:sz w:val="22"/>
          <w:szCs w:val="22"/>
        </w:rPr>
        <w:t xml:space="preserve">. Center </w:t>
      </w:r>
      <w:proofErr w:type="spellStart"/>
      <w:r>
        <w:rPr>
          <w:rFonts w:ascii="Arial" w:eastAsia="Arial" w:hAnsi="Arial" w:cs="Arial"/>
          <w:sz w:val="22"/>
          <w:szCs w:val="22"/>
        </w:rPr>
        <w:t>for</w:t>
      </w:r>
      <w:proofErr w:type="spellEnd"/>
      <w:r>
        <w:rPr>
          <w:rFonts w:ascii="Arial" w:eastAsia="Arial" w:hAnsi="Arial" w:cs="Arial"/>
          <w:sz w:val="22"/>
          <w:szCs w:val="22"/>
        </w:rPr>
        <w:t xml:space="preserve"> </w:t>
      </w:r>
      <w:proofErr w:type="spellStart"/>
      <w:r>
        <w:rPr>
          <w:rFonts w:ascii="Arial" w:eastAsia="Arial" w:hAnsi="Arial" w:cs="Arial"/>
          <w:sz w:val="22"/>
          <w:szCs w:val="22"/>
        </w:rPr>
        <w:t>Impact</w:t>
      </w:r>
      <w:proofErr w:type="spellEnd"/>
      <w:r>
        <w:rPr>
          <w:rFonts w:ascii="Arial" w:eastAsia="Arial" w:hAnsi="Arial" w:cs="Arial"/>
          <w:sz w:val="22"/>
          <w:szCs w:val="22"/>
        </w:rPr>
        <w:t xml:space="preserve"> </w:t>
      </w:r>
      <w:proofErr w:type="spellStart"/>
      <w:r>
        <w:rPr>
          <w:rFonts w:ascii="Arial" w:eastAsia="Arial" w:hAnsi="Arial" w:cs="Arial"/>
          <w:sz w:val="22"/>
          <w:szCs w:val="22"/>
        </w:rPr>
        <w:t>Research</w:t>
      </w:r>
      <w:proofErr w:type="spellEnd"/>
      <w:r>
        <w:rPr>
          <w:rFonts w:ascii="Arial" w:eastAsia="Arial" w:hAnsi="Arial" w:cs="Arial"/>
          <w:sz w:val="22"/>
          <w:szCs w:val="22"/>
        </w:rPr>
        <w:t>, 2004</w:t>
      </w:r>
    </w:p>
    <w:p w14:paraId="109C0377" w14:textId="77777777" w:rsidR="006E359D" w:rsidRDefault="009B1D28">
      <w:pPr>
        <w:numPr>
          <w:ilvl w:val="0"/>
          <w:numId w:val="11"/>
        </w:numPr>
        <w:spacing w:line="276" w:lineRule="auto"/>
        <w:jc w:val="both"/>
        <w:rPr>
          <w:rFonts w:ascii="Arial" w:eastAsia="Arial" w:hAnsi="Arial" w:cs="Arial"/>
          <w:sz w:val="22"/>
          <w:szCs w:val="22"/>
        </w:rPr>
      </w:pPr>
      <w:proofErr w:type="spellStart"/>
      <w:r>
        <w:rPr>
          <w:rFonts w:ascii="Arial" w:eastAsia="Arial" w:hAnsi="Arial" w:cs="Arial"/>
          <w:sz w:val="22"/>
          <w:szCs w:val="22"/>
        </w:rPr>
        <w:t>Jewell</w:t>
      </w:r>
      <w:proofErr w:type="spellEnd"/>
      <w:r>
        <w:rPr>
          <w:rFonts w:ascii="Arial" w:eastAsia="Arial" w:hAnsi="Arial" w:cs="Arial"/>
          <w:sz w:val="22"/>
          <w:szCs w:val="22"/>
        </w:rPr>
        <w:t xml:space="preserve">, Jeremy D., et al. "A </w:t>
      </w:r>
      <w:proofErr w:type="spellStart"/>
      <w:r>
        <w:rPr>
          <w:rFonts w:ascii="Arial" w:eastAsia="Arial" w:hAnsi="Arial" w:cs="Arial"/>
          <w:sz w:val="22"/>
          <w:szCs w:val="22"/>
        </w:rPr>
        <w:t>multiyear</w:t>
      </w:r>
      <w:proofErr w:type="spellEnd"/>
      <w:r>
        <w:rPr>
          <w:rFonts w:ascii="Arial" w:eastAsia="Arial" w:hAnsi="Arial" w:cs="Arial"/>
          <w:sz w:val="22"/>
          <w:szCs w:val="22"/>
        </w:rPr>
        <w:t xml:space="preserve"> </w:t>
      </w:r>
      <w:proofErr w:type="spellStart"/>
      <w:r>
        <w:rPr>
          <w:rFonts w:ascii="Arial" w:eastAsia="Arial" w:hAnsi="Arial" w:cs="Arial"/>
          <w:sz w:val="22"/>
          <w:szCs w:val="22"/>
        </w:rPr>
        <w:t>follow</w:t>
      </w:r>
      <w:proofErr w:type="spellEnd"/>
      <w:r>
        <w:rPr>
          <w:rFonts w:ascii="Arial" w:eastAsia="Arial" w:hAnsi="Arial" w:cs="Arial"/>
          <w:sz w:val="22"/>
          <w:szCs w:val="22"/>
        </w:rPr>
        <w:t xml:space="preserve">-up study </w:t>
      </w:r>
      <w:proofErr w:type="spellStart"/>
      <w:r>
        <w:rPr>
          <w:rFonts w:ascii="Arial" w:eastAsia="Arial" w:hAnsi="Arial" w:cs="Arial"/>
          <w:sz w:val="22"/>
          <w:szCs w:val="22"/>
        </w:rPr>
        <w:t>examining</w:t>
      </w:r>
      <w:proofErr w:type="spellEnd"/>
      <w:r>
        <w:rPr>
          <w:rFonts w:ascii="Arial" w:eastAsia="Arial" w:hAnsi="Arial" w:cs="Arial"/>
          <w:sz w:val="22"/>
          <w:szCs w:val="22"/>
        </w:rPr>
        <w:t xml:space="preserve">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effectiveness</w:t>
      </w:r>
      <w:proofErr w:type="spellEnd"/>
      <w:r>
        <w:rPr>
          <w:rFonts w:ascii="Arial" w:eastAsia="Arial" w:hAnsi="Arial" w:cs="Arial"/>
          <w:sz w:val="22"/>
          <w:szCs w:val="22"/>
        </w:rPr>
        <w:t xml:space="preserve"> </w:t>
      </w:r>
      <w:proofErr w:type="spellStart"/>
      <w:r>
        <w:rPr>
          <w:rFonts w:ascii="Arial" w:eastAsia="Arial" w:hAnsi="Arial" w:cs="Arial"/>
          <w:sz w:val="22"/>
          <w:szCs w:val="22"/>
        </w:rPr>
        <w:t>of</w:t>
      </w:r>
      <w:proofErr w:type="spellEnd"/>
      <w:r>
        <w:rPr>
          <w:rFonts w:ascii="Arial" w:eastAsia="Arial" w:hAnsi="Arial" w:cs="Arial"/>
          <w:sz w:val="22"/>
          <w:szCs w:val="22"/>
        </w:rPr>
        <w:t xml:space="preserve"> a </w:t>
      </w:r>
      <w:proofErr w:type="spellStart"/>
      <w:r>
        <w:rPr>
          <w:rFonts w:ascii="Arial" w:eastAsia="Arial" w:hAnsi="Arial" w:cs="Arial"/>
          <w:sz w:val="22"/>
          <w:szCs w:val="22"/>
        </w:rPr>
        <w:t>cognitive</w:t>
      </w:r>
      <w:proofErr w:type="spellEnd"/>
      <w:r>
        <w:rPr>
          <w:rFonts w:ascii="Arial" w:eastAsia="Arial" w:hAnsi="Arial" w:cs="Arial"/>
          <w:sz w:val="22"/>
          <w:szCs w:val="22"/>
        </w:rPr>
        <w:t xml:space="preserve"> </w:t>
      </w:r>
      <w:proofErr w:type="spellStart"/>
      <w:r>
        <w:rPr>
          <w:rFonts w:ascii="Arial" w:eastAsia="Arial" w:hAnsi="Arial" w:cs="Arial"/>
          <w:sz w:val="22"/>
          <w:szCs w:val="22"/>
        </w:rPr>
        <w:t>behavioral</w:t>
      </w:r>
      <w:proofErr w:type="spellEnd"/>
      <w:r>
        <w:rPr>
          <w:rFonts w:ascii="Arial" w:eastAsia="Arial" w:hAnsi="Arial" w:cs="Arial"/>
          <w:sz w:val="22"/>
          <w:szCs w:val="22"/>
        </w:rPr>
        <w:t xml:space="preserve"> </w:t>
      </w:r>
      <w:proofErr w:type="spellStart"/>
      <w:r>
        <w:rPr>
          <w:rFonts w:ascii="Arial" w:eastAsia="Arial" w:hAnsi="Arial" w:cs="Arial"/>
          <w:sz w:val="22"/>
          <w:szCs w:val="22"/>
        </w:rPr>
        <w:t>group</w:t>
      </w:r>
      <w:proofErr w:type="spellEnd"/>
      <w:r>
        <w:rPr>
          <w:rFonts w:ascii="Arial" w:eastAsia="Arial" w:hAnsi="Arial" w:cs="Arial"/>
          <w:sz w:val="22"/>
          <w:szCs w:val="22"/>
        </w:rPr>
        <w:t xml:space="preserve"> </w:t>
      </w:r>
      <w:proofErr w:type="spellStart"/>
      <w:r>
        <w:rPr>
          <w:rFonts w:ascii="Arial" w:eastAsia="Arial" w:hAnsi="Arial" w:cs="Arial"/>
          <w:sz w:val="22"/>
          <w:szCs w:val="22"/>
        </w:rPr>
        <w:t>therapy</w:t>
      </w:r>
      <w:proofErr w:type="spellEnd"/>
      <w:r>
        <w:rPr>
          <w:rFonts w:ascii="Arial" w:eastAsia="Arial" w:hAnsi="Arial" w:cs="Arial"/>
          <w:sz w:val="22"/>
          <w:szCs w:val="22"/>
        </w:rPr>
        <w:t xml:space="preserve"> program on </w:t>
      </w:r>
      <w:proofErr w:type="spellStart"/>
      <w:r>
        <w:rPr>
          <w:rFonts w:ascii="Arial" w:eastAsia="Arial" w:hAnsi="Arial" w:cs="Arial"/>
          <w:sz w:val="22"/>
          <w:szCs w:val="22"/>
        </w:rPr>
        <w:t>the</w:t>
      </w:r>
      <w:proofErr w:type="spellEnd"/>
      <w:r>
        <w:rPr>
          <w:rFonts w:ascii="Arial" w:eastAsia="Arial" w:hAnsi="Arial" w:cs="Arial"/>
          <w:sz w:val="22"/>
          <w:szCs w:val="22"/>
        </w:rPr>
        <w:t xml:space="preserve"> </w:t>
      </w:r>
      <w:proofErr w:type="spellStart"/>
      <w:r>
        <w:rPr>
          <w:rFonts w:ascii="Arial" w:eastAsia="Arial" w:hAnsi="Arial" w:cs="Arial"/>
          <w:sz w:val="22"/>
          <w:szCs w:val="22"/>
        </w:rPr>
        <w:t>recidivism</w:t>
      </w:r>
      <w:proofErr w:type="spellEnd"/>
      <w:r>
        <w:rPr>
          <w:rFonts w:ascii="Arial" w:eastAsia="Arial" w:hAnsi="Arial" w:cs="Arial"/>
          <w:sz w:val="22"/>
          <w:szCs w:val="22"/>
        </w:rPr>
        <w:t xml:space="preserve"> </w:t>
      </w:r>
      <w:proofErr w:type="spellStart"/>
      <w:r>
        <w:rPr>
          <w:rFonts w:ascii="Arial" w:eastAsia="Arial" w:hAnsi="Arial" w:cs="Arial"/>
          <w:sz w:val="22"/>
          <w:szCs w:val="22"/>
        </w:rPr>
        <w:t>of</w:t>
      </w:r>
      <w:proofErr w:type="spellEnd"/>
      <w:r>
        <w:rPr>
          <w:rFonts w:ascii="Arial" w:eastAsia="Arial" w:hAnsi="Arial" w:cs="Arial"/>
          <w:sz w:val="22"/>
          <w:szCs w:val="22"/>
        </w:rPr>
        <w:t xml:space="preserve"> </w:t>
      </w:r>
      <w:proofErr w:type="spellStart"/>
      <w:r>
        <w:rPr>
          <w:rFonts w:ascii="Arial" w:eastAsia="Arial" w:hAnsi="Arial" w:cs="Arial"/>
          <w:sz w:val="22"/>
          <w:szCs w:val="22"/>
        </w:rPr>
        <w:t>juveniles</w:t>
      </w:r>
      <w:proofErr w:type="spellEnd"/>
      <w:r>
        <w:rPr>
          <w:rFonts w:ascii="Arial" w:eastAsia="Arial" w:hAnsi="Arial" w:cs="Arial"/>
          <w:sz w:val="22"/>
          <w:szCs w:val="22"/>
        </w:rPr>
        <w:t xml:space="preserve"> on </w:t>
      </w:r>
      <w:proofErr w:type="spellStart"/>
      <w:r>
        <w:rPr>
          <w:rFonts w:ascii="Arial" w:eastAsia="Arial" w:hAnsi="Arial" w:cs="Arial"/>
          <w:sz w:val="22"/>
          <w:szCs w:val="22"/>
        </w:rPr>
        <w:t>probation</w:t>
      </w:r>
      <w:proofErr w:type="spellEnd"/>
      <w:r>
        <w:rPr>
          <w:rFonts w:ascii="Arial" w:eastAsia="Arial" w:hAnsi="Arial" w:cs="Arial"/>
          <w:sz w:val="22"/>
          <w:szCs w:val="22"/>
        </w:rPr>
        <w:t xml:space="preserve">." </w:t>
      </w:r>
      <w:r>
        <w:rPr>
          <w:rFonts w:ascii="Arial" w:eastAsia="Arial" w:hAnsi="Arial" w:cs="Arial"/>
          <w:i/>
          <w:sz w:val="22"/>
          <w:szCs w:val="22"/>
        </w:rPr>
        <w:t xml:space="preserve">International </w:t>
      </w:r>
      <w:proofErr w:type="spellStart"/>
      <w:r>
        <w:rPr>
          <w:rFonts w:ascii="Arial" w:eastAsia="Arial" w:hAnsi="Arial" w:cs="Arial"/>
          <w:i/>
          <w:sz w:val="22"/>
          <w:szCs w:val="22"/>
        </w:rPr>
        <w:t>journal</w:t>
      </w:r>
      <w:proofErr w:type="spellEnd"/>
      <w:r>
        <w:rPr>
          <w:rFonts w:ascii="Arial" w:eastAsia="Arial" w:hAnsi="Arial" w:cs="Arial"/>
          <w:i/>
          <w:sz w:val="22"/>
          <w:szCs w:val="22"/>
        </w:rPr>
        <w:t xml:space="preserve"> </w:t>
      </w:r>
      <w:proofErr w:type="spellStart"/>
      <w:r>
        <w:rPr>
          <w:rFonts w:ascii="Arial" w:eastAsia="Arial" w:hAnsi="Arial" w:cs="Arial"/>
          <w:i/>
          <w:sz w:val="22"/>
          <w:szCs w:val="22"/>
        </w:rPr>
        <w:t>of</w:t>
      </w:r>
      <w:proofErr w:type="spellEnd"/>
      <w:r>
        <w:rPr>
          <w:rFonts w:ascii="Arial" w:eastAsia="Arial" w:hAnsi="Arial" w:cs="Arial"/>
          <w:i/>
          <w:sz w:val="22"/>
          <w:szCs w:val="22"/>
        </w:rPr>
        <w:t xml:space="preserve"> </w:t>
      </w:r>
      <w:proofErr w:type="spellStart"/>
      <w:r>
        <w:rPr>
          <w:rFonts w:ascii="Arial" w:eastAsia="Arial" w:hAnsi="Arial" w:cs="Arial"/>
          <w:i/>
          <w:sz w:val="22"/>
          <w:szCs w:val="22"/>
        </w:rPr>
        <w:t>offender</w:t>
      </w:r>
      <w:proofErr w:type="spellEnd"/>
      <w:r>
        <w:rPr>
          <w:rFonts w:ascii="Arial" w:eastAsia="Arial" w:hAnsi="Arial" w:cs="Arial"/>
          <w:i/>
          <w:sz w:val="22"/>
          <w:szCs w:val="22"/>
        </w:rPr>
        <w:t xml:space="preserve"> </w:t>
      </w:r>
      <w:proofErr w:type="spellStart"/>
      <w:r>
        <w:rPr>
          <w:rFonts w:ascii="Arial" w:eastAsia="Arial" w:hAnsi="Arial" w:cs="Arial"/>
          <w:i/>
          <w:sz w:val="22"/>
          <w:szCs w:val="22"/>
        </w:rPr>
        <w:t>therapy</w:t>
      </w:r>
      <w:proofErr w:type="spellEnd"/>
      <w:r>
        <w:rPr>
          <w:rFonts w:ascii="Arial" w:eastAsia="Arial" w:hAnsi="Arial" w:cs="Arial"/>
          <w:i/>
          <w:sz w:val="22"/>
          <w:szCs w:val="22"/>
        </w:rPr>
        <w:t xml:space="preserve"> and </w:t>
      </w:r>
      <w:proofErr w:type="spellStart"/>
      <w:r>
        <w:rPr>
          <w:rFonts w:ascii="Arial" w:eastAsia="Arial" w:hAnsi="Arial" w:cs="Arial"/>
          <w:i/>
          <w:sz w:val="22"/>
          <w:szCs w:val="22"/>
        </w:rPr>
        <w:t>comparative</w:t>
      </w:r>
      <w:proofErr w:type="spellEnd"/>
      <w:r>
        <w:rPr>
          <w:rFonts w:ascii="Arial" w:eastAsia="Arial" w:hAnsi="Arial" w:cs="Arial"/>
          <w:i/>
          <w:sz w:val="22"/>
          <w:szCs w:val="22"/>
        </w:rPr>
        <w:t xml:space="preserve"> </w:t>
      </w:r>
      <w:proofErr w:type="spellStart"/>
      <w:r>
        <w:rPr>
          <w:rFonts w:ascii="Arial" w:eastAsia="Arial" w:hAnsi="Arial" w:cs="Arial"/>
          <w:i/>
          <w:sz w:val="22"/>
          <w:szCs w:val="22"/>
        </w:rPr>
        <w:t>criminology</w:t>
      </w:r>
      <w:proofErr w:type="spellEnd"/>
      <w:r>
        <w:rPr>
          <w:rFonts w:ascii="Arial" w:eastAsia="Arial" w:hAnsi="Arial" w:cs="Arial"/>
          <w:sz w:val="22"/>
          <w:szCs w:val="22"/>
        </w:rPr>
        <w:t xml:space="preserve"> 59.3 (2015): 259-272.</w:t>
      </w:r>
    </w:p>
    <w:p w14:paraId="4C3D97B1" w14:textId="77777777" w:rsidR="006E359D" w:rsidRDefault="009B1D28">
      <w:pPr>
        <w:numPr>
          <w:ilvl w:val="0"/>
          <w:numId w:val="11"/>
        </w:numPr>
        <w:spacing w:line="276" w:lineRule="auto"/>
        <w:jc w:val="both"/>
        <w:rPr>
          <w:rFonts w:ascii="Arial" w:eastAsia="Arial" w:hAnsi="Arial" w:cs="Arial"/>
          <w:sz w:val="22"/>
          <w:szCs w:val="22"/>
        </w:rPr>
      </w:pPr>
      <w:proofErr w:type="spellStart"/>
      <w:r>
        <w:rPr>
          <w:rFonts w:ascii="Arial" w:eastAsia="Arial" w:hAnsi="Arial" w:cs="Arial"/>
          <w:sz w:val="22"/>
          <w:szCs w:val="22"/>
        </w:rPr>
        <w:t>Lancaster</w:t>
      </w:r>
      <w:proofErr w:type="spellEnd"/>
      <w:r>
        <w:rPr>
          <w:rFonts w:ascii="Arial" w:eastAsia="Arial" w:hAnsi="Arial" w:cs="Arial"/>
          <w:sz w:val="22"/>
          <w:szCs w:val="22"/>
        </w:rPr>
        <w:t>, Chloe, et al. "An evidence‐</w:t>
      </w:r>
      <w:proofErr w:type="spellStart"/>
      <w:r>
        <w:rPr>
          <w:rFonts w:ascii="Arial" w:eastAsia="Arial" w:hAnsi="Arial" w:cs="Arial"/>
          <w:sz w:val="22"/>
          <w:szCs w:val="22"/>
        </w:rPr>
        <w:t>based</w:t>
      </w:r>
      <w:proofErr w:type="spellEnd"/>
      <w:r>
        <w:rPr>
          <w:rFonts w:ascii="Arial" w:eastAsia="Arial" w:hAnsi="Arial" w:cs="Arial"/>
          <w:sz w:val="22"/>
          <w:szCs w:val="22"/>
        </w:rPr>
        <w:t xml:space="preserve"> </w:t>
      </w:r>
      <w:proofErr w:type="spellStart"/>
      <w:r>
        <w:rPr>
          <w:rFonts w:ascii="Arial" w:eastAsia="Arial" w:hAnsi="Arial" w:cs="Arial"/>
          <w:sz w:val="22"/>
          <w:szCs w:val="22"/>
        </w:rPr>
        <w:t>approach</w:t>
      </w:r>
      <w:proofErr w:type="spellEnd"/>
      <w:r>
        <w:rPr>
          <w:rFonts w:ascii="Arial" w:eastAsia="Arial" w:hAnsi="Arial" w:cs="Arial"/>
          <w:sz w:val="22"/>
          <w:szCs w:val="22"/>
        </w:rPr>
        <w:t xml:space="preserve"> to </w:t>
      </w:r>
      <w:proofErr w:type="spellStart"/>
      <w:r>
        <w:rPr>
          <w:rFonts w:ascii="Arial" w:eastAsia="Arial" w:hAnsi="Arial" w:cs="Arial"/>
          <w:sz w:val="22"/>
          <w:szCs w:val="22"/>
        </w:rPr>
        <w:t>reducing</w:t>
      </w:r>
      <w:proofErr w:type="spellEnd"/>
      <w:r>
        <w:rPr>
          <w:rFonts w:ascii="Arial" w:eastAsia="Arial" w:hAnsi="Arial" w:cs="Arial"/>
          <w:sz w:val="22"/>
          <w:szCs w:val="22"/>
        </w:rPr>
        <w:t xml:space="preserve"> </w:t>
      </w:r>
      <w:proofErr w:type="spellStart"/>
      <w:r>
        <w:rPr>
          <w:rFonts w:ascii="Arial" w:eastAsia="Arial" w:hAnsi="Arial" w:cs="Arial"/>
          <w:sz w:val="22"/>
          <w:szCs w:val="22"/>
        </w:rPr>
        <w:t>recidivism</w:t>
      </w:r>
      <w:proofErr w:type="spellEnd"/>
      <w:r>
        <w:rPr>
          <w:rFonts w:ascii="Arial" w:eastAsia="Arial" w:hAnsi="Arial" w:cs="Arial"/>
          <w:sz w:val="22"/>
          <w:szCs w:val="22"/>
        </w:rPr>
        <w:t xml:space="preserve"> in </w:t>
      </w:r>
      <w:proofErr w:type="spellStart"/>
      <w:r>
        <w:rPr>
          <w:rFonts w:ascii="Arial" w:eastAsia="Arial" w:hAnsi="Arial" w:cs="Arial"/>
          <w:sz w:val="22"/>
          <w:szCs w:val="22"/>
        </w:rPr>
        <w:t>court‐referred</w:t>
      </w:r>
      <w:proofErr w:type="spellEnd"/>
      <w:r>
        <w:rPr>
          <w:rFonts w:ascii="Arial" w:eastAsia="Arial" w:hAnsi="Arial" w:cs="Arial"/>
          <w:sz w:val="22"/>
          <w:szCs w:val="22"/>
        </w:rPr>
        <w:t xml:space="preserve"> </w:t>
      </w:r>
      <w:proofErr w:type="spellStart"/>
      <w:r>
        <w:rPr>
          <w:rFonts w:ascii="Arial" w:eastAsia="Arial" w:hAnsi="Arial" w:cs="Arial"/>
          <w:sz w:val="22"/>
          <w:szCs w:val="22"/>
        </w:rPr>
        <w:t>youth</w:t>
      </w:r>
      <w:proofErr w:type="spellEnd"/>
      <w:r>
        <w:rPr>
          <w:rFonts w:ascii="Arial" w:eastAsia="Arial" w:hAnsi="Arial" w:cs="Arial"/>
          <w:sz w:val="22"/>
          <w:szCs w:val="22"/>
        </w:rPr>
        <w:t xml:space="preserve">." </w:t>
      </w:r>
      <w:proofErr w:type="spellStart"/>
      <w:r>
        <w:rPr>
          <w:rFonts w:ascii="Arial" w:eastAsia="Arial" w:hAnsi="Arial" w:cs="Arial"/>
          <w:i/>
          <w:sz w:val="22"/>
          <w:szCs w:val="22"/>
        </w:rPr>
        <w:t>Journal</w:t>
      </w:r>
      <w:proofErr w:type="spellEnd"/>
      <w:r>
        <w:rPr>
          <w:rFonts w:ascii="Arial" w:eastAsia="Arial" w:hAnsi="Arial" w:cs="Arial"/>
          <w:i/>
          <w:sz w:val="22"/>
          <w:szCs w:val="22"/>
        </w:rPr>
        <w:t xml:space="preserve"> </w:t>
      </w:r>
      <w:proofErr w:type="spellStart"/>
      <w:r>
        <w:rPr>
          <w:rFonts w:ascii="Arial" w:eastAsia="Arial" w:hAnsi="Arial" w:cs="Arial"/>
          <w:i/>
          <w:sz w:val="22"/>
          <w:szCs w:val="22"/>
        </w:rPr>
        <w:t>of</w:t>
      </w:r>
      <w:proofErr w:type="spellEnd"/>
      <w:r>
        <w:rPr>
          <w:rFonts w:ascii="Arial" w:eastAsia="Arial" w:hAnsi="Arial" w:cs="Arial"/>
          <w:i/>
          <w:sz w:val="22"/>
          <w:szCs w:val="22"/>
        </w:rPr>
        <w:t xml:space="preserve"> </w:t>
      </w:r>
      <w:proofErr w:type="spellStart"/>
      <w:r>
        <w:rPr>
          <w:rFonts w:ascii="Arial" w:eastAsia="Arial" w:hAnsi="Arial" w:cs="Arial"/>
          <w:i/>
          <w:sz w:val="22"/>
          <w:szCs w:val="22"/>
        </w:rPr>
        <w:t>Counseling</w:t>
      </w:r>
      <w:proofErr w:type="spellEnd"/>
      <w:r>
        <w:rPr>
          <w:rFonts w:ascii="Arial" w:eastAsia="Arial" w:hAnsi="Arial" w:cs="Arial"/>
          <w:i/>
          <w:sz w:val="22"/>
          <w:szCs w:val="22"/>
        </w:rPr>
        <w:t xml:space="preserve"> &amp; Development</w:t>
      </w:r>
      <w:r>
        <w:rPr>
          <w:rFonts w:ascii="Arial" w:eastAsia="Arial" w:hAnsi="Arial" w:cs="Arial"/>
          <w:sz w:val="22"/>
          <w:szCs w:val="22"/>
        </w:rPr>
        <w:t xml:space="preserve"> 89.4 (2011): 488-492.</w:t>
      </w:r>
    </w:p>
    <w:p w14:paraId="71F12DC3" w14:textId="77777777" w:rsidR="006E359D" w:rsidRDefault="006E359D">
      <w:pPr>
        <w:spacing w:line="276" w:lineRule="auto"/>
        <w:jc w:val="both"/>
        <w:rPr>
          <w:rFonts w:ascii="Arial" w:eastAsia="Arial" w:hAnsi="Arial" w:cs="Arial"/>
          <w:sz w:val="22"/>
          <w:szCs w:val="22"/>
        </w:rPr>
      </w:pPr>
    </w:p>
    <w:p w14:paraId="4C758CDF" w14:textId="77777777" w:rsidR="006E359D" w:rsidRDefault="009B1D28">
      <w:pPr>
        <w:pStyle w:val="Nadpis5"/>
        <w:spacing w:before="240" w:after="80" w:line="276" w:lineRule="auto"/>
        <w:jc w:val="both"/>
        <w:rPr>
          <w:rFonts w:ascii="Arial" w:eastAsia="Arial" w:hAnsi="Arial" w:cs="Arial"/>
          <w:b w:val="0"/>
        </w:rPr>
      </w:pPr>
      <w:bookmarkStart w:id="16" w:name="_heading=h.ecjjmvve775a" w:colFirst="0" w:colLast="0"/>
      <w:bookmarkEnd w:id="16"/>
      <w:r>
        <w:rPr>
          <w:rFonts w:ascii="Arial" w:eastAsia="Arial" w:hAnsi="Arial" w:cs="Arial"/>
          <w:b w:val="0"/>
        </w:rPr>
        <w:t>Krok B.</w:t>
      </w:r>
    </w:p>
    <w:p w14:paraId="54AA2ABE"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V kroku B bude provedena analýza současné evaluace a její porovnání s ‘ideální strukturou’ podle předcházejícího kroku. Na základě tohoto porovnání a analýze reálné možnosti </w:t>
      </w:r>
      <w:proofErr w:type="spellStart"/>
      <w:r>
        <w:rPr>
          <w:rFonts w:ascii="Arial" w:eastAsia="Arial" w:hAnsi="Arial" w:cs="Arial"/>
          <w:sz w:val="22"/>
          <w:szCs w:val="22"/>
        </w:rPr>
        <w:t>dosběru</w:t>
      </w:r>
      <w:proofErr w:type="spellEnd"/>
      <w:r>
        <w:rPr>
          <w:rFonts w:ascii="Arial" w:eastAsia="Arial" w:hAnsi="Arial" w:cs="Arial"/>
          <w:sz w:val="22"/>
          <w:szCs w:val="22"/>
        </w:rPr>
        <w:t xml:space="preserve"> dat v jednotlivých oblastech dopadů bude rozhodnuto o rozdělení dopadů do 3 skupin:</w:t>
      </w:r>
    </w:p>
    <w:p w14:paraId="1F368BCC" w14:textId="77777777" w:rsidR="006E359D" w:rsidRDefault="009B1D28">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existující výpočty dopadů (k případné validaci)</w:t>
      </w:r>
    </w:p>
    <w:p w14:paraId="0A9DE39C" w14:textId="77777777" w:rsidR="006E359D" w:rsidRDefault="009B1D28">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 xml:space="preserve">oblasti dopadů, kde by byl vhodný </w:t>
      </w:r>
      <w:proofErr w:type="spellStart"/>
      <w:r>
        <w:rPr>
          <w:rFonts w:ascii="Arial" w:eastAsia="Arial" w:hAnsi="Arial" w:cs="Arial"/>
          <w:sz w:val="22"/>
          <w:szCs w:val="22"/>
        </w:rPr>
        <w:t>dosběr</w:t>
      </w:r>
      <w:proofErr w:type="spellEnd"/>
      <w:r>
        <w:rPr>
          <w:rFonts w:ascii="Arial" w:eastAsia="Arial" w:hAnsi="Arial" w:cs="Arial"/>
          <w:sz w:val="22"/>
          <w:szCs w:val="22"/>
        </w:rPr>
        <w:t xml:space="preserve"> dat</w:t>
      </w:r>
    </w:p>
    <w:p w14:paraId="66318A9F" w14:textId="77777777" w:rsidR="006E359D" w:rsidRDefault="009B1D28">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oblasti dopadů, pro další rešerše literatury pro určení hodnot jednotlivých dopadů.</w:t>
      </w:r>
    </w:p>
    <w:p w14:paraId="159FE362" w14:textId="77777777" w:rsidR="006E359D" w:rsidRDefault="006E359D">
      <w:pPr>
        <w:spacing w:line="276" w:lineRule="auto"/>
        <w:jc w:val="both"/>
        <w:rPr>
          <w:rFonts w:ascii="Arial" w:eastAsia="Arial" w:hAnsi="Arial" w:cs="Arial"/>
          <w:sz w:val="22"/>
          <w:szCs w:val="22"/>
        </w:rPr>
      </w:pPr>
    </w:p>
    <w:p w14:paraId="31E2F67A"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Provedená dopadová evaluace přinesla vyčíslení některých klíčových dopadů projektu. Evaluace využívá relevantního designu a patřičných rigorózních metod kauzálního usuzování o dopadu intervence, a to prostřednictvím modelování </w:t>
      </w:r>
      <w:proofErr w:type="spellStart"/>
      <w:r>
        <w:rPr>
          <w:rFonts w:ascii="Arial" w:eastAsia="Arial" w:hAnsi="Arial" w:cs="Arial"/>
          <w:sz w:val="22"/>
          <w:szCs w:val="22"/>
        </w:rPr>
        <w:t>kontrafaktuálu</w:t>
      </w:r>
      <w:proofErr w:type="spellEnd"/>
      <w:r>
        <w:rPr>
          <w:rFonts w:ascii="Arial" w:eastAsia="Arial" w:hAnsi="Arial" w:cs="Arial"/>
          <w:sz w:val="22"/>
          <w:szCs w:val="22"/>
        </w:rPr>
        <w:t xml:space="preserve"> s využitím kontrolní skupiny. Validita a záběr výsledků jsou ale omezené jednak povahou projektu, jednak dostupností dat. Povaha projektu a cílové skupiny způsobila velkou míru ‘odpadání’ účastníků, což může mít za následek těžko vyčíslitelné vychýlení výsledného dopadu. Kvůli nedostupnosti dat, především o recidivě, pak evaluace nemohla zachytit jeden z klíčových přínosů. Evaluace ale zahrnuje předběžnou CBA, kterou využijeme jako výchozí bod.</w:t>
      </w:r>
    </w:p>
    <w:p w14:paraId="6B1671EC" w14:textId="77777777" w:rsidR="006E359D" w:rsidRDefault="006E359D">
      <w:pPr>
        <w:spacing w:line="276" w:lineRule="auto"/>
        <w:jc w:val="both"/>
        <w:rPr>
          <w:rFonts w:ascii="Arial" w:eastAsia="Arial" w:hAnsi="Arial" w:cs="Arial"/>
          <w:sz w:val="22"/>
          <w:szCs w:val="22"/>
        </w:rPr>
      </w:pPr>
    </w:p>
    <w:p w14:paraId="571D4F23" w14:textId="77777777" w:rsidR="006E359D" w:rsidRDefault="006E359D">
      <w:pPr>
        <w:spacing w:line="276" w:lineRule="auto"/>
        <w:jc w:val="both"/>
        <w:rPr>
          <w:rFonts w:ascii="Arial" w:eastAsia="Arial" w:hAnsi="Arial" w:cs="Arial"/>
          <w:sz w:val="22"/>
          <w:szCs w:val="22"/>
        </w:rPr>
      </w:pPr>
    </w:p>
    <w:p w14:paraId="1A71DAD8" w14:textId="7A72C9F4"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Po kroku B bude připraven Výstup II ‘Vstupní </w:t>
      </w:r>
      <w:proofErr w:type="gramStart"/>
      <w:r>
        <w:rPr>
          <w:rFonts w:ascii="Arial" w:eastAsia="Arial" w:hAnsi="Arial" w:cs="Arial"/>
          <w:sz w:val="22"/>
          <w:szCs w:val="22"/>
        </w:rPr>
        <w:t>zpráva - návrh</w:t>
      </w:r>
      <w:proofErr w:type="gramEnd"/>
      <w:r>
        <w:rPr>
          <w:rFonts w:ascii="Arial" w:eastAsia="Arial" w:hAnsi="Arial" w:cs="Arial"/>
          <w:sz w:val="22"/>
          <w:szCs w:val="22"/>
        </w:rPr>
        <w:t xml:space="preserve">’ a následně Výstup III ‘Vstupní zpráva – finální verze’. V této zprávě budou obsaženy zejména výsledky kroků A i B a dále návrh konkrétní realizace kroků C, D a E, které vedou ke splnění výzkumných cílů 1.1 a 1.2. Návrh realizace kroků C, D a E bude detailně diskutován se zadavatelem a vzájemně odsouhlasen. </w:t>
      </w:r>
      <w:sdt>
        <w:sdtPr>
          <w:tag w:val="goog_rdk_13"/>
          <w:id w:val="-816874242"/>
          <w:showingPlcHdr/>
        </w:sdtPr>
        <w:sdtEndPr/>
        <w:sdtContent>
          <w:r w:rsidR="005974EA">
            <w:t xml:space="preserve">     </w:t>
          </w:r>
        </w:sdtContent>
      </w:sdt>
    </w:p>
    <w:p w14:paraId="1CE53DE1" w14:textId="77777777" w:rsidR="006E359D" w:rsidRDefault="009B1D28">
      <w:pPr>
        <w:pStyle w:val="Nadpis5"/>
        <w:spacing w:before="240" w:after="80" w:line="276" w:lineRule="auto"/>
        <w:jc w:val="both"/>
        <w:rPr>
          <w:rFonts w:ascii="Arial" w:eastAsia="Arial" w:hAnsi="Arial" w:cs="Arial"/>
          <w:b w:val="0"/>
        </w:rPr>
      </w:pPr>
      <w:bookmarkStart w:id="17" w:name="_heading=h.8jtudfvqm4yr" w:colFirst="0" w:colLast="0"/>
      <w:bookmarkEnd w:id="17"/>
      <w:r>
        <w:rPr>
          <w:rFonts w:ascii="Arial" w:eastAsia="Arial" w:hAnsi="Arial" w:cs="Arial"/>
          <w:b w:val="0"/>
        </w:rPr>
        <w:lastRenderedPageBreak/>
        <w:t>Krok C.</w:t>
      </w:r>
    </w:p>
    <w:p w14:paraId="21839710"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 tomto kroku proběhne validace a zhodnocení využitelnosti stávajících výpočtů dopadů. Tento krok má zejména identifikovat takové existující dopady, kde bude potřeba korigovat anebo aktualizovat vstupy pro CBA. Hlavní metodou bude porovnání použitých vstupů (zejména jejich adekvátnost a aktuálnost) a vhodnost realizovaných výpočtů vůči ideálnímu postupu ve standardní CBA (např. dle Průvodce analýzou nákladů a přínosů Českých priorit).</w:t>
      </w:r>
    </w:p>
    <w:p w14:paraId="50470EBD" w14:textId="77777777" w:rsidR="006E359D" w:rsidRDefault="006E359D">
      <w:pPr>
        <w:spacing w:line="276" w:lineRule="auto"/>
        <w:jc w:val="both"/>
        <w:rPr>
          <w:rFonts w:ascii="Arial" w:eastAsia="Arial" w:hAnsi="Arial" w:cs="Arial"/>
          <w:sz w:val="22"/>
          <w:szCs w:val="22"/>
        </w:rPr>
      </w:pPr>
    </w:p>
    <w:p w14:paraId="510D3EE7"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Provedená dopadová evaluace zahrnuje předběžnou CBA, kterou využijeme jako výchozí bod. Podle zjištění uvedených v předchozím kroku vyplývá hypotéza, že nutnost korekce nebo aktualizace bude zřejmě nízká.</w:t>
      </w:r>
    </w:p>
    <w:p w14:paraId="04330062" w14:textId="77777777" w:rsidR="006E359D" w:rsidRDefault="006E359D">
      <w:pPr>
        <w:spacing w:line="276" w:lineRule="auto"/>
        <w:jc w:val="both"/>
        <w:rPr>
          <w:rFonts w:ascii="Arial" w:eastAsia="Arial" w:hAnsi="Arial" w:cs="Arial"/>
          <w:sz w:val="22"/>
          <w:szCs w:val="22"/>
        </w:rPr>
      </w:pPr>
    </w:p>
    <w:p w14:paraId="33A268A0" w14:textId="77777777" w:rsidR="006E359D" w:rsidRDefault="009B1D28">
      <w:pPr>
        <w:pStyle w:val="Nadpis5"/>
        <w:spacing w:before="240" w:after="80" w:line="276" w:lineRule="auto"/>
        <w:jc w:val="both"/>
        <w:rPr>
          <w:rFonts w:ascii="Arial" w:eastAsia="Arial" w:hAnsi="Arial" w:cs="Arial"/>
          <w:b w:val="0"/>
        </w:rPr>
      </w:pPr>
      <w:bookmarkStart w:id="18" w:name="_heading=h.k5zs5lc18c1d" w:colFirst="0" w:colLast="0"/>
      <w:bookmarkEnd w:id="18"/>
      <w:r>
        <w:rPr>
          <w:rFonts w:ascii="Arial" w:eastAsia="Arial" w:hAnsi="Arial" w:cs="Arial"/>
          <w:b w:val="0"/>
        </w:rPr>
        <w:t>Krok D.</w:t>
      </w:r>
    </w:p>
    <w:p w14:paraId="78947E5D"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V kroku D proběhne analýza stávajících dat z projektu a zejména zhodnocení možnosti doplnění dalších dopadů skrze </w:t>
      </w:r>
      <w:proofErr w:type="spellStart"/>
      <w:r>
        <w:rPr>
          <w:rFonts w:ascii="Arial" w:eastAsia="Arial" w:hAnsi="Arial" w:cs="Arial"/>
          <w:sz w:val="22"/>
          <w:szCs w:val="22"/>
        </w:rPr>
        <w:t>dosběr</w:t>
      </w:r>
      <w:proofErr w:type="spellEnd"/>
      <w:r>
        <w:rPr>
          <w:rFonts w:ascii="Arial" w:eastAsia="Arial" w:hAnsi="Arial" w:cs="Arial"/>
          <w:sz w:val="22"/>
          <w:szCs w:val="22"/>
        </w:rPr>
        <w:t xml:space="preserve"> dat z projektu. Nejdříve budou identifikovány dopady, kde případný </w:t>
      </w:r>
      <w:proofErr w:type="spellStart"/>
      <w:r>
        <w:rPr>
          <w:rFonts w:ascii="Arial" w:eastAsia="Arial" w:hAnsi="Arial" w:cs="Arial"/>
          <w:sz w:val="22"/>
          <w:szCs w:val="22"/>
        </w:rPr>
        <w:t>dosběr</w:t>
      </w:r>
      <w:proofErr w:type="spellEnd"/>
      <w:r>
        <w:rPr>
          <w:rFonts w:ascii="Arial" w:eastAsia="Arial" w:hAnsi="Arial" w:cs="Arial"/>
          <w:sz w:val="22"/>
          <w:szCs w:val="22"/>
        </w:rPr>
        <w:t xml:space="preserve"> připadá v úvahu. Následně budou identifikovány konkrétní potřebné položky. Dále bude prověřena dostupnost těchto položek </w:t>
      </w:r>
      <w:proofErr w:type="spellStart"/>
      <w:r>
        <w:rPr>
          <w:rFonts w:ascii="Arial" w:eastAsia="Arial" w:hAnsi="Arial" w:cs="Arial"/>
          <w:sz w:val="22"/>
          <w:szCs w:val="22"/>
        </w:rPr>
        <w:t>m.j</w:t>
      </w:r>
      <w:proofErr w:type="spellEnd"/>
      <w:r>
        <w:rPr>
          <w:rFonts w:ascii="Arial" w:eastAsia="Arial" w:hAnsi="Arial" w:cs="Arial"/>
          <w:sz w:val="22"/>
          <w:szCs w:val="22"/>
        </w:rPr>
        <w:t>. skrze rozhovory se stakeholdery. Výsledkem tohoto kroku budou 2 seznamy konkrétních položek dat:</w:t>
      </w:r>
    </w:p>
    <w:p w14:paraId="73C0B77C" w14:textId="77777777" w:rsidR="006E359D" w:rsidRDefault="009B1D28">
      <w:pPr>
        <w:numPr>
          <w:ilvl w:val="0"/>
          <w:numId w:val="15"/>
        </w:numPr>
        <w:spacing w:line="276" w:lineRule="auto"/>
        <w:jc w:val="both"/>
        <w:rPr>
          <w:rFonts w:ascii="Arial" w:eastAsia="Arial" w:hAnsi="Arial" w:cs="Arial"/>
          <w:sz w:val="22"/>
          <w:szCs w:val="22"/>
        </w:rPr>
      </w:pPr>
      <w:r>
        <w:rPr>
          <w:rFonts w:ascii="Arial" w:eastAsia="Arial" w:hAnsi="Arial" w:cs="Arial"/>
          <w:sz w:val="22"/>
          <w:szCs w:val="22"/>
        </w:rPr>
        <w:t>existující data z projektu, která je možno dále využít</w:t>
      </w:r>
    </w:p>
    <w:p w14:paraId="434BFA12" w14:textId="77777777" w:rsidR="006E359D" w:rsidRDefault="009B1D28">
      <w:pPr>
        <w:numPr>
          <w:ilvl w:val="0"/>
          <w:numId w:val="15"/>
        </w:numPr>
        <w:spacing w:line="276" w:lineRule="auto"/>
        <w:jc w:val="both"/>
        <w:rPr>
          <w:rFonts w:ascii="Arial" w:eastAsia="Arial" w:hAnsi="Arial" w:cs="Arial"/>
          <w:sz w:val="22"/>
          <w:szCs w:val="22"/>
        </w:rPr>
      </w:pPr>
      <w:r>
        <w:rPr>
          <w:rFonts w:ascii="Arial" w:eastAsia="Arial" w:hAnsi="Arial" w:cs="Arial"/>
          <w:sz w:val="22"/>
          <w:szCs w:val="22"/>
        </w:rPr>
        <w:t xml:space="preserve">další data, kde bude vhodné zahájit </w:t>
      </w:r>
      <w:proofErr w:type="spellStart"/>
      <w:r>
        <w:rPr>
          <w:rFonts w:ascii="Arial" w:eastAsia="Arial" w:hAnsi="Arial" w:cs="Arial"/>
          <w:sz w:val="22"/>
          <w:szCs w:val="22"/>
        </w:rPr>
        <w:t>dosběr</w:t>
      </w:r>
      <w:proofErr w:type="spellEnd"/>
    </w:p>
    <w:p w14:paraId="54C55F47" w14:textId="77777777" w:rsidR="006E359D" w:rsidRDefault="006E359D">
      <w:pPr>
        <w:spacing w:line="276" w:lineRule="auto"/>
        <w:jc w:val="both"/>
        <w:rPr>
          <w:rFonts w:ascii="Arial" w:eastAsia="Arial" w:hAnsi="Arial" w:cs="Arial"/>
          <w:i/>
          <w:sz w:val="22"/>
          <w:szCs w:val="22"/>
        </w:rPr>
      </w:pPr>
    </w:p>
    <w:p w14:paraId="32E4FF5C"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Podle našeho porozumění provedená evaluace maximálně využila dostupných dat. Podle našeho poznání o stavu dat v oblasti vězeňství nelze realisticky očekávat, že se podaří získat a využít jiná data, která by umožnila kvantifikovat další klíčové dopady. To se týká především dat o recidivě. </w:t>
      </w:r>
    </w:p>
    <w:p w14:paraId="16253ABA" w14:textId="77777777" w:rsidR="006E359D" w:rsidRDefault="006E359D">
      <w:pPr>
        <w:spacing w:line="276" w:lineRule="auto"/>
        <w:jc w:val="both"/>
        <w:rPr>
          <w:rFonts w:ascii="Arial" w:eastAsia="Arial" w:hAnsi="Arial" w:cs="Arial"/>
          <w:sz w:val="22"/>
          <w:szCs w:val="22"/>
        </w:rPr>
      </w:pPr>
    </w:p>
    <w:p w14:paraId="2D4A9DEE"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Částečné doplnění informací může proběhnout díky sběru kvalitativních dat především od aktérů zapojených do realizace projektu. Zde by cílem bylo zlepšit naše porozumění teorii změny projektu, reáliím implementace, nákladové struktuře a detailům samotných intervencí. Tyto informace by pak mohly vstoupit do zodpovídání otázek ve fázi 2 ohledně nákladů a škálování (2.2 a 2.3), popř. i otázek ohledně rizik a limitů (1.3 a 1.4).</w:t>
      </w:r>
    </w:p>
    <w:p w14:paraId="22997B52" w14:textId="77777777" w:rsidR="006E359D" w:rsidRDefault="006E359D">
      <w:pPr>
        <w:spacing w:line="276" w:lineRule="auto"/>
        <w:jc w:val="both"/>
        <w:rPr>
          <w:rFonts w:ascii="Arial" w:eastAsia="Arial" w:hAnsi="Arial" w:cs="Arial"/>
          <w:sz w:val="22"/>
          <w:szCs w:val="22"/>
        </w:rPr>
      </w:pPr>
    </w:p>
    <w:p w14:paraId="751CB3AE" w14:textId="77777777" w:rsidR="006E359D" w:rsidRDefault="006E359D">
      <w:pPr>
        <w:spacing w:line="276" w:lineRule="auto"/>
        <w:jc w:val="both"/>
        <w:rPr>
          <w:rFonts w:ascii="Arial" w:eastAsia="Arial" w:hAnsi="Arial" w:cs="Arial"/>
          <w:sz w:val="22"/>
          <w:szCs w:val="22"/>
        </w:rPr>
      </w:pPr>
    </w:p>
    <w:p w14:paraId="69261192" w14:textId="77777777" w:rsidR="006E359D" w:rsidRDefault="009B1D28">
      <w:pPr>
        <w:pStyle w:val="Nadpis5"/>
        <w:spacing w:before="240" w:after="80" w:line="276" w:lineRule="auto"/>
        <w:jc w:val="both"/>
        <w:rPr>
          <w:rFonts w:ascii="Arial" w:eastAsia="Arial" w:hAnsi="Arial" w:cs="Arial"/>
          <w:b w:val="0"/>
        </w:rPr>
      </w:pPr>
      <w:bookmarkStart w:id="19" w:name="_heading=h.yka2yjd4oq09" w:colFirst="0" w:colLast="0"/>
      <w:bookmarkEnd w:id="19"/>
      <w:r>
        <w:rPr>
          <w:rFonts w:ascii="Arial" w:eastAsia="Arial" w:hAnsi="Arial" w:cs="Arial"/>
          <w:b w:val="0"/>
        </w:rPr>
        <w:t>Krok E.</w:t>
      </w:r>
    </w:p>
    <w:p w14:paraId="747CF583" w14:textId="77777777" w:rsidR="006E359D" w:rsidRDefault="009B1D28">
      <w:pPr>
        <w:spacing w:line="276" w:lineRule="auto"/>
        <w:jc w:val="both"/>
        <w:rPr>
          <w:rFonts w:ascii="Arial" w:eastAsia="Arial" w:hAnsi="Arial" w:cs="Arial"/>
          <w:sz w:val="22"/>
          <w:szCs w:val="22"/>
          <w:highlight w:val="yellow"/>
        </w:rPr>
      </w:pPr>
      <w:r>
        <w:rPr>
          <w:rFonts w:ascii="Arial" w:eastAsia="Arial" w:hAnsi="Arial" w:cs="Arial"/>
          <w:sz w:val="22"/>
          <w:szCs w:val="22"/>
        </w:rPr>
        <w:t>V tomto kroku provedeme druhou část extenzivní rešerše literatury, která bude zaměřená na další dopady, které není možné kvantifikovat na základě dat z projektu (</w:t>
      </w:r>
      <w:proofErr w:type="gramStart"/>
      <w:r>
        <w:rPr>
          <w:rFonts w:ascii="Arial" w:eastAsia="Arial" w:hAnsi="Arial" w:cs="Arial"/>
          <w:sz w:val="22"/>
          <w:szCs w:val="22"/>
        </w:rPr>
        <w:t>t.j.</w:t>
      </w:r>
      <w:proofErr w:type="gramEnd"/>
      <w:r>
        <w:rPr>
          <w:rFonts w:ascii="Arial" w:eastAsia="Arial" w:hAnsi="Arial" w:cs="Arial"/>
          <w:sz w:val="22"/>
          <w:szCs w:val="22"/>
        </w:rPr>
        <w:t xml:space="preserve"> jdou nad rámec dopadů, které byly spočítány v rámci stávajících evaluací anebo je pro ně možný </w:t>
      </w:r>
      <w:proofErr w:type="spellStart"/>
      <w:r>
        <w:rPr>
          <w:rFonts w:ascii="Arial" w:eastAsia="Arial" w:hAnsi="Arial" w:cs="Arial"/>
          <w:sz w:val="22"/>
          <w:szCs w:val="22"/>
        </w:rPr>
        <w:t>dosběr</w:t>
      </w:r>
      <w:proofErr w:type="spellEnd"/>
      <w:r>
        <w:rPr>
          <w:rFonts w:ascii="Arial" w:eastAsia="Arial" w:hAnsi="Arial" w:cs="Arial"/>
          <w:sz w:val="22"/>
          <w:szCs w:val="22"/>
        </w:rPr>
        <w:t xml:space="preserve"> dat). Tento krok bude proveden podle nejvyšších </w:t>
      </w:r>
      <w:proofErr w:type="spellStart"/>
      <w:r>
        <w:rPr>
          <w:rFonts w:ascii="Arial" w:eastAsia="Arial" w:hAnsi="Arial" w:cs="Arial"/>
          <w:sz w:val="22"/>
          <w:szCs w:val="22"/>
        </w:rPr>
        <w:t>standartů</w:t>
      </w:r>
      <w:proofErr w:type="spellEnd"/>
      <w:r>
        <w:rPr>
          <w:rFonts w:ascii="Arial" w:eastAsia="Arial" w:hAnsi="Arial" w:cs="Arial"/>
          <w:sz w:val="22"/>
          <w:szCs w:val="22"/>
        </w:rPr>
        <w:t xml:space="preserve"> v souladu s interním metodickým návodem pro tvorbu literárních rešerší. Tento návod je inspirován postupy, se kterými pracují přední světové organizace a které platí jako standard syntetické práce s poznatky v oblasti veřejných a sociálních politik. Zároveň již obsahuje mnoho relevantních zdrojů právě pro oblast sociálních intervencí.</w:t>
      </w:r>
    </w:p>
    <w:p w14:paraId="78E39CDF" w14:textId="77777777" w:rsidR="006E359D" w:rsidRDefault="006E359D">
      <w:pPr>
        <w:spacing w:line="276" w:lineRule="auto"/>
        <w:jc w:val="both"/>
        <w:rPr>
          <w:rFonts w:ascii="Arial" w:eastAsia="Arial" w:hAnsi="Arial" w:cs="Arial"/>
          <w:sz w:val="22"/>
          <w:szCs w:val="22"/>
        </w:rPr>
      </w:pPr>
    </w:p>
    <w:p w14:paraId="4F0601A2"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Všechny studie ve zmiňované předběžné přehledové rešerši prokazují vliv kognitivně-behaviorálních programů na snížení recidivy vězňů. Jedná se o snížení o 10–</w:t>
      </w:r>
      <w:proofErr w:type="gramStart"/>
      <w:r>
        <w:rPr>
          <w:rFonts w:ascii="Arial" w:eastAsia="Arial" w:hAnsi="Arial" w:cs="Arial"/>
          <w:sz w:val="22"/>
          <w:szCs w:val="22"/>
        </w:rPr>
        <w:t>15 procentních</w:t>
      </w:r>
      <w:proofErr w:type="gramEnd"/>
      <w:r>
        <w:rPr>
          <w:rFonts w:ascii="Arial" w:eastAsia="Arial" w:hAnsi="Arial" w:cs="Arial"/>
          <w:sz w:val="22"/>
          <w:szCs w:val="22"/>
        </w:rPr>
        <w:t xml:space="preserve"> bodů oproti kontrolní skupině. Se sníženým rizikem recidivy se pojí intervence </w:t>
      </w:r>
      <w:r>
        <w:rPr>
          <w:rFonts w:ascii="Arial" w:eastAsia="Arial" w:hAnsi="Arial" w:cs="Arial"/>
          <w:sz w:val="22"/>
          <w:szCs w:val="22"/>
        </w:rPr>
        <w:lastRenderedPageBreak/>
        <w:t xml:space="preserve">zaměřené na podporu léčby závislostí a podporu duševního zdraví (o téměř 32 %), vzdělávací programy zaměřené na obecné i odborné vzdělání včetně rozvoje dovedností pro život (o 29 %) a podpora v přípravě na zaměstnání (o </w:t>
      </w:r>
      <w:proofErr w:type="gramStart"/>
      <w:r>
        <w:rPr>
          <w:rFonts w:ascii="Arial" w:eastAsia="Arial" w:hAnsi="Arial" w:cs="Arial"/>
          <w:sz w:val="22"/>
          <w:szCs w:val="22"/>
        </w:rPr>
        <w:t>24 procentních</w:t>
      </w:r>
      <w:proofErr w:type="gramEnd"/>
      <w:r>
        <w:rPr>
          <w:rFonts w:ascii="Arial" w:eastAsia="Arial" w:hAnsi="Arial" w:cs="Arial"/>
          <w:sz w:val="22"/>
          <w:szCs w:val="22"/>
        </w:rPr>
        <w:t xml:space="preserve"> bodů) oproti kontrolní skupině. Americké programy rovněž identifikovaly pozitivní dopad programů zaměřených na návrat do společnosti, podporu osobního rozvoje či víry.</w:t>
      </w:r>
    </w:p>
    <w:p w14:paraId="34798FF9" w14:textId="77777777" w:rsidR="006E359D" w:rsidRDefault="006E359D">
      <w:pPr>
        <w:spacing w:line="276" w:lineRule="auto"/>
        <w:jc w:val="both"/>
        <w:rPr>
          <w:rFonts w:ascii="Arial" w:eastAsia="Arial" w:hAnsi="Arial" w:cs="Arial"/>
          <w:sz w:val="22"/>
          <w:szCs w:val="22"/>
        </w:rPr>
      </w:pPr>
    </w:p>
    <w:p w14:paraId="3695216B"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 americkém prostředí existují také programy pro mladistvé, které do kognitivně-behaviorální terapie zapojují i rodiče mladých delikventů. U mladistvých, jejichž rodiče se aktivně podíleli na participaci v programu, bylo zaznamenáno nižší riziko recidivy a vyšší šance pro úspěšné dokončení programu.</w:t>
      </w:r>
    </w:p>
    <w:p w14:paraId="122FD72C" w14:textId="77777777" w:rsidR="006E359D" w:rsidRDefault="006E359D">
      <w:pPr>
        <w:spacing w:line="276" w:lineRule="auto"/>
        <w:jc w:val="both"/>
        <w:rPr>
          <w:rFonts w:ascii="Arial" w:eastAsia="Arial" w:hAnsi="Arial" w:cs="Arial"/>
          <w:sz w:val="22"/>
          <w:szCs w:val="22"/>
        </w:rPr>
      </w:pPr>
    </w:p>
    <w:p w14:paraId="505E6988"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Krok F.</w:t>
      </w:r>
    </w:p>
    <w:p w14:paraId="5103693C" w14:textId="77777777" w:rsidR="006E359D" w:rsidRDefault="006E359D">
      <w:pPr>
        <w:spacing w:line="276" w:lineRule="auto"/>
        <w:jc w:val="both"/>
        <w:rPr>
          <w:rFonts w:ascii="Arial" w:eastAsia="Arial" w:hAnsi="Arial" w:cs="Arial"/>
          <w:sz w:val="22"/>
          <w:szCs w:val="22"/>
        </w:rPr>
      </w:pPr>
    </w:p>
    <w:p w14:paraId="0AE9130B"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 tomto kroku provedeme syntézu výsledků z předchozích kroků a na jejím základě zhodnotíme rozsah a spolehlivost sady dopadů, které je možné kvantifikovat. V tomto kroku bude intenzivně zahrnut panel expertů, kteří pomohou s tímto ohodnocením.</w:t>
      </w:r>
    </w:p>
    <w:p w14:paraId="2A8C4438" w14:textId="77777777" w:rsidR="006E359D" w:rsidRDefault="006E359D">
      <w:pPr>
        <w:spacing w:line="276" w:lineRule="auto"/>
        <w:jc w:val="both"/>
        <w:rPr>
          <w:rFonts w:ascii="Arial" w:eastAsia="Arial" w:hAnsi="Arial" w:cs="Arial"/>
          <w:sz w:val="22"/>
          <w:szCs w:val="22"/>
        </w:rPr>
      </w:pPr>
    </w:p>
    <w:p w14:paraId="6221ED29"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Výsledkem tohoto kroku potom budou odpovědi na:</w:t>
      </w:r>
    </w:p>
    <w:p w14:paraId="4A942F69" w14:textId="77777777" w:rsidR="006E359D" w:rsidRDefault="009B1D28">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Dílčí výzkumná otázka 1.1. (Je možné u vybraného inovačního projektu (vzhledem k povaze projektu a jeho nastavení) realizovat Analýzu nákladů a přínosů v plném rozsahu (a naplnit všechny aspekty této analýzy)?)</w:t>
      </w:r>
    </w:p>
    <w:p w14:paraId="31EBB01A" w14:textId="77777777" w:rsidR="006E359D" w:rsidRDefault="009B1D28">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Dílčí výzkumná otázka 1.2. (Jsou dostupná data pro realizaci Analýzy nákladů a přínosů u vybraného projektu dostačující? Pokud ne, jaký typ dat by bylo vhodné získat?)</w:t>
      </w:r>
    </w:p>
    <w:p w14:paraId="39CFB0EF" w14:textId="77777777" w:rsidR="006E359D" w:rsidRDefault="009B1D28">
      <w:pPr>
        <w:pStyle w:val="Nadpis5"/>
        <w:spacing w:before="240" w:after="80" w:line="276" w:lineRule="auto"/>
        <w:jc w:val="both"/>
        <w:rPr>
          <w:rFonts w:ascii="Arial" w:eastAsia="Arial" w:hAnsi="Arial" w:cs="Arial"/>
          <w:b w:val="0"/>
        </w:rPr>
      </w:pPr>
      <w:bookmarkStart w:id="20" w:name="_heading=h.hwu7cs5rvo9f" w:colFirst="0" w:colLast="0"/>
      <w:bookmarkEnd w:id="20"/>
      <w:r>
        <w:rPr>
          <w:rFonts w:ascii="Arial" w:eastAsia="Arial" w:hAnsi="Arial" w:cs="Arial"/>
          <w:b w:val="0"/>
        </w:rPr>
        <w:t>Krok G.</w:t>
      </w:r>
    </w:p>
    <w:p w14:paraId="6FC39258"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 tomto kroku následně provedeme zhodnocení rizik s ohledem na dostupnost a validitu vstupů, které je možné dále získat podle výsledků kroků D-E. Zhodnocení těchto rizik bude provedeno podle metodiky ČP obsažené v Manuálu CBA Českých priorit anebo podle jiné vhodné metodiky dohodnuté se Zadavatelem.</w:t>
      </w:r>
    </w:p>
    <w:p w14:paraId="3CD22BC9" w14:textId="77777777" w:rsidR="006E359D" w:rsidRDefault="006E359D">
      <w:pPr>
        <w:spacing w:line="276" w:lineRule="auto"/>
        <w:jc w:val="both"/>
        <w:rPr>
          <w:rFonts w:ascii="Arial" w:eastAsia="Arial" w:hAnsi="Arial" w:cs="Arial"/>
          <w:sz w:val="22"/>
          <w:szCs w:val="22"/>
        </w:rPr>
      </w:pPr>
    </w:p>
    <w:p w14:paraId="65E6948F"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Dále budou identifikovány limity CBA u tohoto projektu s ohledem na škálovatelnost. V úvahu bude brána zejména očekávaná dostupnost a kvalita dat pro výpočet dodatečných </w:t>
      </w:r>
      <w:proofErr w:type="gramStart"/>
      <w:r>
        <w:rPr>
          <w:rFonts w:ascii="Arial" w:eastAsia="Arial" w:hAnsi="Arial" w:cs="Arial"/>
          <w:sz w:val="22"/>
          <w:szCs w:val="22"/>
        </w:rPr>
        <w:t>dopadů</w:t>
      </w:r>
      <w:proofErr w:type="gramEnd"/>
      <w:r>
        <w:rPr>
          <w:rFonts w:ascii="Arial" w:eastAsia="Arial" w:hAnsi="Arial" w:cs="Arial"/>
          <w:sz w:val="22"/>
          <w:szCs w:val="22"/>
        </w:rPr>
        <w:t xml:space="preserve"> a tedy úplnost výsledné CBA. Zároveň budou aplikovány podkladové principy odhadů škálovatelnosti, které jsou detailněji popsány v kroku J.</w:t>
      </w:r>
    </w:p>
    <w:p w14:paraId="59DE2A48" w14:textId="77777777" w:rsidR="006E359D" w:rsidRDefault="006E359D">
      <w:pPr>
        <w:spacing w:line="276" w:lineRule="auto"/>
        <w:jc w:val="both"/>
        <w:rPr>
          <w:rFonts w:ascii="Arial" w:eastAsia="Arial" w:hAnsi="Arial" w:cs="Arial"/>
          <w:sz w:val="22"/>
          <w:szCs w:val="22"/>
        </w:rPr>
      </w:pPr>
    </w:p>
    <w:p w14:paraId="3B09016B"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Výsledkem tohoto kroku potom budou odpovědi na:</w:t>
      </w:r>
    </w:p>
    <w:p w14:paraId="638849F9" w14:textId="77777777" w:rsidR="006E359D" w:rsidRDefault="009B1D28">
      <w:pPr>
        <w:numPr>
          <w:ilvl w:val="0"/>
          <w:numId w:val="10"/>
        </w:numPr>
        <w:spacing w:line="276" w:lineRule="auto"/>
        <w:jc w:val="both"/>
        <w:rPr>
          <w:rFonts w:ascii="Arial" w:eastAsia="Arial" w:hAnsi="Arial" w:cs="Arial"/>
          <w:sz w:val="22"/>
          <w:szCs w:val="22"/>
        </w:rPr>
      </w:pPr>
      <w:r>
        <w:rPr>
          <w:rFonts w:ascii="Arial" w:eastAsia="Arial" w:hAnsi="Arial" w:cs="Arial"/>
          <w:sz w:val="22"/>
          <w:szCs w:val="22"/>
        </w:rPr>
        <w:t>Dílčí výzkumná otázka 1.3. (Jaká jsou identifikovaná rizika Analýzy nákladů a přínosů u vybraného inovačního projektu a jakým způsobem lze tato rizika minimalizovat?)</w:t>
      </w:r>
    </w:p>
    <w:p w14:paraId="7E8AC911" w14:textId="77777777" w:rsidR="006E359D" w:rsidRDefault="009B1D28">
      <w:pPr>
        <w:numPr>
          <w:ilvl w:val="0"/>
          <w:numId w:val="10"/>
        </w:numPr>
        <w:spacing w:line="276" w:lineRule="auto"/>
        <w:jc w:val="both"/>
        <w:rPr>
          <w:rFonts w:ascii="Arial" w:eastAsia="Arial" w:hAnsi="Arial" w:cs="Arial"/>
          <w:sz w:val="22"/>
          <w:szCs w:val="22"/>
        </w:rPr>
      </w:pPr>
      <w:r>
        <w:rPr>
          <w:rFonts w:ascii="Arial" w:eastAsia="Arial" w:hAnsi="Arial" w:cs="Arial"/>
          <w:sz w:val="22"/>
          <w:szCs w:val="22"/>
        </w:rPr>
        <w:t>Dílčí výzkumná otázka 1.4. (Jaké jsou identifikované limity Analýzy nákladů a přínosů u vybraného inovačního projektu?)</w:t>
      </w:r>
    </w:p>
    <w:p w14:paraId="2D509BCB" w14:textId="77777777" w:rsidR="006E359D" w:rsidRDefault="006E359D">
      <w:pPr>
        <w:spacing w:line="276" w:lineRule="auto"/>
        <w:jc w:val="both"/>
        <w:rPr>
          <w:rFonts w:ascii="Arial" w:eastAsia="Arial" w:hAnsi="Arial" w:cs="Arial"/>
          <w:sz w:val="22"/>
          <w:szCs w:val="22"/>
        </w:rPr>
      </w:pPr>
    </w:p>
    <w:p w14:paraId="08759616" w14:textId="3671F281"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Po kroku G. budou připraveny výstupy IV. Průběžná zpráva – návrh a VI. Průběžná zpráva – finální verze. Mezi nimi proběhne Aktualizační pracovní schůzka (tj. výstup V.), během které budou prodiskutovány a schváleny výsledky předchozích kroků a zejména detailně probrán plán dalších kroků, které vedou k výzkumnému cíli 2. V tomto světle bude také </w:t>
      </w:r>
      <w:r>
        <w:rPr>
          <w:rFonts w:ascii="Arial" w:eastAsia="Arial" w:hAnsi="Arial" w:cs="Arial"/>
          <w:sz w:val="22"/>
          <w:szCs w:val="22"/>
        </w:rPr>
        <w:lastRenderedPageBreak/>
        <w:t xml:space="preserve">dohodnuto optimální rozložení kapacit pro splnění výzkumného cíle 2. a nově navrhovaného výzkumného cíle 3. </w:t>
      </w:r>
      <w:sdt>
        <w:sdtPr>
          <w:tag w:val="goog_rdk_14"/>
          <w:id w:val="-2082753767"/>
          <w:showingPlcHdr/>
        </w:sdtPr>
        <w:sdtEndPr/>
        <w:sdtContent>
          <w:r w:rsidR="005974EA">
            <w:t xml:space="preserve">     </w:t>
          </w:r>
        </w:sdtContent>
      </w:sdt>
    </w:p>
    <w:p w14:paraId="220B8D94" w14:textId="77777777" w:rsidR="006E359D" w:rsidRDefault="006E359D">
      <w:pPr>
        <w:spacing w:line="276" w:lineRule="auto"/>
        <w:jc w:val="both"/>
        <w:rPr>
          <w:rFonts w:ascii="Arial" w:eastAsia="Arial" w:hAnsi="Arial" w:cs="Arial"/>
          <w:sz w:val="22"/>
          <w:szCs w:val="22"/>
        </w:rPr>
      </w:pPr>
    </w:p>
    <w:p w14:paraId="30433A76" w14:textId="77777777" w:rsidR="006E359D" w:rsidRDefault="009B1D28">
      <w:pPr>
        <w:pStyle w:val="Nadpis4"/>
        <w:keepLines/>
        <w:spacing w:before="280" w:after="80" w:line="276" w:lineRule="auto"/>
        <w:jc w:val="both"/>
        <w:rPr>
          <w:rFonts w:ascii="Arial" w:eastAsia="Arial" w:hAnsi="Arial" w:cs="Arial"/>
          <w:i w:val="0"/>
        </w:rPr>
      </w:pPr>
      <w:bookmarkStart w:id="21" w:name="_heading=h.y9ivw5cq0klv" w:colFirst="0" w:colLast="0"/>
      <w:bookmarkEnd w:id="21"/>
      <w:r>
        <w:rPr>
          <w:rFonts w:ascii="Arial" w:eastAsia="Arial" w:hAnsi="Arial" w:cs="Arial"/>
          <w:i w:val="0"/>
        </w:rPr>
        <w:t>Fáze 2.</w:t>
      </w:r>
    </w:p>
    <w:p w14:paraId="1E269696" w14:textId="1CD0DD2D"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Fáze 2 je rozdělena do 3 kroků, které postupně adresují výzkumné otázky 2.1-2.3. </w:t>
      </w:r>
      <w:sdt>
        <w:sdtPr>
          <w:tag w:val="goog_rdk_15"/>
          <w:id w:val="980807169"/>
          <w:showingPlcHdr/>
        </w:sdtPr>
        <w:sdtEndPr/>
        <w:sdtContent>
          <w:r w:rsidR="005974EA">
            <w:t xml:space="preserve">     </w:t>
          </w:r>
        </w:sdtContent>
      </w:sdt>
    </w:p>
    <w:p w14:paraId="496BCA8A" w14:textId="77777777" w:rsidR="006E359D" w:rsidRDefault="009B1D28">
      <w:pPr>
        <w:pStyle w:val="Nadpis5"/>
        <w:spacing w:before="240" w:after="80" w:line="276" w:lineRule="auto"/>
        <w:jc w:val="both"/>
        <w:rPr>
          <w:rFonts w:ascii="Arial" w:eastAsia="Arial" w:hAnsi="Arial" w:cs="Arial"/>
          <w:b w:val="0"/>
        </w:rPr>
      </w:pPr>
      <w:bookmarkStart w:id="22" w:name="_heading=h.6hbg5318p9ab" w:colFirst="0" w:colLast="0"/>
      <w:bookmarkEnd w:id="22"/>
      <w:r>
        <w:rPr>
          <w:rFonts w:ascii="Arial" w:eastAsia="Arial" w:hAnsi="Arial" w:cs="Arial"/>
          <w:b w:val="0"/>
        </w:rPr>
        <w:t>Krok H.</w:t>
      </w:r>
    </w:p>
    <w:p w14:paraId="4745E600"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V kroku H provedeme kvantifikaci identifikovaných dopadů. Provedeme validaci existujícího odhadu dopadu zachyceného v Realizované dopadové evaluaci a předběžné CBA obsažené v evaluační zprávě. Dále provedeme kvantifikaci a podle možností převedení do </w:t>
      </w:r>
      <w:proofErr w:type="spellStart"/>
      <w:r>
        <w:rPr>
          <w:rFonts w:ascii="Arial" w:eastAsia="Arial" w:hAnsi="Arial" w:cs="Arial"/>
          <w:sz w:val="22"/>
          <w:szCs w:val="22"/>
        </w:rPr>
        <w:t>monetizované</w:t>
      </w:r>
      <w:proofErr w:type="spellEnd"/>
      <w:r>
        <w:rPr>
          <w:rFonts w:ascii="Arial" w:eastAsia="Arial" w:hAnsi="Arial" w:cs="Arial"/>
          <w:sz w:val="22"/>
          <w:szCs w:val="22"/>
        </w:rPr>
        <w:t xml:space="preserve"> formy </w:t>
      </w:r>
      <w:proofErr w:type="gramStart"/>
      <w:r>
        <w:rPr>
          <w:rFonts w:ascii="Arial" w:eastAsia="Arial" w:hAnsi="Arial" w:cs="Arial"/>
          <w:sz w:val="22"/>
          <w:szCs w:val="22"/>
        </w:rPr>
        <w:t>u  dalších</w:t>
      </w:r>
      <w:proofErr w:type="gramEnd"/>
      <w:r>
        <w:rPr>
          <w:rFonts w:ascii="Arial" w:eastAsia="Arial" w:hAnsi="Arial" w:cs="Arial"/>
          <w:sz w:val="22"/>
          <w:szCs w:val="22"/>
        </w:rPr>
        <w:t xml:space="preserve"> identifikovaných nákladů, nezachycených v existující dopadové evaluaci, a to na základě odhadů identifikovaných v literatuře.</w:t>
      </w:r>
    </w:p>
    <w:p w14:paraId="5F956DFB" w14:textId="77777777" w:rsidR="006E359D" w:rsidRDefault="006E359D">
      <w:pPr>
        <w:spacing w:line="276" w:lineRule="auto"/>
        <w:jc w:val="both"/>
        <w:rPr>
          <w:rFonts w:ascii="Arial" w:eastAsia="Arial" w:hAnsi="Arial" w:cs="Arial"/>
          <w:sz w:val="22"/>
          <w:szCs w:val="22"/>
        </w:rPr>
      </w:pPr>
    </w:p>
    <w:p w14:paraId="02A92A2D"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Výsledkem kroku H bude odpověď na dílčí výzkumnou otázku 2.1. (Převažují výnosy (</w:t>
      </w:r>
      <w:proofErr w:type="spellStart"/>
      <w:r>
        <w:rPr>
          <w:rFonts w:ascii="Arial" w:eastAsia="Arial" w:hAnsi="Arial" w:cs="Arial"/>
          <w:sz w:val="22"/>
          <w:szCs w:val="22"/>
        </w:rPr>
        <w:t>monetizovatelné</w:t>
      </w:r>
      <w:proofErr w:type="spellEnd"/>
      <w:r>
        <w:rPr>
          <w:rFonts w:ascii="Arial" w:eastAsia="Arial" w:hAnsi="Arial" w:cs="Arial"/>
          <w:sz w:val="22"/>
          <w:szCs w:val="22"/>
        </w:rPr>
        <w:t xml:space="preserve"> výstupy a nepeněžní výsledky) projektu/inovace nad ekonomickými náklady spjatými s realizací projektu/inovace?)</w:t>
      </w:r>
    </w:p>
    <w:p w14:paraId="2EC3BAB8" w14:textId="77777777" w:rsidR="006E359D" w:rsidRDefault="006E359D">
      <w:pPr>
        <w:spacing w:line="276" w:lineRule="auto"/>
        <w:jc w:val="both"/>
        <w:rPr>
          <w:rFonts w:ascii="Arial" w:eastAsia="Arial" w:hAnsi="Arial" w:cs="Arial"/>
          <w:sz w:val="22"/>
          <w:szCs w:val="22"/>
        </w:rPr>
      </w:pPr>
    </w:p>
    <w:p w14:paraId="25DEEB6E"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Vzhledem k omezením provedené dopadové evaluace, která jsou patrná z evaluační zprávy, předpokládáme, že na základě těchto kroků dospějeme nejspíše k odhadům celkových nákladů a výnosů, které nebudou výrazně ucelenější (co do zachycení spektra nákladů a přínosů) ani spolehlivější než odhady naznačené v existující evaluační zprávě. Provedení těchto kroků ale přinese poznatky užitečné pro uvažování o tom, u jakých projektů a za jakých podmínek má smysl s CBA pracovat a jak s ohledem na to adaptovat proces přípravy výzev a designu a evaluace projektů.</w:t>
      </w:r>
    </w:p>
    <w:p w14:paraId="73FAA97C" w14:textId="77777777" w:rsidR="006E359D" w:rsidRDefault="006E359D">
      <w:pPr>
        <w:spacing w:line="276" w:lineRule="auto"/>
        <w:jc w:val="both"/>
        <w:rPr>
          <w:rFonts w:ascii="Arial" w:eastAsia="Arial" w:hAnsi="Arial" w:cs="Arial"/>
          <w:sz w:val="22"/>
          <w:szCs w:val="22"/>
        </w:rPr>
      </w:pPr>
    </w:p>
    <w:p w14:paraId="7244E1AC" w14:textId="77777777" w:rsidR="006E359D" w:rsidRDefault="009B1D28">
      <w:pPr>
        <w:pStyle w:val="Nadpis5"/>
        <w:spacing w:before="240" w:after="80" w:line="276" w:lineRule="auto"/>
        <w:jc w:val="both"/>
        <w:rPr>
          <w:rFonts w:ascii="Arial" w:eastAsia="Arial" w:hAnsi="Arial" w:cs="Arial"/>
          <w:b w:val="0"/>
        </w:rPr>
      </w:pPr>
      <w:bookmarkStart w:id="23" w:name="_heading=h.k1s8b0cnzcg9" w:colFirst="0" w:colLast="0"/>
      <w:bookmarkEnd w:id="23"/>
      <w:r>
        <w:rPr>
          <w:rFonts w:ascii="Arial" w:eastAsia="Arial" w:hAnsi="Arial" w:cs="Arial"/>
          <w:b w:val="0"/>
        </w:rPr>
        <w:t>Krok I.</w:t>
      </w:r>
    </w:p>
    <w:p w14:paraId="5792656A"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 kroku I proběhne kritická reflexe nákladové struktury projektu. Ta bude vycházet z</w:t>
      </w:r>
    </w:p>
    <w:p w14:paraId="26497CEF" w14:textId="77777777" w:rsidR="006E359D" w:rsidRDefault="009B1D28">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komparace nákladové struktury s teorií změny projektu (excesivní náklady)</w:t>
      </w:r>
    </w:p>
    <w:p w14:paraId="6C4AA61A" w14:textId="77777777" w:rsidR="006E359D" w:rsidRDefault="009B1D28">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 xml:space="preserve">kvalitativního průzkumu mezi zapojenými aktéry (realizátoři a další stakeholdeři projektu), vč. využití projektových zpráv, a s využitím znalostí tematického experta v realizačním týmu </w:t>
      </w:r>
      <w:proofErr w:type="spellStart"/>
      <w:r>
        <w:rPr>
          <w:rFonts w:ascii="Arial" w:eastAsia="Arial" w:hAnsi="Arial" w:cs="Arial"/>
          <w:sz w:val="22"/>
          <w:szCs w:val="22"/>
        </w:rPr>
        <w:t>týmu</w:t>
      </w:r>
      <w:proofErr w:type="spellEnd"/>
      <w:r>
        <w:rPr>
          <w:rFonts w:ascii="Arial" w:eastAsia="Arial" w:hAnsi="Arial" w:cs="Arial"/>
          <w:sz w:val="22"/>
          <w:szCs w:val="22"/>
        </w:rPr>
        <w:t>, s cílem identifikovat neočekávané a potenciálně i excesivní náklady</w:t>
      </w:r>
    </w:p>
    <w:p w14:paraId="06D32604" w14:textId="77777777" w:rsidR="006E359D" w:rsidRDefault="009B1D28">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komparace nákladové struktury projekty s informacemi o aktivitách a teoriích změny podobných projektů identifikovaných v rešerši literatury</w:t>
      </w:r>
    </w:p>
    <w:p w14:paraId="6D661096" w14:textId="77777777" w:rsidR="006E359D" w:rsidRDefault="006E359D">
      <w:pPr>
        <w:spacing w:line="276" w:lineRule="auto"/>
        <w:jc w:val="both"/>
        <w:rPr>
          <w:rFonts w:ascii="Arial" w:eastAsia="Arial" w:hAnsi="Arial" w:cs="Arial"/>
          <w:sz w:val="22"/>
          <w:szCs w:val="22"/>
        </w:rPr>
      </w:pPr>
    </w:p>
    <w:p w14:paraId="7F973FFA"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Výsledkem kroku I bude identifikace excesivních a neočekávaných nákladů (v rámci limitací daných dostupností dat), tj. odpověď na dílčí výzkumnou otázku 2.2. (Došlo u sledovaného projektu/inovace k identifikaci neočekávaných či excesivních nákladů?)</w:t>
      </w:r>
    </w:p>
    <w:p w14:paraId="687E52D4" w14:textId="77777777" w:rsidR="006E359D" w:rsidRDefault="009B1D28">
      <w:pPr>
        <w:pStyle w:val="Nadpis5"/>
        <w:spacing w:before="240" w:after="80" w:line="276" w:lineRule="auto"/>
        <w:jc w:val="both"/>
        <w:rPr>
          <w:rFonts w:ascii="Arial" w:eastAsia="Arial" w:hAnsi="Arial" w:cs="Arial"/>
          <w:b w:val="0"/>
        </w:rPr>
      </w:pPr>
      <w:bookmarkStart w:id="24" w:name="_heading=h.vjqitsjz8w77" w:colFirst="0" w:colLast="0"/>
      <w:bookmarkEnd w:id="24"/>
      <w:r>
        <w:rPr>
          <w:rFonts w:ascii="Arial" w:eastAsia="Arial" w:hAnsi="Arial" w:cs="Arial"/>
          <w:b w:val="0"/>
        </w:rPr>
        <w:t>Krok J.</w:t>
      </w:r>
    </w:p>
    <w:p w14:paraId="513C7657"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Vztah mezi čistými přínosy intervence realizované a vyhodnocené v pilotním testování</w:t>
      </w:r>
      <w:r>
        <w:rPr>
          <w:rFonts w:ascii="Arial" w:eastAsia="Arial" w:hAnsi="Arial" w:cs="Arial"/>
          <w:i/>
          <w:sz w:val="22"/>
          <w:szCs w:val="22"/>
        </w:rPr>
        <w:t xml:space="preserve"> </w:t>
      </w:r>
      <w:r>
        <w:rPr>
          <w:rFonts w:ascii="Arial" w:eastAsia="Arial" w:hAnsi="Arial" w:cs="Arial"/>
          <w:sz w:val="22"/>
          <w:szCs w:val="22"/>
        </w:rPr>
        <w:t>a čistými přínosy stejné intervence rozšířené plošně lze částečně odhadnout aplikací poznatků z ekonomické literatury</w:t>
      </w:r>
      <w:r>
        <w:rPr>
          <w:rFonts w:ascii="Arial" w:eastAsia="Arial" w:hAnsi="Arial" w:cs="Arial"/>
          <w:sz w:val="22"/>
          <w:szCs w:val="22"/>
          <w:vertAlign w:val="superscript"/>
        </w:rPr>
        <w:footnoteReference w:id="1"/>
      </w:r>
      <w:r>
        <w:rPr>
          <w:rFonts w:ascii="Arial" w:eastAsia="Arial" w:hAnsi="Arial" w:cs="Arial"/>
          <w:sz w:val="22"/>
          <w:szCs w:val="22"/>
        </w:rPr>
        <w:t xml:space="preserve"> o škálování experimentů na specifika zkoumaných </w:t>
      </w:r>
      <w:r>
        <w:rPr>
          <w:rFonts w:ascii="Arial" w:eastAsia="Arial" w:hAnsi="Arial" w:cs="Arial"/>
          <w:sz w:val="22"/>
          <w:szCs w:val="22"/>
        </w:rPr>
        <w:lastRenderedPageBreak/>
        <w:t>projektů. Tento postup bude jádrem kroku J. Zjednodušeně můžeme tento postup rozdělit na úvahu o nákladech a úvahu o přínosech, přičemž na každé straně orientačně uvádíme výchozí hypotézy odvozené z existující ekonomické literatury o škálování experimentů, popř. naše vlastní hypotézy informované prvotním seznámením se s projektem prostřednictvím evaluační zprávy:</w:t>
      </w:r>
    </w:p>
    <w:p w14:paraId="1794D3F4" w14:textId="77777777" w:rsidR="006E359D" w:rsidRDefault="006E359D">
      <w:pPr>
        <w:spacing w:line="276" w:lineRule="auto"/>
        <w:jc w:val="both"/>
        <w:rPr>
          <w:rFonts w:ascii="Arial" w:eastAsia="Arial" w:hAnsi="Arial" w:cs="Arial"/>
          <w:sz w:val="22"/>
          <w:szCs w:val="22"/>
        </w:rPr>
      </w:pPr>
    </w:p>
    <w:p w14:paraId="43940424"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Náklady:</w:t>
      </w:r>
    </w:p>
    <w:p w14:paraId="206FC461" w14:textId="77777777" w:rsidR="006E359D" w:rsidRDefault="009B1D28">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Jednotkové náklady samotné intervence budou typicky s rostoucím rozsahem klesat, jednak kvůli eliminaci nákladů na samotný vývoj inovace, jednak kvůli rozpuštění fixních nákladů, které jsou u malého experimentálního projektu relativně velké</w:t>
      </w:r>
    </w:p>
    <w:p w14:paraId="7ACD74E8" w14:textId="77777777" w:rsidR="006E359D" w:rsidRDefault="009B1D28">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Náklady na systémové změny mohou naopak růst, pokud takové změny jsou nutné pro efektivní implementaci inovace</w:t>
      </w:r>
    </w:p>
    <w:p w14:paraId="370AE6E9" w14:textId="77777777" w:rsidR="006E359D" w:rsidRDefault="006E359D">
      <w:pPr>
        <w:spacing w:line="276" w:lineRule="auto"/>
        <w:jc w:val="both"/>
        <w:rPr>
          <w:rFonts w:ascii="Arial" w:eastAsia="Arial" w:hAnsi="Arial" w:cs="Arial"/>
          <w:sz w:val="22"/>
          <w:szCs w:val="22"/>
        </w:rPr>
      </w:pPr>
    </w:p>
    <w:p w14:paraId="38495196"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Přínosy:</w:t>
      </w:r>
    </w:p>
    <w:p w14:paraId="6FCBB245" w14:textId="77777777" w:rsidR="006E359D" w:rsidRDefault="009B1D28">
      <w:pPr>
        <w:numPr>
          <w:ilvl w:val="0"/>
          <w:numId w:val="19"/>
        </w:numPr>
        <w:spacing w:line="276" w:lineRule="auto"/>
        <w:jc w:val="both"/>
        <w:rPr>
          <w:rFonts w:ascii="Arial" w:eastAsia="Arial" w:hAnsi="Arial" w:cs="Arial"/>
          <w:sz w:val="22"/>
          <w:szCs w:val="22"/>
        </w:rPr>
      </w:pPr>
      <w:r>
        <w:rPr>
          <w:rFonts w:ascii="Arial" w:eastAsia="Arial" w:hAnsi="Arial" w:cs="Arial"/>
          <w:sz w:val="22"/>
          <w:szCs w:val="22"/>
        </w:rPr>
        <w:t xml:space="preserve">Celkově jednotkové přínosy následkem škálování standardně klesají; zde můžeme vycházet z empirického zkoumání </w:t>
      </w:r>
      <w:proofErr w:type="spellStart"/>
      <w:r>
        <w:rPr>
          <w:rFonts w:ascii="Arial" w:eastAsia="Arial" w:hAnsi="Arial" w:cs="Arial"/>
          <w:sz w:val="22"/>
          <w:szCs w:val="22"/>
        </w:rPr>
        <w:t>škálovaných</w:t>
      </w:r>
      <w:proofErr w:type="spellEnd"/>
      <w:r>
        <w:rPr>
          <w:rFonts w:ascii="Arial" w:eastAsia="Arial" w:hAnsi="Arial" w:cs="Arial"/>
          <w:sz w:val="22"/>
          <w:szCs w:val="22"/>
        </w:rPr>
        <w:t xml:space="preserve"> experimentů, přičemž možných mechanismů vysvětlujících, proč se to děje, je několik.</w:t>
      </w:r>
    </w:p>
    <w:p w14:paraId="7482E58B" w14:textId="77777777" w:rsidR="006E359D" w:rsidRDefault="009B1D28">
      <w:pPr>
        <w:numPr>
          <w:ilvl w:val="0"/>
          <w:numId w:val="19"/>
        </w:numPr>
        <w:spacing w:line="276" w:lineRule="auto"/>
        <w:jc w:val="both"/>
        <w:rPr>
          <w:rFonts w:ascii="Arial" w:eastAsia="Arial" w:hAnsi="Arial" w:cs="Arial"/>
          <w:sz w:val="22"/>
          <w:szCs w:val="22"/>
        </w:rPr>
      </w:pPr>
      <w:r>
        <w:rPr>
          <w:rFonts w:ascii="Arial" w:eastAsia="Arial" w:hAnsi="Arial" w:cs="Arial"/>
          <w:sz w:val="22"/>
          <w:szCs w:val="22"/>
        </w:rPr>
        <w:t>U zkoumaného inovačního projektu jako potenciálně nejsilnější zdroj poklesu přínosů odhadujeme faktor vůle či připravenosti institucí. Instituce, v nichž experiment probíhaly, nebyly totiž pouhými pasivními jednotkami, na nichž byla intervence testována, ale byly aktivními subjekty, které se pro realizaci intervence rozhodly a samy se podílely na jejím vývoji. Naopak instituce, do nichž se bude intervence rozšiřovat, mohou vykazovat nižší vůli a připravenost na adaptaci a změnu.</w:t>
      </w:r>
    </w:p>
    <w:p w14:paraId="5CACF5AA" w14:textId="77777777" w:rsidR="006E359D" w:rsidRDefault="009B1D28">
      <w:pPr>
        <w:numPr>
          <w:ilvl w:val="0"/>
          <w:numId w:val="19"/>
        </w:numPr>
        <w:spacing w:line="276" w:lineRule="auto"/>
        <w:jc w:val="both"/>
        <w:rPr>
          <w:rFonts w:ascii="Arial" w:eastAsia="Arial" w:hAnsi="Arial" w:cs="Arial"/>
          <w:sz w:val="22"/>
          <w:szCs w:val="22"/>
        </w:rPr>
      </w:pPr>
      <w:r>
        <w:rPr>
          <w:rFonts w:ascii="Arial" w:eastAsia="Arial" w:hAnsi="Arial" w:cs="Arial"/>
          <w:sz w:val="22"/>
          <w:szCs w:val="22"/>
        </w:rPr>
        <w:t xml:space="preserve">S předchozí faktorem se může pojit i další zdroj snižujících se dopadů při škálování popsaný v literatuře, jímž je rozdílné složení populace cílových skupin, resp. nereprezentativnost CS zapojených do původního experimentu vůči celkové CS ve </w:t>
      </w:r>
      <w:proofErr w:type="spellStart"/>
      <w:r>
        <w:rPr>
          <w:rFonts w:ascii="Arial" w:eastAsia="Arial" w:hAnsi="Arial" w:cs="Arial"/>
          <w:sz w:val="22"/>
          <w:szCs w:val="22"/>
        </w:rPr>
        <w:t>škálovaném</w:t>
      </w:r>
      <w:proofErr w:type="spellEnd"/>
      <w:r>
        <w:rPr>
          <w:rFonts w:ascii="Arial" w:eastAsia="Arial" w:hAnsi="Arial" w:cs="Arial"/>
          <w:sz w:val="22"/>
          <w:szCs w:val="22"/>
        </w:rPr>
        <w:t xml:space="preserve"> projektu.</w:t>
      </w:r>
    </w:p>
    <w:p w14:paraId="72595172" w14:textId="77777777" w:rsidR="006E359D" w:rsidRDefault="009B1D28">
      <w:pPr>
        <w:numPr>
          <w:ilvl w:val="0"/>
          <w:numId w:val="19"/>
        </w:numPr>
        <w:spacing w:line="276" w:lineRule="auto"/>
        <w:jc w:val="both"/>
        <w:rPr>
          <w:rFonts w:ascii="Arial" w:eastAsia="Arial" w:hAnsi="Arial" w:cs="Arial"/>
          <w:sz w:val="22"/>
          <w:szCs w:val="22"/>
        </w:rPr>
      </w:pPr>
      <w:r>
        <w:rPr>
          <w:rFonts w:ascii="Arial" w:eastAsia="Arial" w:hAnsi="Arial" w:cs="Arial"/>
          <w:sz w:val="22"/>
          <w:szCs w:val="22"/>
        </w:rPr>
        <w:t>Konečně dalším podstatným faktorem je schopnost udržet i při větším rozsahu tzv. věrnost (</w:t>
      </w:r>
      <w:proofErr w:type="spellStart"/>
      <w:r>
        <w:rPr>
          <w:rFonts w:ascii="Arial" w:eastAsia="Arial" w:hAnsi="Arial" w:cs="Arial"/>
          <w:sz w:val="22"/>
          <w:szCs w:val="22"/>
        </w:rPr>
        <w:t>fidelity</w:t>
      </w:r>
      <w:proofErr w:type="spellEnd"/>
      <w:r>
        <w:rPr>
          <w:rFonts w:ascii="Arial" w:eastAsia="Arial" w:hAnsi="Arial" w:cs="Arial"/>
          <w:sz w:val="22"/>
          <w:szCs w:val="22"/>
        </w:rPr>
        <w:t>) a s tím spojenou intenzitu intervence (</w:t>
      </w:r>
      <w:proofErr w:type="spellStart"/>
      <w:r>
        <w:rPr>
          <w:rFonts w:ascii="Arial" w:eastAsia="Arial" w:hAnsi="Arial" w:cs="Arial"/>
          <w:sz w:val="22"/>
          <w:szCs w:val="22"/>
        </w:rPr>
        <w:t>dosage</w:t>
      </w:r>
      <w:proofErr w:type="spellEnd"/>
      <w:r>
        <w:rPr>
          <w:rFonts w:ascii="Arial" w:eastAsia="Arial" w:hAnsi="Arial" w:cs="Arial"/>
          <w:sz w:val="22"/>
          <w:szCs w:val="22"/>
        </w:rPr>
        <w:t>). I zde vzhledem k povaze projektu předpokládáme významný dopad škálování na efektivitu.</w:t>
      </w:r>
    </w:p>
    <w:p w14:paraId="679688AF" w14:textId="77777777" w:rsidR="006E359D" w:rsidRDefault="006E359D">
      <w:pPr>
        <w:spacing w:line="276" w:lineRule="auto"/>
        <w:jc w:val="both"/>
        <w:rPr>
          <w:rFonts w:ascii="Arial" w:eastAsia="Arial" w:hAnsi="Arial" w:cs="Arial"/>
          <w:sz w:val="22"/>
          <w:szCs w:val="22"/>
        </w:rPr>
      </w:pPr>
    </w:p>
    <w:p w14:paraId="15068E99"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Podstatou tohoto kroku bude ověření těchto prvotních hypotéz na základě důkladného ověřování vlastností vyhodnocovaného projektu. K tomu bude sloužit především </w:t>
      </w:r>
      <w:proofErr w:type="spellStart"/>
      <w:r>
        <w:rPr>
          <w:rFonts w:ascii="Arial" w:eastAsia="Arial" w:hAnsi="Arial" w:cs="Arial"/>
          <w:sz w:val="22"/>
          <w:szCs w:val="22"/>
        </w:rPr>
        <w:t>dosběr</w:t>
      </w:r>
      <w:proofErr w:type="spellEnd"/>
      <w:r>
        <w:rPr>
          <w:rFonts w:ascii="Arial" w:eastAsia="Arial" w:hAnsi="Arial" w:cs="Arial"/>
          <w:sz w:val="22"/>
          <w:szCs w:val="22"/>
        </w:rPr>
        <w:t xml:space="preserve"> kvalitativních dat od aktérů zapojených do realizace projektu a extrakce informací o projektu </w:t>
      </w:r>
      <w:r>
        <w:rPr>
          <w:rFonts w:ascii="Arial" w:eastAsia="Arial" w:hAnsi="Arial" w:cs="Arial"/>
          <w:sz w:val="22"/>
          <w:szCs w:val="22"/>
        </w:rPr>
        <w:lastRenderedPageBreak/>
        <w:t>z projektové dokumentace. Stejně tak využijeme konzultaci s experty z oboru a znalosti tematického experta zapojeného do projektového týmu.</w:t>
      </w:r>
    </w:p>
    <w:p w14:paraId="37994213" w14:textId="77777777" w:rsidR="006E359D" w:rsidRDefault="006E359D">
      <w:pPr>
        <w:spacing w:line="276" w:lineRule="auto"/>
        <w:jc w:val="both"/>
        <w:rPr>
          <w:rFonts w:ascii="Arial" w:eastAsia="Arial" w:hAnsi="Arial" w:cs="Arial"/>
          <w:sz w:val="22"/>
          <w:szCs w:val="22"/>
        </w:rPr>
      </w:pPr>
    </w:p>
    <w:p w14:paraId="0D88991D"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Výsledkem kroku J bude kvantifikovaný odhad vývoje přínosů a nákladů následkem škálování (v rámci limitací daných dostupností dat), tj. odpověď na dílčí výzkumnou otázku 2.3. (Převažovaly by výnosy nad náklady i v případě dalšího šíření projektu/inovace, případně u realizace projektů/inovací typově podobných?)</w:t>
      </w:r>
    </w:p>
    <w:p w14:paraId="4C66A894" w14:textId="77777777" w:rsidR="006E359D" w:rsidRDefault="006E359D">
      <w:pPr>
        <w:spacing w:line="276" w:lineRule="auto"/>
        <w:jc w:val="both"/>
        <w:rPr>
          <w:rFonts w:ascii="Arial" w:eastAsia="Arial" w:hAnsi="Arial" w:cs="Arial"/>
          <w:sz w:val="22"/>
          <w:szCs w:val="22"/>
        </w:rPr>
      </w:pPr>
    </w:p>
    <w:p w14:paraId="195E14B4"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Máme za to, že správné uchopení problematiky škálování může být pro využívání potenciálu sociálně inovačních projektů podstatné. Už jen konceptuální porozumění faktorů s dopadem na úspěšnost škálování může pomoci k efektivnější práci s inovačními projekty, a to i bez ohledu na využitelnost CBA u daného projektu, byť je problematika škálování s metodami CBA úzce spjata. Proto předpokládáme, že odpověď na tuto otázku položí základ pro ucelenější zachycení problematiky škálování, které bude součástí výstupu fáze 3.</w:t>
      </w:r>
    </w:p>
    <w:p w14:paraId="494CF630" w14:textId="77777777" w:rsidR="006E359D" w:rsidRDefault="006E359D">
      <w:pPr>
        <w:spacing w:line="276" w:lineRule="auto"/>
        <w:jc w:val="both"/>
        <w:rPr>
          <w:rFonts w:ascii="Arial" w:eastAsia="Arial" w:hAnsi="Arial" w:cs="Arial"/>
          <w:sz w:val="22"/>
          <w:szCs w:val="22"/>
        </w:rPr>
      </w:pPr>
    </w:p>
    <w:p w14:paraId="288D5D24" w14:textId="77777777" w:rsidR="006E359D" w:rsidRDefault="009B1D28">
      <w:pPr>
        <w:pStyle w:val="Nadpis4"/>
        <w:keepLines/>
        <w:spacing w:before="280" w:after="80" w:line="276" w:lineRule="auto"/>
        <w:jc w:val="both"/>
        <w:rPr>
          <w:rFonts w:ascii="Arial" w:eastAsia="Arial" w:hAnsi="Arial" w:cs="Arial"/>
          <w:i w:val="0"/>
        </w:rPr>
      </w:pPr>
      <w:bookmarkStart w:id="25" w:name="_heading=h.sqb4xcrev3m1" w:colFirst="0" w:colLast="0"/>
      <w:bookmarkEnd w:id="25"/>
      <w:r>
        <w:rPr>
          <w:rFonts w:ascii="Arial" w:eastAsia="Arial" w:hAnsi="Arial" w:cs="Arial"/>
          <w:i w:val="0"/>
        </w:rPr>
        <w:t>Fáze 3.</w:t>
      </w:r>
    </w:p>
    <w:p w14:paraId="523AEF6A" w14:textId="152AC06D" w:rsidR="006E359D" w:rsidRDefault="009B1D28">
      <w:pPr>
        <w:spacing w:line="276" w:lineRule="auto"/>
        <w:jc w:val="both"/>
        <w:rPr>
          <w:rFonts w:ascii="Arial" w:eastAsia="Arial" w:hAnsi="Arial" w:cs="Arial"/>
          <w:sz w:val="22"/>
          <w:szCs w:val="22"/>
        </w:rPr>
      </w:pPr>
      <w:r>
        <w:rPr>
          <w:rFonts w:ascii="Arial" w:eastAsia="Arial" w:hAnsi="Arial" w:cs="Arial"/>
          <w:sz w:val="22"/>
          <w:szCs w:val="22"/>
        </w:rPr>
        <w:t>Fáze 3 je rozdělena do 2 kroků, které pokrývají dodatečný výzkumný cíl 3. Na jejím konci budou realizovány 2 požadované výstupy (VII. Závěrečná zpráva – návrh a VIII. Závěrečná zpráva – finální verze) a dále dodatečný výstup IX. Praktický manuál pro zajištění předpokladů realizace CBA a škálování sociálně-inovačních projektů. Tato fáze bude probíhat částečně paralelně s Fází 2</w:t>
      </w:r>
      <w:sdt>
        <w:sdtPr>
          <w:tag w:val="goog_rdk_16"/>
          <w:id w:val="-1048069167"/>
        </w:sdtPr>
        <w:sdtEndPr/>
        <w:sdtContent>
          <w:r>
            <w:rPr>
              <w:rFonts w:ascii="Arial" w:eastAsia="Arial" w:hAnsi="Arial" w:cs="Arial"/>
              <w:sz w:val="22"/>
              <w:szCs w:val="22"/>
            </w:rPr>
            <w:t>.</w:t>
          </w:r>
        </w:sdtContent>
      </w:sdt>
      <w:sdt>
        <w:sdtPr>
          <w:tag w:val="goog_rdk_17"/>
          <w:id w:val="-1485001194"/>
          <w:showingPlcHdr/>
        </w:sdtPr>
        <w:sdtEndPr/>
        <w:sdtContent>
          <w:r w:rsidR="005974EA">
            <w:t xml:space="preserve">     </w:t>
          </w:r>
        </w:sdtContent>
      </w:sdt>
    </w:p>
    <w:p w14:paraId="39FF9E55" w14:textId="77777777" w:rsidR="006E359D" w:rsidRDefault="009B1D28">
      <w:pPr>
        <w:pStyle w:val="Nadpis5"/>
        <w:spacing w:before="240" w:after="80" w:line="276" w:lineRule="auto"/>
        <w:jc w:val="both"/>
        <w:rPr>
          <w:rFonts w:ascii="Arial" w:eastAsia="Arial" w:hAnsi="Arial" w:cs="Arial"/>
          <w:b w:val="0"/>
        </w:rPr>
      </w:pPr>
      <w:bookmarkStart w:id="26" w:name="_heading=h.fo0td8qjy2w5" w:colFirst="0" w:colLast="0"/>
      <w:bookmarkEnd w:id="26"/>
      <w:r>
        <w:rPr>
          <w:rFonts w:ascii="Arial" w:eastAsia="Arial" w:hAnsi="Arial" w:cs="Arial"/>
          <w:b w:val="0"/>
        </w:rPr>
        <w:t>Krok K.</w:t>
      </w:r>
    </w:p>
    <w:p w14:paraId="1E6A0124"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První krok této fáze bude obsahovat seznámení se a studium vzorku předchozích sociálně-inovačních projektů. Předpokládáme, že toto bude realizováno analýzou výstupů, evaluací a dalších relevantních dat vzorku projektů, které dodá Zadavatel. Analýza se bude soustředit na podobné aspekty, které jsou obsaženy ve Fázi 1. avšak ve zjednodušené formě. Výsledkem bude přehled poučení o typu projektů, ‘ideální struktury’ jejich CBA, dostupnosti dat a možnostech jejich sběru v reálných podmínkách.</w:t>
      </w:r>
    </w:p>
    <w:p w14:paraId="63BA88E2" w14:textId="77777777" w:rsidR="006E359D" w:rsidRDefault="006E359D">
      <w:pPr>
        <w:spacing w:line="276" w:lineRule="auto"/>
        <w:jc w:val="both"/>
        <w:rPr>
          <w:rFonts w:ascii="Arial" w:eastAsia="Arial" w:hAnsi="Arial" w:cs="Arial"/>
          <w:sz w:val="22"/>
          <w:szCs w:val="22"/>
        </w:rPr>
      </w:pPr>
    </w:p>
    <w:p w14:paraId="062238E5"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Toto bude potom vhodné doplnit o poznání alespoň základních východisek pro výzvy v budoucím programovém období. Výsledkem bude sestavení typologie očekávaných projektů podle hlavních parametrů (oblast, cílová skupina, typ a rozsah intervence, </w:t>
      </w:r>
      <w:proofErr w:type="gramStart"/>
      <w:r>
        <w:rPr>
          <w:rFonts w:ascii="Arial" w:eastAsia="Arial" w:hAnsi="Arial" w:cs="Arial"/>
          <w:sz w:val="22"/>
          <w:szCs w:val="22"/>
        </w:rPr>
        <w:t>trvání,</w:t>
      </w:r>
      <w:proofErr w:type="gramEnd"/>
      <w:r>
        <w:rPr>
          <w:rFonts w:ascii="Arial" w:eastAsia="Arial" w:hAnsi="Arial" w:cs="Arial"/>
          <w:sz w:val="22"/>
          <w:szCs w:val="22"/>
        </w:rPr>
        <w:t xml:space="preserve"> atd.).</w:t>
      </w:r>
    </w:p>
    <w:p w14:paraId="69ED6728" w14:textId="77777777" w:rsidR="006E359D" w:rsidRDefault="009B1D28">
      <w:pPr>
        <w:pStyle w:val="Nadpis5"/>
        <w:spacing w:before="240" w:after="80" w:line="276" w:lineRule="auto"/>
        <w:jc w:val="both"/>
        <w:rPr>
          <w:rFonts w:ascii="Arial" w:eastAsia="Arial" w:hAnsi="Arial" w:cs="Arial"/>
          <w:b w:val="0"/>
        </w:rPr>
      </w:pPr>
      <w:bookmarkStart w:id="27" w:name="_heading=h.7a43domkxpbq" w:colFirst="0" w:colLast="0"/>
      <w:bookmarkEnd w:id="27"/>
      <w:r>
        <w:rPr>
          <w:rFonts w:ascii="Arial" w:eastAsia="Arial" w:hAnsi="Arial" w:cs="Arial"/>
          <w:b w:val="0"/>
        </w:rPr>
        <w:t>Krok L.</w:t>
      </w:r>
    </w:p>
    <w:p w14:paraId="539B4BB0" w14:textId="77777777" w:rsidR="006E359D" w:rsidRDefault="009B1D28">
      <w:pPr>
        <w:spacing w:line="276" w:lineRule="auto"/>
        <w:jc w:val="both"/>
        <w:rPr>
          <w:rFonts w:ascii="Arial" w:eastAsia="Arial" w:hAnsi="Arial" w:cs="Arial"/>
          <w:i/>
          <w:sz w:val="22"/>
          <w:szCs w:val="22"/>
        </w:rPr>
      </w:pPr>
      <w:r>
        <w:rPr>
          <w:rFonts w:ascii="Arial" w:eastAsia="Arial" w:hAnsi="Arial" w:cs="Arial"/>
          <w:sz w:val="22"/>
          <w:szCs w:val="22"/>
        </w:rPr>
        <w:t>V posledním kroku bude připraven samotný Praktický manuál, který by měl odpovídat na 5 hlavních otázek:</w:t>
      </w:r>
    </w:p>
    <w:p w14:paraId="07B376D5" w14:textId="77777777" w:rsidR="006E359D" w:rsidRDefault="009B1D28">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Které typy projektů jsou vhodné pro realizaci ‘CBA v plném rozsahu’?</w:t>
      </w:r>
    </w:p>
    <w:p w14:paraId="0AE27F55" w14:textId="77777777" w:rsidR="006E359D" w:rsidRDefault="009B1D28">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Jaké minimální parametry je potřeba stanovit při specifikaci/schvalování takových projektů?</w:t>
      </w:r>
    </w:p>
    <w:p w14:paraId="2E3B8AF7" w14:textId="77777777" w:rsidR="006E359D" w:rsidRDefault="009B1D28">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Jak postupovat při přípravě/kontrole CBA u takových projektů?</w:t>
      </w:r>
    </w:p>
    <w:p w14:paraId="3D4EEA37" w14:textId="77777777" w:rsidR="006E359D" w:rsidRDefault="009B1D28">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Jak odhadovat změnu dopadů při škálování takových projektů?</w:t>
      </w:r>
    </w:p>
    <w:p w14:paraId="177C1A92" w14:textId="77777777" w:rsidR="006E359D" w:rsidRDefault="009B1D28">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Jaké jsou vhodné struktury a procesy pro úspěšné škálování?</w:t>
      </w:r>
    </w:p>
    <w:p w14:paraId="0F141DAC"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Očekáváme, že v průběhu realizace projektu tuto sadu otázek případně rozšíříme a dále přesněji vyspecifikujeme podle potřeb Zadavatele.</w:t>
      </w:r>
    </w:p>
    <w:p w14:paraId="11C2FFAB" w14:textId="77777777" w:rsidR="006E359D" w:rsidRDefault="006E359D">
      <w:pPr>
        <w:spacing w:line="276" w:lineRule="auto"/>
        <w:jc w:val="both"/>
        <w:rPr>
          <w:rFonts w:ascii="Arial" w:eastAsia="Arial" w:hAnsi="Arial" w:cs="Arial"/>
          <w:i/>
          <w:sz w:val="22"/>
          <w:szCs w:val="22"/>
        </w:rPr>
      </w:pPr>
    </w:p>
    <w:p w14:paraId="00D6EEBC"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lastRenderedPageBreak/>
        <w:t>Tento Praktický manuál jde nad rámec současných veřejně dostupných metodických materiálů týkajících se evaluací projektů sociálních inovací (především “Evaluační plán inovačního projektu: pokyny a metodiky k vytvoření evaluačního plánu inovačního projektu” z roku 2015), který se problematice této zakázky (a tím i manuálu navrhovanému v tomto kroku) věnuje jen okrajově. Ve světle potřeb Zadavatele v oblasti evaluace projektů sociálních inovací, které jsou patrné ze zadávací dokumentace této zakázky, může tento manuál sloužit i jako podklad k aktualizaci a rozšíření existujících metodických dokumentů, popř. jeden ze vstupů pro tvorbu obdobného dokumentu pro období 2021-2027. Výsledkem může být např zohlednění potřeby provedení CBA v metodických doporučeních pro tvorbu evaluačního plánu; podobně mohou metodická doporučení pro příjemce pomoci pokrýt potřebu MPSV lépe rozumět očekávaným specifikům škálování daného inovačního projektu.</w:t>
      </w:r>
    </w:p>
    <w:p w14:paraId="50914AD5" w14:textId="77777777" w:rsidR="006E359D" w:rsidRDefault="006E359D">
      <w:pPr>
        <w:spacing w:line="276" w:lineRule="auto"/>
        <w:jc w:val="both"/>
        <w:rPr>
          <w:rFonts w:ascii="Arial" w:eastAsia="Arial" w:hAnsi="Arial" w:cs="Arial"/>
          <w:sz w:val="22"/>
          <w:szCs w:val="22"/>
        </w:rPr>
      </w:pPr>
    </w:p>
    <w:p w14:paraId="70F0B17B"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Výsledný Praktický manuál bude obsahovat návod, který bude sloužit internímu týmu Zadavatele před, během i po skončení projektu. Dále očekáváme, že poznatky v manuálu mohou být využity ke tvorbě zadávací dokumentace, podmínek, specifikací smluv a podobných dokumentů směrem k příjemcům.</w:t>
      </w:r>
    </w:p>
    <w:p w14:paraId="5CD5BAC3" w14:textId="77777777" w:rsidR="006E359D" w:rsidRDefault="006E359D">
      <w:pPr>
        <w:spacing w:line="276" w:lineRule="auto"/>
        <w:jc w:val="both"/>
        <w:rPr>
          <w:rFonts w:ascii="Arial" w:eastAsia="Arial" w:hAnsi="Arial" w:cs="Arial"/>
          <w:sz w:val="22"/>
          <w:szCs w:val="22"/>
        </w:rPr>
      </w:pPr>
    </w:p>
    <w:p w14:paraId="0E6AA714"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Specificky se budeme věnovat problematice škálování. Praktický manuál poskytne rámec pro uvažování o faktorech, které mají vliv na efektivitu škálování (tj. změnu nákladů a přínosů mezi fázemi inovativního projektu a širší/plošné implementace). Na základě vědecké a šedé literatury (viz výše u kroku J) bude také zpracován návrh na další šíření předmětných inovací s využitím výsledků CBA pro další komunikaci a </w:t>
      </w:r>
      <w:proofErr w:type="spellStart"/>
      <w:r>
        <w:rPr>
          <w:rFonts w:ascii="Arial" w:eastAsia="Arial" w:hAnsi="Arial" w:cs="Arial"/>
          <w:sz w:val="22"/>
          <w:szCs w:val="22"/>
        </w:rPr>
        <w:t>advocacy</w:t>
      </w:r>
      <w:proofErr w:type="spellEnd"/>
      <w:r>
        <w:rPr>
          <w:rFonts w:ascii="Arial" w:eastAsia="Arial" w:hAnsi="Arial" w:cs="Arial"/>
          <w:sz w:val="22"/>
          <w:szCs w:val="22"/>
        </w:rPr>
        <w:t>. Zaměříme se na možnost využití výstupů CBA zejména pro návrh vhodného modelu pro škálování (</w:t>
      </w:r>
      <w:proofErr w:type="spellStart"/>
      <w:r>
        <w:rPr>
          <w:rFonts w:ascii="Arial" w:eastAsia="Arial" w:hAnsi="Arial" w:cs="Arial"/>
          <w:sz w:val="22"/>
          <w:szCs w:val="22"/>
        </w:rPr>
        <w:t>Choosing</w:t>
      </w:r>
      <w:proofErr w:type="spellEnd"/>
      <w:r>
        <w:rPr>
          <w:rFonts w:ascii="Arial" w:eastAsia="Arial" w:hAnsi="Arial" w:cs="Arial"/>
          <w:sz w:val="22"/>
          <w:szCs w:val="22"/>
        </w:rPr>
        <w:t xml:space="preserve"> a </w:t>
      </w:r>
      <w:proofErr w:type="spellStart"/>
      <w:r>
        <w:rPr>
          <w:rFonts w:ascii="Arial" w:eastAsia="Arial" w:hAnsi="Arial" w:cs="Arial"/>
          <w:sz w:val="22"/>
          <w:szCs w:val="22"/>
        </w:rPr>
        <w:t>route</w:t>
      </w:r>
      <w:proofErr w:type="spellEnd"/>
      <w:r>
        <w:rPr>
          <w:rFonts w:ascii="Arial" w:eastAsia="Arial" w:hAnsi="Arial" w:cs="Arial"/>
          <w:sz w:val="22"/>
          <w:szCs w:val="22"/>
        </w:rPr>
        <w:t xml:space="preserve"> to </w:t>
      </w:r>
      <w:proofErr w:type="spellStart"/>
      <w:r>
        <w:rPr>
          <w:rFonts w:ascii="Arial" w:eastAsia="Arial" w:hAnsi="Arial" w:cs="Arial"/>
          <w:sz w:val="22"/>
          <w:szCs w:val="22"/>
        </w:rPr>
        <w:t>scale</w:t>
      </w:r>
      <w:proofErr w:type="spellEnd"/>
      <w:r>
        <w:rPr>
          <w:rFonts w:ascii="Arial" w:eastAsia="Arial" w:hAnsi="Arial" w:cs="Arial"/>
          <w:sz w:val="22"/>
          <w:szCs w:val="22"/>
        </w:rPr>
        <w:t xml:space="preserve">) a jeho </w:t>
      </w:r>
      <w:proofErr w:type="spellStart"/>
      <w:r>
        <w:rPr>
          <w:rFonts w:ascii="Arial" w:eastAsia="Arial" w:hAnsi="Arial" w:cs="Arial"/>
          <w:sz w:val="22"/>
          <w:szCs w:val="22"/>
        </w:rPr>
        <w:t>akcelaraci</w:t>
      </w:r>
      <w:proofErr w:type="spellEnd"/>
      <w:r>
        <w:rPr>
          <w:rFonts w:ascii="Arial" w:eastAsia="Arial" w:hAnsi="Arial" w:cs="Arial"/>
          <w:sz w:val="22"/>
          <w:szCs w:val="22"/>
        </w:rPr>
        <w:t xml:space="preserve"> (</w:t>
      </w:r>
      <w:proofErr w:type="spellStart"/>
      <w:r>
        <w:rPr>
          <w:rFonts w:ascii="Arial" w:eastAsia="Arial" w:hAnsi="Arial" w:cs="Arial"/>
          <w:sz w:val="22"/>
          <w:szCs w:val="22"/>
        </w:rPr>
        <w:t>Gearing</w:t>
      </w:r>
      <w:proofErr w:type="spellEnd"/>
      <w:r>
        <w:rPr>
          <w:rFonts w:ascii="Arial" w:eastAsia="Arial" w:hAnsi="Arial" w:cs="Arial"/>
          <w:sz w:val="22"/>
          <w:szCs w:val="22"/>
        </w:rPr>
        <w:t xml:space="preserve"> up to </w:t>
      </w:r>
      <w:proofErr w:type="spellStart"/>
      <w:r>
        <w:rPr>
          <w:rFonts w:ascii="Arial" w:eastAsia="Arial" w:hAnsi="Arial" w:cs="Arial"/>
          <w:sz w:val="22"/>
          <w:szCs w:val="22"/>
        </w:rPr>
        <w:t>deliver</w:t>
      </w:r>
      <w:proofErr w:type="spellEnd"/>
      <w:r>
        <w:rPr>
          <w:rFonts w:ascii="Arial" w:eastAsia="Arial" w:hAnsi="Arial" w:cs="Arial"/>
          <w:sz w:val="22"/>
          <w:szCs w:val="22"/>
        </w:rPr>
        <w:t xml:space="preserve"> a </w:t>
      </w:r>
      <w:proofErr w:type="spellStart"/>
      <w:r>
        <w:rPr>
          <w:rFonts w:ascii="Arial" w:eastAsia="Arial" w:hAnsi="Arial" w:cs="Arial"/>
          <w:sz w:val="22"/>
          <w:szCs w:val="22"/>
        </w:rPr>
        <w:t>scaling</w:t>
      </w:r>
      <w:proofErr w:type="spellEnd"/>
      <w:r>
        <w:rPr>
          <w:rFonts w:ascii="Arial" w:eastAsia="Arial" w:hAnsi="Arial" w:cs="Arial"/>
          <w:sz w:val="22"/>
          <w:szCs w:val="22"/>
        </w:rPr>
        <w:t xml:space="preserve"> </w:t>
      </w:r>
      <w:proofErr w:type="spellStart"/>
      <w:r>
        <w:rPr>
          <w:rFonts w:ascii="Arial" w:eastAsia="Arial" w:hAnsi="Arial" w:cs="Arial"/>
          <w:sz w:val="22"/>
          <w:szCs w:val="22"/>
        </w:rPr>
        <w:t>strategy</w:t>
      </w:r>
      <w:proofErr w:type="spellEnd"/>
      <w:r>
        <w:rPr>
          <w:rFonts w:ascii="Arial" w:eastAsia="Arial" w:hAnsi="Arial" w:cs="Arial"/>
          <w:sz w:val="22"/>
          <w:szCs w:val="22"/>
        </w:rPr>
        <w:t>).</w:t>
      </w:r>
    </w:p>
    <w:p w14:paraId="2C9874BF" w14:textId="77777777" w:rsidR="006E359D" w:rsidRDefault="006E359D">
      <w:pPr>
        <w:spacing w:line="276" w:lineRule="auto"/>
        <w:jc w:val="both"/>
        <w:rPr>
          <w:rFonts w:ascii="Arial" w:eastAsia="Arial" w:hAnsi="Arial" w:cs="Arial"/>
          <w:sz w:val="22"/>
          <w:szCs w:val="22"/>
        </w:rPr>
      </w:pPr>
    </w:p>
    <w:p w14:paraId="6FC38BFD" w14:textId="3A58EAD0" w:rsidR="006E359D" w:rsidRDefault="009B1D28">
      <w:pPr>
        <w:spacing w:line="276" w:lineRule="auto"/>
        <w:jc w:val="both"/>
        <w:rPr>
          <w:rFonts w:ascii="Arial" w:eastAsia="Arial" w:hAnsi="Arial" w:cs="Arial"/>
          <w:sz w:val="22"/>
          <w:szCs w:val="22"/>
        </w:rPr>
      </w:pPr>
      <w:r>
        <w:rPr>
          <w:rFonts w:ascii="Arial" w:eastAsia="Arial" w:hAnsi="Arial" w:cs="Arial"/>
          <w:sz w:val="22"/>
          <w:szCs w:val="22"/>
        </w:rPr>
        <w:t>Po skončení Fáze 3 budou tedy připraveny výstupy VII. Závěrečná zpráva – návrh a také VIII. Závěrečná zpráva – finální verze.</w:t>
      </w:r>
      <w:sdt>
        <w:sdtPr>
          <w:tag w:val="goog_rdk_18"/>
          <w:id w:val="-732007241"/>
          <w:showingPlcHdr/>
        </w:sdtPr>
        <w:sdtEndPr/>
        <w:sdtContent>
          <w:r w:rsidR="005974EA">
            <w:t xml:space="preserve">     </w:t>
          </w:r>
        </w:sdtContent>
      </w:sdt>
      <w:r>
        <w:rPr>
          <w:rFonts w:ascii="Arial" w:eastAsia="Arial" w:hAnsi="Arial" w:cs="Arial"/>
          <w:sz w:val="22"/>
          <w:szCs w:val="22"/>
        </w:rPr>
        <w:t xml:space="preserve">Závěrečná zpráva bude zejména obsahovat obsahové a procesní poznatky z realizace analýzy a detailně popsané důvody a překážky, které vedly k případnému omezenému rozsahu zpracování výzkumných cílů. </w:t>
      </w:r>
    </w:p>
    <w:p w14:paraId="3BDE697D" w14:textId="77777777" w:rsidR="006E359D" w:rsidRDefault="006E359D">
      <w:pPr>
        <w:spacing w:line="276" w:lineRule="auto"/>
        <w:jc w:val="both"/>
        <w:rPr>
          <w:rFonts w:ascii="Arial" w:eastAsia="Arial" w:hAnsi="Arial" w:cs="Arial"/>
          <w:sz w:val="22"/>
          <w:szCs w:val="22"/>
        </w:rPr>
      </w:pPr>
    </w:p>
    <w:p w14:paraId="5E81AE8F"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Zároveň tato zpráva bude obsahovat zobecnění a poučení pro další projekty, která adresují výzkumný cíl 3. Tato část bude dále rozvedena samostatném výstupu IX: ‘Praktický manuál pro zajištění předpokladů realizace CBA a škálování sociálně-inovačních projektů’. Jeho formát bude dohodnut se Zadavatelem v průběhu projektu tak, aby co nejvíce vyhovoval potřebám Zadavatele s ohledem na budoucí využití těchto poznatků při plánování, specifikaci a rozhodování o budoucích projektech, přípravě jejich CBA a také odhadování dopadu při jejich škálování. </w:t>
      </w:r>
    </w:p>
    <w:p w14:paraId="30128F19" w14:textId="77777777" w:rsidR="006E359D" w:rsidRDefault="006E359D">
      <w:pPr>
        <w:spacing w:line="276" w:lineRule="auto"/>
        <w:jc w:val="both"/>
        <w:rPr>
          <w:rFonts w:ascii="Arial" w:eastAsia="Arial" w:hAnsi="Arial" w:cs="Arial"/>
          <w:sz w:val="22"/>
          <w:szCs w:val="22"/>
        </w:rPr>
      </w:pPr>
    </w:p>
    <w:p w14:paraId="5308822E" w14:textId="77777777" w:rsidR="006E359D" w:rsidRDefault="006A7875">
      <w:pPr>
        <w:spacing w:line="276" w:lineRule="auto"/>
        <w:jc w:val="both"/>
        <w:rPr>
          <w:rFonts w:ascii="Arial" w:eastAsia="Arial" w:hAnsi="Arial" w:cs="Arial"/>
          <w:sz w:val="22"/>
          <w:szCs w:val="22"/>
        </w:rPr>
      </w:pPr>
      <w:r>
        <w:pict w14:anchorId="2A982975">
          <v:rect id="_x0000_i1025" style="width:0;height:1.5pt" o:hralign="center" o:hrstd="t" o:hr="t" fillcolor="#a0a0a0" stroked="f"/>
        </w:pict>
      </w:r>
    </w:p>
    <w:p w14:paraId="0876FF39" w14:textId="77777777" w:rsidR="006E359D" w:rsidRDefault="009B1D28">
      <w:pPr>
        <w:pStyle w:val="Nadpis4"/>
        <w:keepLines/>
        <w:spacing w:before="280" w:after="80" w:line="276" w:lineRule="auto"/>
        <w:jc w:val="both"/>
        <w:rPr>
          <w:rFonts w:ascii="Arial" w:eastAsia="Arial" w:hAnsi="Arial" w:cs="Arial"/>
          <w:i w:val="0"/>
        </w:rPr>
      </w:pPr>
      <w:bookmarkStart w:id="28" w:name="_heading=h.m01vgbm35ra0" w:colFirst="0" w:colLast="0"/>
      <w:bookmarkEnd w:id="28"/>
      <w:r>
        <w:rPr>
          <w:rFonts w:ascii="Arial" w:eastAsia="Arial" w:hAnsi="Arial" w:cs="Arial"/>
          <w:i w:val="0"/>
        </w:rPr>
        <w:t>Principy naší práce</w:t>
      </w:r>
    </w:p>
    <w:p w14:paraId="5829DF62"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Výše popsaný Návrh strategie zpracování analýzy poskytuje jen velmi hrubý popis reálného postupu v projektu. Naším cílem není jen formálně naplnit požadavky vyplývající smlouvy, ale dodat Zadavateli co nejvíce hodnotný, smysluplný a prakticky použitelný výstup, který bude přímo sloužit v běžné praxi. Jsme tedy připraveni flexibilně reagovat na průběžná zjištění a podle potřeb upravit a rozšířit navrhovaný postup. </w:t>
      </w:r>
    </w:p>
    <w:p w14:paraId="596B9CD9" w14:textId="77777777" w:rsidR="006E359D" w:rsidRDefault="006E359D">
      <w:pPr>
        <w:spacing w:line="276" w:lineRule="auto"/>
        <w:jc w:val="both"/>
        <w:rPr>
          <w:rFonts w:ascii="Arial" w:eastAsia="Arial" w:hAnsi="Arial" w:cs="Arial"/>
          <w:sz w:val="22"/>
          <w:szCs w:val="22"/>
        </w:rPr>
      </w:pPr>
    </w:p>
    <w:p w14:paraId="106D2067"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Dále považujeme za velmi vhodnou úzkou spolupráci se Zadavatelem v průběhu celého projektu. Toto je nezbytný předpoklad pro skutečně kvalitní výsledek projektu a také pro plný transfer know-how, které by mělo být dále </w:t>
      </w:r>
      <w:proofErr w:type="spellStart"/>
      <w:r>
        <w:rPr>
          <w:rFonts w:ascii="Arial" w:eastAsia="Arial" w:hAnsi="Arial" w:cs="Arial"/>
          <w:sz w:val="22"/>
          <w:szCs w:val="22"/>
        </w:rPr>
        <w:t>využiváno</w:t>
      </w:r>
      <w:proofErr w:type="spellEnd"/>
      <w:r>
        <w:rPr>
          <w:rFonts w:ascii="Arial" w:eastAsia="Arial" w:hAnsi="Arial" w:cs="Arial"/>
          <w:sz w:val="22"/>
          <w:szCs w:val="22"/>
        </w:rPr>
        <w:t>.</w:t>
      </w:r>
    </w:p>
    <w:p w14:paraId="4580D4A7" w14:textId="77777777" w:rsidR="006E359D" w:rsidRDefault="006E359D">
      <w:pPr>
        <w:spacing w:line="276" w:lineRule="auto"/>
        <w:jc w:val="both"/>
        <w:rPr>
          <w:rFonts w:ascii="Arial" w:eastAsia="Arial" w:hAnsi="Arial" w:cs="Arial"/>
          <w:sz w:val="22"/>
          <w:szCs w:val="22"/>
        </w:rPr>
      </w:pPr>
    </w:p>
    <w:p w14:paraId="7A6ADE36"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Jedním z pilířů naší práce je využití rozsáhlých dosavadních zkušeností a znalostí. Počítáme tedy s tím, že v průběhu řešení projektu budeme využívat vlastní rozsáhlý Průvodce analýzou nákladů a přínosů - ‘Manuál CBA’</w:t>
      </w:r>
      <w:r>
        <w:rPr>
          <w:rFonts w:ascii="Arial" w:eastAsia="Arial" w:hAnsi="Arial" w:cs="Arial"/>
          <w:sz w:val="22"/>
          <w:szCs w:val="22"/>
          <w:vertAlign w:val="superscript"/>
        </w:rPr>
        <w:footnoteReference w:id="2"/>
      </w:r>
      <w:r>
        <w:rPr>
          <w:rFonts w:ascii="Arial" w:eastAsia="Arial" w:hAnsi="Arial" w:cs="Arial"/>
          <w:sz w:val="22"/>
          <w:szCs w:val="22"/>
        </w:rPr>
        <w:t xml:space="preserve"> a další vlastní metodické materiály. Dále využijeme extenzivní know-how nad rámec tohoto Průvodce, kterou jsme nashromáždili během jeho tvorby, studie dalších obdobných metodik a naší rozsáhlé relevantní práce.</w:t>
      </w:r>
    </w:p>
    <w:p w14:paraId="70DBABC2" w14:textId="77777777" w:rsidR="006E359D" w:rsidRDefault="006E359D">
      <w:pPr>
        <w:spacing w:line="276" w:lineRule="auto"/>
        <w:jc w:val="both"/>
        <w:rPr>
          <w:rFonts w:ascii="Arial" w:eastAsia="Arial" w:hAnsi="Arial" w:cs="Arial"/>
          <w:sz w:val="22"/>
          <w:szCs w:val="22"/>
        </w:rPr>
      </w:pPr>
    </w:p>
    <w:p w14:paraId="36593247"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 xml:space="preserve">Při realizaci analýzy počítáme se zapojením prověřených členů interního týmu se zkušenostmi s postupy kvantitativních analýz z podobných výzkumných úkolů. Dále plánujeme využít spřízněné domácí i </w:t>
      </w:r>
      <w:proofErr w:type="spellStart"/>
      <w:r>
        <w:rPr>
          <w:rFonts w:ascii="Arial" w:eastAsia="Arial" w:hAnsi="Arial" w:cs="Arial"/>
          <w:sz w:val="22"/>
          <w:szCs w:val="22"/>
        </w:rPr>
        <w:t>zahrnaniční</w:t>
      </w:r>
      <w:proofErr w:type="spellEnd"/>
      <w:r>
        <w:rPr>
          <w:rFonts w:ascii="Arial" w:eastAsia="Arial" w:hAnsi="Arial" w:cs="Arial"/>
          <w:sz w:val="22"/>
          <w:szCs w:val="22"/>
        </w:rPr>
        <w:t xml:space="preserve"> experty, kteří mají vhodnou zkušenost z tvorby CBA v obdobných tématech a kteří s námi spolupracovali již v minulosti.</w:t>
      </w:r>
    </w:p>
    <w:p w14:paraId="16EAB0ED" w14:textId="77777777" w:rsidR="006E359D" w:rsidRDefault="006E359D">
      <w:pPr>
        <w:spacing w:line="276" w:lineRule="auto"/>
        <w:jc w:val="both"/>
        <w:rPr>
          <w:rFonts w:ascii="Arial" w:eastAsia="Arial" w:hAnsi="Arial" w:cs="Arial"/>
          <w:sz w:val="22"/>
          <w:szCs w:val="22"/>
        </w:rPr>
      </w:pPr>
    </w:p>
    <w:p w14:paraId="4492337D" w14:textId="77777777" w:rsidR="006E359D" w:rsidRDefault="009B1D28">
      <w:pPr>
        <w:spacing w:line="276" w:lineRule="auto"/>
        <w:jc w:val="both"/>
        <w:rPr>
          <w:rFonts w:ascii="Arial" w:eastAsia="Arial" w:hAnsi="Arial" w:cs="Arial"/>
          <w:sz w:val="22"/>
          <w:szCs w:val="22"/>
        </w:rPr>
      </w:pPr>
      <w:r>
        <w:rPr>
          <w:rFonts w:ascii="Arial" w:eastAsia="Arial" w:hAnsi="Arial" w:cs="Arial"/>
          <w:sz w:val="22"/>
          <w:szCs w:val="22"/>
        </w:rPr>
        <w:t>Věříme, že právě tyto principy naší spolupráce mohou Zadavateli doručit kvalitní a užitečný výstup.</w:t>
      </w:r>
    </w:p>
    <w:p w14:paraId="37CE0F83" w14:textId="77777777" w:rsidR="006E359D" w:rsidRDefault="006E359D">
      <w:pPr>
        <w:spacing w:line="276" w:lineRule="auto"/>
        <w:rPr>
          <w:rFonts w:ascii="Arial" w:eastAsia="Arial" w:hAnsi="Arial" w:cs="Arial"/>
          <w:sz w:val="20"/>
          <w:szCs w:val="20"/>
        </w:rPr>
      </w:pPr>
    </w:p>
    <w:p w14:paraId="7735EAE7" w14:textId="77777777" w:rsidR="009B1D28" w:rsidRDefault="009B1D28">
      <w:pPr>
        <w:spacing w:line="276" w:lineRule="auto"/>
        <w:rPr>
          <w:rFonts w:ascii="Arial" w:eastAsia="Arial" w:hAnsi="Arial" w:cs="Arial"/>
          <w:sz w:val="20"/>
          <w:szCs w:val="20"/>
        </w:rPr>
      </w:pPr>
    </w:p>
    <w:p w14:paraId="6A81A9B5" w14:textId="77777777" w:rsidR="009B1D28" w:rsidRDefault="009B1D28">
      <w:pPr>
        <w:spacing w:line="276" w:lineRule="auto"/>
        <w:rPr>
          <w:rFonts w:ascii="Arial" w:eastAsia="Arial" w:hAnsi="Arial" w:cs="Arial"/>
          <w:sz w:val="20"/>
          <w:szCs w:val="20"/>
        </w:rPr>
      </w:pPr>
    </w:p>
    <w:p w14:paraId="0B588675" w14:textId="77777777" w:rsidR="009B1D28" w:rsidRDefault="009B1D28">
      <w:pPr>
        <w:spacing w:line="276" w:lineRule="auto"/>
        <w:rPr>
          <w:rFonts w:ascii="Arial" w:eastAsia="Arial" w:hAnsi="Arial" w:cs="Arial"/>
          <w:sz w:val="20"/>
          <w:szCs w:val="20"/>
        </w:rPr>
      </w:pPr>
    </w:p>
    <w:p w14:paraId="5E2AFA16" w14:textId="77777777" w:rsidR="009B1D28" w:rsidRDefault="009B1D28">
      <w:pPr>
        <w:spacing w:line="276" w:lineRule="auto"/>
        <w:rPr>
          <w:rFonts w:ascii="Arial" w:eastAsia="Arial" w:hAnsi="Arial" w:cs="Arial"/>
          <w:sz w:val="20"/>
          <w:szCs w:val="20"/>
        </w:rPr>
      </w:pPr>
    </w:p>
    <w:p w14:paraId="31C9180D" w14:textId="0034F6D9" w:rsidR="009B1D28" w:rsidRDefault="009B1D28">
      <w:pPr>
        <w:spacing w:line="276" w:lineRule="auto"/>
        <w:rPr>
          <w:rFonts w:ascii="Arial" w:eastAsia="Arial" w:hAnsi="Arial" w:cs="Arial"/>
          <w:sz w:val="20"/>
          <w:szCs w:val="20"/>
        </w:rPr>
      </w:pPr>
    </w:p>
    <w:p w14:paraId="0AEE88AD" w14:textId="7BFDFDE8" w:rsidR="005974EA" w:rsidRDefault="005974EA">
      <w:pPr>
        <w:spacing w:line="276" w:lineRule="auto"/>
        <w:rPr>
          <w:rFonts w:ascii="Arial" w:eastAsia="Arial" w:hAnsi="Arial" w:cs="Arial"/>
          <w:sz w:val="20"/>
          <w:szCs w:val="20"/>
        </w:rPr>
      </w:pPr>
    </w:p>
    <w:p w14:paraId="5A02AA2D" w14:textId="33476979" w:rsidR="005974EA" w:rsidRDefault="005974EA">
      <w:pPr>
        <w:spacing w:line="276" w:lineRule="auto"/>
        <w:rPr>
          <w:rFonts w:ascii="Arial" w:eastAsia="Arial" w:hAnsi="Arial" w:cs="Arial"/>
          <w:sz w:val="20"/>
          <w:szCs w:val="20"/>
        </w:rPr>
      </w:pPr>
    </w:p>
    <w:p w14:paraId="55A61ABA" w14:textId="605C2E41" w:rsidR="005974EA" w:rsidRDefault="005974EA">
      <w:pPr>
        <w:spacing w:line="276" w:lineRule="auto"/>
        <w:rPr>
          <w:rFonts w:ascii="Arial" w:eastAsia="Arial" w:hAnsi="Arial" w:cs="Arial"/>
          <w:sz w:val="20"/>
          <w:szCs w:val="20"/>
        </w:rPr>
      </w:pPr>
    </w:p>
    <w:p w14:paraId="4B6767E7" w14:textId="5909DF29" w:rsidR="005974EA" w:rsidRDefault="005974EA">
      <w:pPr>
        <w:spacing w:line="276" w:lineRule="auto"/>
        <w:rPr>
          <w:rFonts w:ascii="Arial" w:eastAsia="Arial" w:hAnsi="Arial" w:cs="Arial"/>
          <w:sz w:val="20"/>
          <w:szCs w:val="20"/>
        </w:rPr>
      </w:pPr>
    </w:p>
    <w:p w14:paraId="6AC3045B" w14:textId="568AF671" w:rsidR="005974EA" w:rsidRDefault="005974EA">
      <w:pPr>
        <w:spacing w:line="276" w:lineRule="auto"/>
        <w:rPr>
          <w:rFonts w:ascii="Arial" w:eastAsia="Arial" w:hAnsi="Arial" w:cs="Arial"/>
          <w:sz w:val="20"/>
          <w:szCs w:val="20"/>
        </w:rPr>
      </w:pPr>
    </w:p>
    <w:p w14:paraId="2C1D2FA8" w14:textId="76BA1B5E" w:rsidR="005974EA" w:rsidRDefault="005974EA">
      <w:pPr>
        <w:spacing w:line="276" w:lineRule="auto"/>
        <w:rPr>
          <w:rFonts w:ascii="Arial" w:eastAsia="Arial" w:hAnsi="Arial" w:cs="Arial"/>
          <w:sz w:val="20"/>
          <w:szCs w:val="20"/>
        </w:rPr>
      </w:pPr>
    </w:p>
    <w:p w14:paraId="5CB8CF18" w14:textId="38EDC5ED" w:rsidR="005974EA" w:rsidRDefault="005974EA">
      <w:pPr>
        <w:spacing w:line="276" w:lineRule="auto"/>
        <w:rPr>
          <w:rFonts w:ascii="Arial" w:eastAsia="Arial" w:hAnsi="Arial" w:cs="Arial"/>
          <w:sz w:val="20"/>
          <w:szCs w:val="20"/>
        </w:rPr>
      </w:pPr>
    </w:p>
    <w:p w14:paraId="14CEF8C1" w14:textId="77777777" w:rsidR="005974EA" w:rsidRDefault="005974EA">
      <w:pPr>
        <w:spacing w:line="276" w:lineRule="auto"/>
        <w:rPr>
          <w:rFonts w:ascii="Arial" w:eastAsia="Arial" w:hAnsi="Arial" w:cs="Arial"/>
          <w:sz w:val="20"/>
          <w:szCs w:val="20"/>
        </w:rPr>
      </w:pPr>
    </w:p>
    <w:p w14:paraId="0AAC8072" w14:textId="77777777" w:rsidR="009B1D28" w:rsidRDefault="009B1D28">
      <w:pPr>
        <w:spacing w:line="276" w:lineRule="auto"/>
        <w:rPr>
          <w:rFonts w:ascii="Arial" w:eastAsia="Arial" w:hAnsi="Arial" w:cs="Arial"/>
          <w:sz w:val="20"/>
          <w:szCs w:val="20"/>
        </w:rPr>
      </w:pPr>
    </w:p>
    <w:p w14:paraId="16C8411A" w14:textId="77777777" w:rsidR="009B1D28" w:rsidRDefault="009B1D28">
      <w:pPr>
        <w:spacing w:line="276" w:lineRule="auto"/>
        <w:rPr>
          <w:rFonts w:ascii="Arial" w:eastAsia="Arial" w:hAnsi="Arial" w:cs="Arial"/>
          <w:sz w:val="20"/>
          <w:szCs w:val="20"/>
        </w:rPr>
      </w:pPr>
    </w:p>
    <w:p w14:paraId="1B7631F4" w14:textId="77777777" w:rsidR="009B1D28" w:rsidRDefault="009B1D28">
      <w:pPr>
        <w:spacing w:line="276" w:lineRule="auto"/>
        <w:rPr>
          <w:rFonts w:ascii="Arial" w:eastAsia="Arial" w:hAnsi="Arial" w:cs="Arial"/>
          <w:sz w:val="20"/>
          <w:szCs w:val="20"/>
        </w:rPr>
      </w:pPr>
    </w:p>
    <w:p w14:paraId="20671743" w14:textId="77777777" w:rsidR="009B1D28" w:rsidRDefault="009B1D28">
      <w:pPr>
        <w:spacing w:line="276" w:lineRule="auto"/>
        <w:rPr>
          <w:rFonts w:ascii="Arial" w:eastAsia="Arial" w:hAnsi="Arial" w:cs="Arial"/>
          <w:sz w:val="20"/>
          <w:szCs w:val="20"/>
        </w:rPr>
      </w:pPr>
    </w:p>
    <w:p w14:paraId="2DF432F8" w14:textId="77777777" w:rsidR="009B1D28" w:rsidRDefault="009B1D28">
      <w:pPr>
        <w:spacing w:line="276" w:lineRule="auto"/>
        <w:rPr>
          <w:rFonts w:ascii="Arial" w:eastAsia="Arial" w:hAnsi="Arial" w:cs="Arial"/>
          <w:sz w:val="20"/>
          <w:szCs w:val="20"/>
        </w:rPr>
      </w:pPr>
    </w:p>
    <w:p w14:paraId="0C540E77" w14:textId="77777777" w:rsidR="009B1D28" w:rsidRDefault="009B1D28">
      <w:pPr>
        <w:spacing w:line="276" w:lineRule="auto"/>
        <w:rPr>
          <w:rFonts w:ascii="Arial" w:eastAsia="Arial" w:hAnsi="Arial" w:cs="Arial"/>
          <w:sz w:val="20"/>
          <w:szCs w:val="20"/>
        </w:rPr>
      </w:pPr>
    </w:p>
    <w:p w14:paraId="0FBBB1D1" w14:textId="77777777" w:rsidR="009B1D28" w:rsidRDefault="009B1D28">
      <w:pPr>
        <w:spacing w:line="276" w:lineRule="auto"/>
        <w:rPr>
          <w:rFonts w:ascii="Arial" w:eastAsia="Arial" w:hAnsi="Arial" w:cs="Arial"/>
          <w:sz w:val="20"/>
          <w:szCs w:val="20"/>
        </w:rPr>
      </w:pPr>
    </w:p>
    <w:p w14:paraId="2EA15673" w14:textId="77777777" w:rsidR="009B1D28" w:rsidRDefault="009B1D28">
      <w:pPr>
        <w:spacing w:line="276" w:lineRule="auto"/>
        <w:rPr>
          <w:rFonts w:ascii="Arial" w:eastAsia="Arial" w:hAnsi="Arial" w:cs="Arial"/>
          <w:sz w:val="20"/>
          <w:szCs w:val="20"/>
        </w:rPr>
      </w:pPr>
    </w:p>
    <w:p w14:paraId="7E7E441A" w14:textId="77777777" w:rsidR="009B1D28" w:rsidRDefault="009B1D28">
      <w:pPr>
        <w:spacing w:line="276" w:lineRule="auto"/>
        <w:rPr>
          <w:rFonts w:ascii="Arial" w:eastAsia="Arial" w:hAnsi="Arial" w:cs="Arial"/>
          <w:sz w:val="20"/>
          <w:szCs w:val="20"/>
        </w:rPr>
      </w:pPr>
    </w:p>
    <w:p w14:paraId="4D07A0D7" w14:textId="77777777" w:rsidR="009B1D28" w:rsidRDefault="009B1D28">
      <w:pPr>
        <w:spacing w:line="276" w:lineRule="auto"/>
        <w:rPr>
          <w:rFonts w:ascii="Arial" w:eastAsia="Arial" w:hAnsi="Arial" w:cs="Arial"/>
          <w:sz w:val="20"/>
          <w:szCs w:val="20"/>
        </w:rPr>
      </w:pPr>
    </w:p>
    <w:p w14:paraId="38B23AA3" w14:textId="77777777" w:rsidR="009B1D28" w:rsidRDefault="009B1D28">
      <w:pPr>
        <w:spacing w:line="276" w:lineRule="auto"/>
        <w:rPr>
          <w:rFonts w:ascii="Arial" w:eastAsia="Arial" w:hAnsi="Arial" w:cs="Arial"/>
          <w:sz w:val="20"/>
          <w:szCs w:val="20"/>
        </w:rPr>
      </w:pPr>
    </w:p>
    <w:p w14:paraId="28805396" w14:textId="77777777" w:rsidR="009B1D28" w:rsidRDefault="009B1D28">
      <w:pPr>
        <w:spacing w:line="276" w:lineRule="auto"/>
        <w:rPr>
          <w:rFonts w:ascii="Arial" w:eastAsia="Arial" w:hAnsi="Arial" w:cs="Arial"/>
          <w:sz w:val="20"/>
          <w:szCs w:val="20"/>
        </w:rPr>
      </w:pPr>
    </w:p>
    <w:p w14:paraId="5E136932" w14:textId="77777777" w:rsidR="009B1D28" w:rsidRDefault="009B1D28">
      <w:pPr>
        <w:spacing w:line="276" w:lineRule="auto"/>
        <w:rPr>
          <w:rFonts w:ascii="Arial" w:eastAsia="Arial" w:hAnsi="Arial" w:cs="Arial"/>
          <w:sz w:val="20"/>
          <w:szCs w:val="20"/>
        </w:rPr>
      </w:pPr>
    </w:p>
    <w:p w14:paraId="29B79CD9" w14:textId="77777777" w:rsidR="009B1D28" w:rsidRDefault="009B1D28">
      <w:pPr>
        <w:spacing w:line="276" w:lineRule="auto"/>
        <w:rPr>
          <w:rFonts w:ascii="Arial" w:eastAsia="Arial" w:hAnsi="Arial" w:cs="Arial"/>
          <w:sz w:val="20"/>
          <w:szCs w:val="20"/>
        </w:rPr>
      </w:pPr>
    </w:p>
    <w:p w14:paraId="04090A13" w14:textId="77777777" w:rsidR="009B1D28" w:rsidRDefault="009B1D28">
      <w:pPr>
        <w:spacing w:line="276" w:lineRule="auto"/>
        <w:rPr>
          <w:rFonts w:ascii="Arial" w:eastAsia="Arial" w:hAnsi="Arial" w:cs="Arial"/>
          <w:sz w:val="20"/>
          <w:szCs w:val="20"/>
        </w:rPr>
      </w:pPr>
    </w:p>
    <w:p w14:paraId="69D43B30" w14:textId="77777777" w:rsidR="006E359D" w:rsidRDefault="006E359D">
      <w:pPr>
        <w:spacing w:line="276" w:lineRule="auto"/>
        <w:rPr>
          <w:rFonts w:ascii="Arial" w:eastAsia="Arial" w:hAnsi="Arial" w:cs="Arial"/>
          <w:sz w:val="20"/>
          <w:szCs w:val="20"/>
        </w:rPr>
      </w:pPr>
    </w:p>
    <w:p w14:paraId="0DEF9ACC" w14:textId="77777777" w:rsidR="006E359D" w:rsidRDefault="006A7875">
      <w:pPr>
        <w:pBdr>
          <w:top w:val="single" w:sz="4" w:space="1" w:color="000000"/>
          <w:left w:val="single" w:sz="4" w:space="4" w:color="000000"/>
          <w:bottom w:val="single" w:sz="4" w:space="1" w:color="000000"/>
          <w:right w:val="single" w:sz="4" w:space="4" w:color="000000"/>
        </w:pBdr>
        <w:shd w:val="clear" w:color="auto" w:fill="BFBFBF"/>
        <w:jc w:val="center"/>
        <w:rPr>
          <w:rFonts w:ascii="Arial" w:eastAsia="Arial" w:hAnsi="Arial" w:cs="Arial"/>
          <w:sz w:val="28"/>
          <w:szCs w:val="28"/>
        </w:rPr>
      </w:pPr>
      <w:sdt>
        <w:sdtPr>
          <w:tag w:val="goog_rdk_19"/>
          <w:id w:val="74171029"/>
        </w:sdtPr>
        <w:sdtEndPr/>
        <w:sdtContent/>
      </w:sdt>
      <w:sdt>
        <w:sdtPr>
          <w:tag w:val="goog_rdk_20"/>
          <w:id w:val="985820072"/>
        </w:sdtPr>
        <w:sdtEndPr/>
        <w:sdtContent/>
      </w:sdt>
      <w:r w:rsidR="009B1D28">
        <w:rPr>
          <w:rFonts w:ascii="Arial" w:eastAsia="Arial" w:hAnsi="Arial" w:cs="Arial"/>
          <w:sz w:val="28"/>
          <w:szCs w:val="28"/>
        </w:rPr>
        <w:t xml:space="preserve">Příloha č. 4: Realizační </w:t>
      </w:r>
      <w:proofErr w:type="gramStart"/>
      <w:r w:rsidR="009B1D28">
        <w:rPr>
          <w:rFonts w:ascii="Arial" w:eastAsia="Arial" w:hAnsi="Arial" w:cs="Arial"/>
          <w:sz w:val="28"/>
          <w:szCs w:val="28"/>
        </w:rPr>
        <w:t>tým - jmenný</w:t>
      </w:r>
      <w:proofErr w:type="gramEnd"/>
      <w:r w:rsidR="009B1D28">
        <w:rPr>
          <w:rFonts w:ascii="Arial" w:eastAsia="Arial" w:hAnsi="Arial" w:cs="Arial"/>
          <w:sz w:val="28"/>
          <w:szCs w:val="28"/>
        </w:rPr>
        <w:t xml:space="preserve"> seznam osob</w:t>
      </w:r>
    </w:p>
    <w:p w14:paraId="3C124F57" w14:textId="77777777" w:rsidR="006E359D" w:rsidRDefault="006E359D">
      <w:pPr>
        <w:spacing w:before="60" w:line="259" w:lineRule="auto"/>
        <w:jc w:val="both"/>
        <w:rPr>
          <w:rFonts w:ascii="Arial" w:eastAsia="Arial" w:hAnsi="Arial" w:cs="Arial"/>
          <w:b/>
          <w:sz w:val="20"/>
          <w:szCs w:val="20"/>
        </w:rPr>
      </w:pPr>
    </w:p>
    <w:p w14:paraId="40074FF8" w14:textId="5FFBD814" w:rsidR="006E359D" w:rsidRDefault="006A7875">
      <w:pPr>
        <w:spacing w:before="60" w:line="259" w:lineRule="auto"/>
        <w:jc w:val="both"/>
        <w:rPr>
          <w:rFonts w:ascii="Arial" w:eastAsia="Arial" w:hAnsi="Arial" w:cs="Arial"/>
          <w:color w:val="FF0000"/>
          <w:sz w:val="20"/>
          <w:szCs w:val="20"/>
        </w:rPr>
      </w:pPr>
      <w:r w:rsidRPr="006A7875">
        <w:rPr>
          <w:rFonts w:ascii="Arial" w:eastAsia="Arial" w:hAnsi="Arial" w:cs="Arial"/>
          <w:i/>
          <w:iCs/>
          <w:sz w:val="20"/>
          <w:szCs w:val="20"/>
        </w:rPr>
        <w:t>neveřejný údaj</w:t>
      </w:r>
    </w:p>
    <w:p w14:paraId="7393B80E" w14:textId="77777777" w:rsidR="009B1D28" w:rsidRDefault="009B1D28">
      <w:pPr>
        <w:spacing w:before="60" w:line="259" w:lineRule="auto"/>
        <w:jc w:val="both"/>
        <w:rPr>
          <w:rFonts w:ascii="Arial" w:eastAsia="Arial" w:hAnsi="Arial" w:cs="Arial"/>
          <w:color w:val="FF0000"/>
          <w:sz w:val="20"/>
          <w:szCs w:val="20"/>
        </w:rPr>
      </w:pPr>
    </w:p>
    <w:p w14:paraId="0508DE8F" w14:textId="77777777" w:rsidR="009B1D28" w:rsidRDefault="009B1D28">
      <w:pPr>
        <w:spacing w:before="60" w:line="259" w:lineRule="auto"/>
        <w:jc w:val="both"/>
        <w:rPr>
          <w:rFonts w:ascii="Arial" w:eastAsia="Arial" w:hAnsi="Arial" w:cs="Arial"/>
          <w:color w:val="FF0000"/>
          <w:sz w:val="20"/>
          <w:szCs w:val="20"/>
        </w:rPr>
      </w:pPr>
    </w:p>
    <w:p w14:paraId="404ED5F6" w14:textId="77777777" w:rsidR="009B1D28" w:rsidRDefault="009B1D28">
      <w:pPr>
        <w:spacing w:before="60" w:line="259" w:lineRule="auto"/>
        <w:jc w:val="both"/>
        <w:rPr>
          <w:rFonts w:ascii="Arial" w:eastAsia="Arial" w:hAnsi="Arial" w:cs="Arial"/>
          <w:color w:val="FF0000"/>
          <w:sz w:val="20"/>
          <w:szCs w:val="20"/>
        </w:rPr>
      </w:pPr>
    </w:p>
    <w:p w14:paraId="2B73192F" w14:textId="77777777" w:rsidR="009B1D28" w:rsidRDefault="009B1D28">
      <w:pPr>
        <w:spacing w:before="60" w:line="259" w:lineRule="auto"/>
        <w:jc w:val="both"/>
        <w:rPr>
          <w:rFonts w:ascii="Arial" w:eastAsia="Arial" w:hAnsi="Arial" w:cs="Arial"/>
          <w:color w:val="FF0000"/>
          <w:sz w:val="20"/>
          <w:szCs w:val="20"/>
        </w:rPr>
      </w:pPr>
    </w:p>
    <w:p w14:paraId="7999D93E" w14:textId="77777777" w:rsidR="009B1D28" w:rsidRDefault="009B1D28">
      <w:pPr>
        <w:spacing w:before="60" w:line="259" w:lineRule="auto"/>
        <w:jc w:val="both"/>
        <w:rPr>
          <w:rFonts w:ascii="Arial" w:eastAsia="Arial" w:hAnsi="Arial" w:cs="Arial"/>
          <w:color w:val="FF0000"/>
          <w:sz w:val="20"/>
          <w:szCs w:val="20"/>
        </w:rPr>
      </w:pPr>
    </w:p>
    <w:p w14:paraId="1E301011" w14:textId="77777777" w:rsidR="009B1D28" w:rsidRDefault="009B1D28">
      <w:pPr>
        <w:spacing w:before="60" w:line="259" w:lineRule="auto"/>
        <w:jc w:val="both"/>
        <w:rPr>
          <w:rFonts w:ascii="Arial" w:eastAsia="Arial" w:hAnsi="Arial" w:cs="Arial"/>
          <w:color w:val="FF0000"/>
          <w:sz w:val="20"/>
          <w:szCs w:val="20"/>
        </w:rPr>
      </w:pPr>
    </w:p>
    <w:p w14:paraId="34E52F6C" w14:textId="77777777" w:rsidR="009B1D28" w:rsidRDefault="009B1D28">
      <w:pPr>
        <w:spacing w:before="60" w:line="259" w:lineRule="auto"/>
        <w:jc w:val="both"/>
        <w:rPr>
          <w:rFonts w:ascii="Arial" w:eastAsia="Arial" w:hAnsi="Arial" w:cs="Arial"/>
          <w:color w:val="FF0000"/>
          <w:sz w:val="20"/>
          <w:szCs w:val="20"/>
        </w:rPr>
      </w:pPr>
    </w:p>
    <w:p w14:paraId="57591481" w14:textId="77777777" w:rsidR="009B1D28" w:rsidRDefault="009B1D28">
      <w:pPr>
        <w:spacing w:before="60" w:line="259" w:lineRule="auto"/>
        <w:jc w:val="both"/>
        <w:rPr>
          <w:rFonts w:ascii="Arial" w:eastAsia="Arial" w:hAnsi="Arial" w:cs="Arial"/>
          <w:color w:val="FF0000"/>
          <w:sz w:val="20"/>
          <w:szCs w:val="20"/>
        </w:rPr>
      </w:pPr>
    </w:p>
    <w:p w14:paraId="0F7483A4" w14:textId="77777777" w:rsidR="009B1D28" w:rsidRDefault="009B1D28">
      <w:pPr>
        <w:spacing w:before="60" w:line="259" w:lineRule="auto"/>
        <w:jc w:val="both"/>
        <w:rPr>
          <w:rFonts w:ascii="Arial" w:eastAsia="Arial" w:hAnsi="Arial" w:cs="Arial"/>
          <w:color w:val="FF0000"/>
          <w:sz w:val="20"/>
          <w:szCs w:val="20"/>
        </w:rPr>
      </w:pPr>
    </w:p>
    <w:p w14:paraId="03EAD7D7" w14:textId="77777777" w:rsidR="009B1D28" w:rsidRDefault="009B1D28">
      <w:pPr>
        <w:spacing w:before="60" w:line="259" w:lineRule="auto"/>
        <w:jc w:val="both"/>
        <w:rPr>
          <w:rFonts w:ascii="Arial" w:eastAsia="Arial" w:hAnsi="Arial" w:cs="Arial"/>
          <w:color w:val="FF0000"/>
          <w:sz w:val="20"/>
          <w:szCs w:val="20"/>
        </w:rPr>
      </w:pPr>
    </w:p>
    <w:p w14:paraId="6366FB7D" w14:textId="77777777" w:rsidR="009B1D28" w:rsidRDefault="009B1D28">
      <w:pPr>
        <w:spacing w:before="60" w:line="259" w:lineRule="auto"/>
        <w:jc w:val="both"/>
        <w:rPr>
          <w:rFonts w:ascii="Arial" w:eastAsia="Arial" w:hAnsi="Arial" w:cs="Arial"/>
          <w:color w:val="FF0000"/>
          <w:sz w:val="20"/>
          <w:szCs w:val="20"/>
        </w:rPr>
      </w:pPr>
    </w:p>
    <w:p w14:paraId="00CAE6F2" w14:textId="77777777" w:rsidR="009B1D28" w:rsidRDefault="009B1D28">
      <w:pPr>
        <w:spacing w:before="60" w:line="259" w:lineRule="auto"/>
        <w:jc w:val="both"/>
        <w:rPr>
          <w:rFonts w:ascii="Arial" w:eastAsia="Arial" w:hAnsi="Arial" w:cs="Arial"/>
          <w:color w:val="FF0000"/>
          <w:sz w:val="20"/>
          <w:szCs w:val="20"/>
        </w:rPr>
      </w:pPr>
    </w:p>
    <w:p w14:paraId="030A810C" w14:textId="77777777" w:rsidR="009B1D28" w:rsidRDefault="009B1D28">
      <w:pPr>
        <w:spacing w:before="60" w:line="259" w:lineRule="auto"/>
        <w:jc w:val="both"/>
        <w:rPr>
          <w:rFonts w:ascii="Arial" w:eastAsia="Arial" w:hAnsi="Arial" w:cs="Arial"/>
          <w:color w:val="FF0000"/>
          <w:sz w:val="20"/>
          <w:szCs w:val="20"/>
        </w:rPr>
      </w:pPr>
    </w:p>
    <w:p w14:paraId="45056681" w14:textId="77777777" w:rsidR="009B1D28" w:rsidRDefault="009B1D28">
      <w:pPr>
        <w:spacing w:before="60" w:line="259" w:lineRule="auto"/>
        <w:jc w:val="both"/>
        <w:rPr>
          <w:rFonts w:ascii="Arial" w:eastAsia="Arial" w:hAnsi="Arial" w:cs="Arial"/>
          <w:color w:val="FF0000"/>
          <w:sz w:val="20"/>
          <w:szCs w:val="20"/>
        </w:rPr>
      </w:pPr>
    </w:p>
    <w:p w14:paraId="7B3A2A3A" w14:textId="77777777" w:rsidR="009B1D28" w:rsidRDefault="009B1D28">
      <w:pPr>
        <w:spacing w:before="60" w:line="259" w:lineRule="auto"/>
        <w:jc w:val="both"/>
        <w:rPr>
          <w:rFonts w:ascii="Arial" w:eastAsia="Arial" w:hAnsi="Arial" w:cs="Arial"/>
          <w:color w:val="FF0000"/>
          <w:sz w:val="20"/>
          <w:szCs w:val="20"/>
        </w:rPr>
      </w:pPr>
    </w:p>
    <w:p w14:paraId="0172EFFB" w14:textId="77777777" w:rsidR="009B1D28" w:rsidRDefault="009B1D28">
      <w:pPr>
        <w:spacing w:before="60" w:line="259" w:lineRule="auto"/>
        <w:jc w:val="both"/>
        <w:rPr>
          <w:rFonts w:ascii="Arial" w:eastAsia="Arial" w:hAnsi="Arial" w:cs="Arial"/>
          <w:color w:val="FF0000"/>
          <w:sz w:val="20"/>
          <w:szCs w:val="20"/>
        </w:rPr>
      </w:pPr>
    </w:p>
    <w:p w14:paraId="316D1BDE" w14:textId="77777777" w:rsidR="009B1D28" w:rsidRDefault="009B1D28">
      <w:pPr>
        <w:spacing w:before="60" w:line="259" w:lineRule="auto"/>
        <w:jc w:val="both"/>
        <w:rPr>
          <w:rFonts w:ascii="Arial" w:eastAsia="Arial" w:hAnsi="Arial" w:cs="Arial"/>
          <w:color w:val="FF0000"/>
          <w:sz w:val="20"/>
          <w:szCs w:val="20"/>
        </w:rPr>
      </w:pPr>
    </w:p>
    <w:p w14:paraId="41D2E985" w14:textId="77777777" w:rsidR="009B1D28" w:rsidRDefault="009B1D28">
      <w:pPr>
        <w:spacing w:before="60" w:line="259" w:lineRule="auto"/>
        <w:jc w:val="both"/>
        <w:rPr>
          <w:rFonts w:ascii="Arial" w:eastAsia="Arial" w:hAnsi="Arial" w:cs="Arial"/>
          <w:color w:val="FF0000"/>
          <w:sz w:val="20"/>
          <w:szCs w:val="20"/>
        </w:rPr>
      </w:pPr>
    </w:p>
    <w:p w14:paraId="53555870" w14:textId="77777777" w:rsidR="009B1D28" w:rsidRDefault="009B1D28">
      <w:pPr>
        <w:spacing w:before="60" w:line="259" w:lineRule="auto"/>
        <w:jc w:val="both"/>
        <w:rPr>
          <w:rFonts w:ascii="Arial" w:eastAsia="Arial" w:hAnsi="Arial" w:cs="Arial"/>
          <w:color w:val="FF0000"/>
          <w:sz w:val="20"/>
          <w:szCs w:val="20"/>
        </w:rPr>
      </w:pPr>
    </w:p>
    <w:p w14:paraId="0C2E9D01" w14:textId="77777777" w:rsidR="009B1D28" w:rsidRDefault="009B1D28">
      <w:pPr>
        <w:spacing w:before="60" w:line="259" w:lineRule="auto"/>
        <w:jc w:val="both"/>
        <w:rPr>
          <w:rFonts w:ascii="Arial" w:eastAsia="Arial" w:hAnsi="Arial" w:cs="Arial"/>
          <w:color w:val="FF0000"/>
          <w:sz w:val="20"/>
          <w:szCs w:val="20"/>
        </w:rPr>
      </w:pPr>
    </w:p>
    <w:p w14:paraId="7349DA72" w14:textId="77777777" w:rsidR="009B1D28" w:rsidRDefault="009B1D28">
      <w:pPr>
        <w:spacing w:before="60" w:line="259" w:lineRule="auto"/>
        <w:jc w:val="both"/>
        <w:rPr>
          <w:rFonts w:ascii="Arial" w:eastAsia="Arial" w:hAnsi="Arial" w:cs="Arial"/>
          <w:color w:val="FF0000"/>
          <w:sz w:val="20"/>
          <w:szCs w:val="20"/>
        </w:rPr>
      </w:pPr>
    </w:p>
    <w:p w14:paraId="734E3242" w14:textId="77777777" w:rsidR="009B1D28" w:rsidRDefault="009B1D28">
      <w:pPr>
        <w:spacing w:before="60" w:line="259" w:lineRule="auto"/>
        <w:jc w:val="both"/>
        <w:rPr>
          <w:rFonts w:ascii="Arial" w:eastAsia="Arial" w:hAnsi="Arial" w:cs="Arial"/>
          <w:color w:val="FF0000"/>
          <w:sz w:val="20"/>
          <w:szCs w:val="20"/>
        </w:rPr>
      </w:pPr>
    </w:p>
    <w:p w14:paraId="19EB0F15" w14:textId="77777777" w:rsidR="009B1D28" w:rsidRDefault="009B1D28">
      <w:pPr>
        <w:spacing w:before="60" w:line="259" w:lineRule="auto"/>
        <w:jc w:val="both"/>
        <w:rPr>
          <w:rFonts w:ascii="Arial" w:eastAsia="Arial" w:hAnsi="Arial" w:cs="Arial"/>
          <w:color w:val="FF0000"/>
          <w:sz w:val="20"/>
          <w:szCs w:val="20"/>
        </w:rPr>
      </w:pPr>
    </w:p>
    <w:p w14:paraId="69AE4AE7" w14:textId="77777777" w:rsidR="009B1D28" w:rsidRDefault="009B1D28">
      <w:pPr>
        <w:spacing w:before="60" w:line="259" w:lineRule="auto"/>
        <w:jc w:val="both"/>
        <w:rPr>
          <w:rFonts w:ascii="Arial" w:eastAsia="Arial" w:hAnsi="Arial" w:cs="Arial"/>
          <w:color w:val="FF0000"/>
          <w:sz w:val="20"/>
          <w:szCs w:val="20"/>
        </w:rPr>
      </w:pPr>
    </w:p>
    <w:p w14:paraId="5E7C7B8C" w14:textId="77777777" w:rsidR="009B1D28" w:rsidRDefault="009B1D28">
      <w:pPr>
        <w:spacing w:before="60" w:line="259" w:lineRule="auto"/>
        <w:jc w:val="both"/>
        <w:rPr>
          <w:rFonts w:ascii="Arial" w:eastAsia="Arial" w:hAnsi="Arial" w:cs="Arial"/>
          <w:color w:val="FF0000"/>
          <w:sz w:val="20"/>
          <w:szCs w:val="20"/>
        </w:rPr>
      </w:pPr>
    </w:p>
    <w:p w14:paraId="689C9ED2" w14:textId="77777777" w:rsidR="009B1D28" w:rsidRDefault="009B1D28">
      <w:pPr>
        <w:spacing w:before="60" w:line="259" w:lineRule="auto"/>
        <w:jc w:val="both"/>
        <w:rPr>
          <w:rFonts w:ascii="Arial" w:eastAsia="Arial" w:hAnsi="Arial" w:cs="Arial"/>
          <w:color w:val="FF0000"/>
          <w:sz w:val="20"/>
          <w:szCs w:val="20"/>
        </w:rPr>
      </w:pPr>
    </w:p>
    <w:p w14:paraId="5B85CCE2" w14:textId="77777777" w:rsidR="009B1D28" w:rsidRDefault="009B1D28">
      <w:pPr>
        <w:spacing w:before="60" w:line="259" w:lineRule="auto"/>
        <w:jc w:val="both"/>
        <w:rPr>
          <w:rFonts w:ascii="Arial" w:eastAsia="Arial" w:hAnsi="Arial" w:cs="Arial"/>
          <w:color w:val="FF0000"/>
          <w:sz w:val="20"/>
          <w:szCs w:val="20"/>
        </w:rPr>
      </w:pPr>
    </w:p>
    <w:p w14:paraId="3711D7D6" w14:textId="77777777" w:rsidR="009B1D28" w:rsidRDefault="009B1D28">
      <w:pPr>
        <w:spacing w:before="60" w:line="259" w:lineRule="auto"/>
        <w:jc w:val="both"/>
        <w:rPr>
          <w:rFonts w:ascii="Arial" w:eastAsia="Arial" w:hAnsi="Arial" w:cs="Arial"/>
          <w:color w:val="FF0000"/>
          <w:sz w:val="20"/>
          <w:szCs w:val="20"/>
        </w:rPr>
      </w:pPr>
    </w:p>
    <w:p w14:paraId="42920F7F" w14:textId="77777777" w:rsidR="009B1D28" w:rsidRDefault="009B1D28">
      <w:pPr>
        <w:spacing w:before="60" w:line="259" w:lineRule="auto"/>
        <w:jc w:val="both"/>
        <w:rPr>
          <w:rFonts w:ascii="Arial" w:eastAsia="Arial" w:hAnsi="Arial" w:cs="Arial"/>
          <w:color w:val="FF0000"/>
          <w:sz w:val="20"/>
          <w:szCs w:val="20"/>
        </w:rPr>
      </w:pPr>
    </w:p>
    <w:p w14:paraId="78696468" w14:textId="77777777" w:rsidR="009B1D28" w:rsidRDefault="009B1D28">
      <w:pPr>
        <w:spacing w:before="60" w:line="259" w:lineRule="auto"/>
        <w:jc w:val="both"/>
        <w:rPr>
          <w:rFonts w:ascii="Arial" w:eastAsia="Arial" w:hAnsi="Arial" w:cs="Arial"/>
          <w:color w:val="FF0000"/>
          <w:sz w:val="20"/>
          <w:szCs w:val="20"/>
        </w:rPr>
      </w:pPr>
    </w:p>
    <w:p w14:paraId="7E3DF1D9" w14:textId="77777777" w:rsidR="009B1D28" w:rsidRDefault="009B1D28">
      <w:pPr>
        <w:spacing w:before="60" w:line="259" w:lineRule="auto"/>
        <w:jc w:val="both"/>
        <w:rPr>
          <w:rFonts w:ascii="Arial" w:eastAsia="Arial" w:hAnsi="Arial" w:cs="Arial"/>
          <w:color w:val="FF0000"/>
          <w:sz w:val="20"/>
          <w:szCs w:val="20"/>
        </w:rPr>
      </w:pPr>
    </w:p>
    <w:p w14:paraId="29740CA4" w14:textId="77777777" w:rsidR="009B1D28" w:rsidRDefault="009B1D28">
      <w:pPr>
        <w:spacing w:before="60" w:line="259" w:lineRule="auto"/>
        <w:jc w:val="both"/>
        <w:rPr>
          <w:rFonts w:ascii="Arial" w:eastAsia="Arial" w:hAnsi="Arial" w:cs="Arial"/>
          <w:color w:val="FF0000"/>
          <w:sz w:val="20"/>
          <w:szCs w:val="20"/>
        </w:rPr>
      </w:pPr>
    </w:p>
    <w:p w14:paraId="6415BE53" w14:textId="77777777" w:rsidR="009B1D28" w:rsidRDefault="009B1D28">
      <w:pPr>
        <w:spacing w:before="60" w:line="259" w:lineRule="auto"/>
        <w:jc w:val="both"/>
        <w:rPr>
          <w:rFonts w:ascii="Arial" w:eastAsia="Arial" w:hAnsi="Arial" w:cs="Arial"/>
          <w:color w:val="FF0000"/>
          <w:sz w:val="20"/>
          <w:szCs w:val="20"/>
        </w:rPr>
      </w:pPr>
    </w:p>
    <w:p w14:paraId="313372AF" w14:textId="12E5710F" w:rsidR="009B1D28" w:rsidRDefault="009B1D28">
      <w:pPr>
        <w:spacing w:before="60" w:line="259" w:lineRule="auto"/>
        <w:jc w:val="both"/>
        <w:rPr>
          <w:rFonts w:ascii="Arial" w:eastAsia="Arial" w:hAnsi="Arial" w:cs="Arial"/>
          <w:color w:val="FF0000"/>
          <w:sz w:val="20"/>
          <w:szCs w:val="20"/>
        </w:rPr>
      </w:pPr>
    </w:p>
    <w:p w14:paraId="072F174E" w14:textId="349DD06C" w:rsidR="006A7875" w:rsidRDefault="006A7875">
      <w:pPr>
        <w:spacing w:before="60" w:line="259" w:lineRule="auto"/>
        <w:jc w:val="both"/>
        <w:rPr>
          <w:rFonts w:ascii="Arial" w:eastAsia="Arial" w:hAnsi="Arial" w:cs="Arial"/>
          <w:color w:val="FF0000"/>
          <w:sz w:val="20"/>
          <w:szCs w:val="20"/>
        </w:rPr>
      </w:pPr>
    </w:p>
    <w:p w14:paraId="255184D8" w14:textId="4362227E" w:rsidR="006A7875" w:rsidRDefault="006A7875">
      <w:pPr>
        <w:spacing w:before="60" w:line="259" w:lineRule="auto"/>
        <w:jc w:val="both"/>
        <w:rPr>
          <w:rFonts w:ascii="Arial" w:eastAsia="Arial" w:hAnsi="Arial" w:cs="Arial"/>
          <w:color w:val="FF0000"/>
          <w:sz w:val="20"/>
          <w:szCs w:val="20"/>
        </w:rPr>
      </w:pPr>
    </w:p>
    <w:p w14:paraId="26D21551" w14:textId="64887A39" w:rsidR="006A7875" w:rsidRDefault="006A7875">
      <w:pPr>
        <w:spacing w:before="60" w:line="259" w:lineRule="auto"/>
        <w:jc w:val="both"/>
        <w:rPr>
          <w:rFonts w:ascii="Arial" w:eastAsia="Arial" w:hAnsi="Arial" w:cs="Arial"/>
          <w:color w:val="FF0000"/>
          <w:sz w:val="20"/>
          <w:szCs w:val="20"/>
        </w:rPr>
      </w:pPr>
    </w:p>
    <w:p w14:paraId="62C5C694" w14:textId="58600EDB" w:rsidR="006A7875" w:rsidRDefault="006A7875">
      <w:pPr>
        <w:spacing w:before="60" w:line="259" w:lineRule="auto"/>
        <w:jc w:val="both"/>
        <w:rPr>
          <w:rFonts w:ascii="Arial" w:eastAsia="Arial" w:hAnsi="Arial" w:cs="Arial"/>
          <w:color w:val="FF0000"/>
          <w:sz w:val="20"/>
          <w:szCs w:val="20"/>
        </w:rPr>
      </w:pPr>
    </w:p>
    <w:p w14:paraId="7826C165" w14:textId="01D637BB" w:rsidR="006A7875" w:rsidRDefault="006A7875">
      <w:pPr>
        <w:spacing w:before="60" w:line="259" w:lineRule="auto"/>
        <w:jc w:val="both"/>
        <w:rPr>
          <w:rFonts w:ascii="Arial" w:eastAsia="Arial" w:hAnsi="Arial" w:cs="Arial"/>
          <w:color w:val="FF0000"/>
          <w:sz w:val="20"/>
          <w:szCs w:val="20"/>
        </w:rPr>
      </w:pPr>
    </w:p>
    <w:p w14:paraId="1224B41D" w14:textId="251E7257" w:rsidR="006A7875" w:rsidRDefault="006A7875">
      <w:pPr>
        <w:spacing w:before="60" w:line="259" w:lineRule="auto"/>
        <w:jc w:val="both"/>
        <w:rPr>
          <w:rFonts w:ascii="Arial" w:eastAsia="Arial" w:hAnsi="Arial" w:cs="Arial"/>
          <w:color w:val="FF0000"/>
          <w:sz w:val="20"/>
          <w:szCs w:val="20"/>
        </w:rPr>
      </w:pPr>
    </w:p>
    <w:p w14:paraId="1C1527C2" w14:textId="77777777" w:rsidR="006A7875" w:rsidRDefault="006A7875">
      <w:pPr>
        <w:spacing w:before="60" w:line="259" w:lineRule="auto"/>
        <w:jc w:val="both"/>
        <w:rPr>
          <w:rFonts w:ascii="Arial" w:eastAsia="Arial" w:hAnsi="Arial" w:cs="Arial"/>
          <w:color w:val="FF0000"/>
          <w:sz w:val="20"/>
          <w:szCs w:val="20"/>
        </w:rPr>
      </w:pPr>
    </w:p>
    <w:p w14:paraId="1DC37912" w14:textId="77777777" w:rsidR="009B1D28" w:rsidRDefault="009B1D28">
      <w:pPr>
        <w:spacing w:before="60" w:line="259" w:lineRule="auto"/>
        <w:jc w:val="both"/>
        <w:rPr>
          <w:rFonts w:ascii="Arial" w:eastAsia="Arial" w:hAnsi="Arial" w:cs="Arial"/>
          <w:color w:val="FF0000"/>
          <w:sz w:val="20"/>
          <w:szCs w:val="20"/>
        </w:rPr>
      </w:pPr>
    </w:p>
    <w:p w14:paraId="6F0864AE" w14:textId="77777777" w:rsidR="006E359D" w:rsidRDefault="009B1D28">
      <w:pPr>
        <w:pBdr>
          <w:top w:val="single" w:sz="4" w:space="1" w:color="000000"/>
          <w:left w:val="single" w:sz="4" w:space="4" w:color="000000"/>
          <w:bottom w:val="single" w:sz="4" w:space="1" w:color="000000"/>
          <w:right w:val="single" w:sz="4" w:space="4" w:color="000000"/>
        </w:pBdr>
        <w:shd w:val="clear" w:color="auto" w:fill="BFBFBF"/>
        <w:jc w:val="center"/>
        <w:rPr>
          <w:rFonts w:ascii="Arial" w:eastAsia="Arial" w:hAnsi="Arial" w:cs="Arial"/>
          <w:sz w:val="28"/>
          <w:szCs w:val="28"/>
        </w:rPr>
      </w:pPr>
      <w:r>
        <w:rPr>
          <w:rFonts w:ascii="Arial" w:eastAsia="Arial" w:hAnsi="Arial" w:cs="Arial"/>
          <w:sz w:val="28"/>
          <w:szCs w:val="28"/>
        </w:rPr>
        <w:lastRenderedPageBreak/>
        <w:t>Příloha č. 5: Seznam poddodavatelů</w:t>
      </w:r>
    </w:p>
    <w:p w14:paraId="300B4971" w14:textId="77777777" w:rsidR="006E359D" w:rsidRDefault="006E359D">
      <w:pPr>
        <w:jc w:val="center"/>
        <w:rPr>
          <w:rFonts w:ascii="Arial" w:eastAsia="Arial" w:hAnsi="Arial" w:cs="Arial"/>
          <w:sz w:val="20"/>
          <w:szCs w:val="20"/>
        </w:rPr>
      </w:pPr>
    </w:p>
    <w:p w14:paraId="3C0D52FC" w14:textId="77777777" w:rsidR="006E359D" w:rsidRDefault="006E359D">
      <w:pPr>
        <w:rPr>
          <w:rFonts w:ascii="Arial" w:eastAsia="Arial" w:hAnsi="Arial" w:cs="Arial"/>
          <w:sz w:val="20"/>
          <w:szCs w:val="20"/>
        </w:rPr>
      </w:pPr>
    </w:p>
    <w:p w14:paraId="66356CB4" w14:textId="77777777" w:rsidR="006E359D" w:rsidRDefault="009B1D28">
      <w:pPr>
        <w:spacing w:after="200" w:line="276" w:lineRule="auto"/>
        <w:rPr>
          <w:rFonts w:ascii="Arial" w:eastAsia="Arial" w:hAnsi="Arial" w:cs="Arial"/>
          <w:sz w:val="20"/>
          <w:szCs w:val="20"/>
        </w:rPr>
      </w:pPr>
      <w:r>
        <w:rPr>
          <w:rFonts w:ascii="Arial" w:eastAsia="Arial" w:hAnsi="Arial" w:cs="Arial"/>
          <w:sz w:val="20"/>
          <w:szCs w:val="20"/>
        </w:rPr>
        <w:t>Plnění dle této Smlouvy nebude plněno prostřednictvím poddodavatelů.</w:t>
      </w:r>
    </w:p>
    <w:sectPr w:rsidR="006E359D">
      <w:headerReference w:type="even" r:id="rId8"/>
      <w:headerReference w:type="default" r:id="rId9"/>
      <w:footerReference w:type="default" r:id="rId10"/>
      <w:headerReference w:type="first" r:id="rId11"/>
      <w:footerReference w:type="first" r:id="rId12"/>
      <w:pgSz w:w="11906" w:h="16838"/>
      <w:pgMar w:top="1021" w:right="1440" w:bottom="992" w:left="1701" w:header="992"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ADBE1" w14:textId="77777777" w:rsidR="00F07F2A" w:rsidRDefault="009B1D28">
      <w:r>
        <w:separator/>
      </w:r>
    </w:p>
  </w:endnote>
  <w:endnote w:type="continuationSeparator" w:id="0">
    <w:p w14:paraId="750B0D54" w14:textId="77777777" w:rsidR="00F07F2A" w:rsidRDefault="009B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FA8FA" w14:textId="77777777" w:rsidR="006E359D" w:rsidRDefault="009B1D28">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18AF0" w14:textId="77777777" w:rsidR="006E359D" w:rsidRDefault="006E359D">
    <w:pPr>
      <w:pBdr>
        <w:top w:val="nil"/>
        <w:left w:val="nil"/>
        <w:bottom w:val="nil"/>
        <w:right w:val="nil"/>
        <w:between w:val="nil"/>
      </w:pBdr>
      <w:tabs>
        <w:tab w:val="center" w:pos="4536"/>
        <w:tab w:val="right" w:pos="9072"/>
      </w:tabs>
      <w:jc w:val="center"/>
      <w:rPr>
        <w:color w:val="000000"/>
      </w:rPr>
    </w:pPr>
  </w:p>
  <w:p w14:paraId="7C7BEEC1" w14:textId="77777777" w:rsidR="006E359D" w:rsidRDefault="006E359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B2ED8" w14:textId="77777777" w:rsidR="00F07F2A" w:rsidRDefault="009B1D28">
      <w:r>
        <w:separator/>
      </w:r>
    </w:p>
  </w:footnote>
  <w:footnote w:type="continuationSeparator" w:id="0">
    <w:p w14:paraId="4B0246B8" w14:textId="77777777" w:rsidR="00F07F2A" w:rsidRDefault="009B1D28">
      <w:r>
        <w:continuationSeparator/>
      </w:r>
    </w:p>
  </w:footnote>
  <w:footnote w:id="1">
    <w:p w14:paraId="7CDE8105" w14:textId="77777777" w:rsidR="006E359D" w:rsidRDefault="009B1D28">
      <w:pPr>
        <w:rPr>
          <w:rFonts w:ascii="Arial" w:eastAsia="Arial" w:hAnsi="Arial" w:cs="Arial"/>
          <w:sz w:val="20"/>
          <w:szCs w:val="20"/>
        </w:rPr>
      </w:pPr>
      <w:r>
        <w:rPr>
          <w:vertAlign w:val="superscript"/>
        </w:rPr>
        <w:footnoteRef/>
      </w:r>
      <w:r>
        <w:rPr>
          <w:rFonts w:ascii="Arial" w:eastAsia="Arial" w:hAnsi="Arial" w:cs="Arial"/>
          <w:sz w:val="20"/>
          <w:szCs w:val="20"/>
        </w:rPr>
        <w:t xml:space="preserve"> Přehledově viz např. McKenzie, David (2021), “Threats and opportunities in taking promising results to scale: why isn’t going from 64 kids in Jamaica to 67,000 kids in Peru like Amazon.com?” </w:t>
      </w:r>
      <w:r>
        <w:rPr>
          <w:rFonts w:ascii="Arial" w:eastAsia="Arial" w:hAnsi="Arial" w:cs="Arial"/>
          <w:i/>
          <w:sz w:val="20"/>
          <w:szCs w:val="20"/>
        </w:rPr>
        <w:t xml:space="preserve">Development Impact Blog, World Bank. </w:t>
      </w:r>
      <w:r>
        <w:rPr>
          <w:rFonts w:ascii="Arial" w:eastAsia="Arial" w:hAnsi="Arial" w:cs="Arial"/>
          <w:sz w:val="20"/>
          <w:szCs w:val="20"/>
        </w:rPr>
        <w:t xml:space="preserve">1. června 2021, </w:t>
      </w:r>
      <w:hyperlink r:id="rId1">
        <w:r>
          <w:rPr>
            <w:rFonts w:ascii="Arial" w:eastAsia="Arial" w:hAnsi="Arial" w:cs="Arial"/>
            <w:color w:val="1155CC"/>
            <w:sz w:val="20"/>
            <w:szCs w:val="20"/>
            <w:u w:val="single"/>
          </w:rPr>
          <w:t>https://blogs.worldbank.org/impactevaluations/threats-and-opportunities-taking-promising-results-scale-why-isnt-going-64-kids</w:t>
        </w:r>
      </w:hyperlink>
      <w:r>
        <w:rPr>
          <w:rFonts w:ascii="Arial" w:eastAsia="Arial" w:hAnsi="Arial" w:cs="Arial"/>
          <w:sz w:val="20"/>
          <w:szCs w:val="20"/>
        </w:rPr>
        <w:t xml:space="preserve">. Detailnější literatura, především pro využití ve Fázi 3 např. </w:t>
      </w:r>
    </w:p>
    <w:p w14:paraId="7F088DFE" w14:textId="77777777" w:rsidR="006E359D" w:rsidRDefault="009B1D28">
      <w:pPr>
        <w:numPr>
          <w:ilvl w:val="0"/>
          <w:numId w:val="13"/>
        </w:numPr>
        <w:rPr>
          <w:rFonts w:ascii="Arial" w:eastAsia="Arial" w:hAnsi="Arial" w:cs="Arial"/>
          <w:sz w:val="20"/>
          <w:szCs w:val="20"/>
        </w:rPr>
      </w:pPr>
      <w:r>
        <w:rPr>
          <w:rFonts w:ascii="Arial" w:eastAsia="Arial" w:hAnsi="Arial" w:cs="Arial"/>
          <w:sz w:val="20"/>
          <w:szCs w:val="20"/>
        </w:rPr>
        <w:t xml:space="preserve">Al-Ubaydli, O., M. Lee, J. List, C. Mackevicius and D. Suskind (2021). “How Can Experiments Play a Greater Role in Public Policy? 12 Proposals from an Economic Model of Scaling,” </w:t>
      </w:r>
      <w:r>
        <w:rPr>
          <w:rFonts w:ascii="Arial" w:eastAsia="Arial" w:hAnsi="Arial" w:cs="Arial"/>
          <w:sz w:val="20"/>
          <w:szCs w:val="20"/>
          <w:u w:val="single"/>
        </w:rPr>
        <w:t>Behavioral Public Policy</w:t>
      </w:r>
      <w:r>
        <w:rPr>
          <w:rFonts w:ascii="Arial" w:eastAsia="Arial" w:hAnsi="Arial" w:cs="Arial"/>
          <w:sz w:val="20"/>
          <w:szCs w:val="20"/>
        </w:rPr>
        <w:t>.</w:t>
      </w:r>
    </w:p>
    <w:p w14:paraId="063C4489" w14:textId="77777777" w:rsidR="006E359D" w:rsidRDefault="009B1D28">
      <w:pPr>
        <w:numPr>
          <w:ilvl w:val="0"/>
          <w:numId w:val="13"/>
        </w:numPr>
        <w:rPr>
          <w:rFonts w:ascii="Arial" w:eastAsia="Arial" w:hAnsi="Arial" w:cs="Arial"/>
          <w:sz w:val="20"/>
          <w:szCs w:val="20"/>
        </w:rPr>
      </w:pPr>
      <w:r>
        <w:rPr>
          <w:rFonts w:ascii="Arial" w:eastAsia="Arial" w:hAnsi="Arial" w:cs="Arial"/>
          <w:sz w:val="20"/>
          <w:szCs w:val="20"/>
        </w:rPr>
        <w:t xml:space="preserve">Al-Ubaydli, O., M. Lee, J. List and D. Suskind (2021). “The science of using science: A new framework for understanding the threats to scaling evidence-based policies,” in List, J., D. Suskind and L. Supplee (eds) </w:t>
      </w:r>
      <w:r>
        <w:rPr>
          <w:rFonts w:ascii="Arial" w:eastAsia="Arial" w:hAnsi="Arial" w:cs="Arial"/>
          <w:i/>
          <w:sz w:val="20"/>
          <w:szCs w:val="20"/>
        </w:rPr>
        <w:t>The Scale-Up Effect</w:t>
      </w:r>
      <w:r>
        <w:rPr>
          <w:rFonts w:ascii="Arial" w:eastAsia="Arial" w:hAnsi="Arial" w:cs="Arial"/>
          <w:sz w:val="20"/>
          <w:szCs w:val="20"/>
        </w:rPr>
        <w:t>.</w:t>
      </w:r>
    </w:p>
    <w:p w14:paraId="511DE79A" w14:textId="77777777" w:rsidR="006E359D" w:rsidRDefault="009B1D28">
      <w:pPr>
        <w:numPr>
          <w:ilvl w:val="0"/>
          <w:numId w:val="13"/>
        </w:numPr>
        <w:rPr>
          <w:rFonts w:ascii="Arial" w:eastAsia="Arial" w:hAnsi="Arial" w:cs="Arial"/>
          <w:sz w:val="20"/>
          <w:szCs w:val="20"/>
        </w:rPr>
      </w:pPr>
      <w:r>
        <w:rPr>
          <w:rFonts w:ascii="Arial" w:eastAsia="Arial" w:hAnsi="Arial" w:cs="Arial"/>
          <w:sz w:val="20"/>
          <w:szCs w:val="20"/>
        </w:rPr>
        <w:t>Al-Ubaydli, O., J. List, D. LoRe and D. Suskind (2017). “</w:t>
      </w:r>
      <w:hyperlink r:id="rId2">
        <w:r>
          <w:rPr>
            <w:rFonts w:ascii="Arial" w:eastAsia="Arial" w:hAnsi="Arial" w:cs="Arial"/>
            <w:color w:val="1155CC"/>
            <w:sz w:val="20"/>
            <w:szCs w:val="20"/>
            <w:u w:val="single"/>
          </w:rPr>
          <w:t>Scaling for Economists: Lessons from the Non-Adherence Problem in the Medical Literature</w:t>
        </w:r>
      </w:hyperlink>
      <w:r>
        <w:rPr>
          <w:rFonts w:ascii="Arial" w:eastAsia="Arial" w:hAnsi="Arial" w:cs="Arial"/>
          <w:sz w:val="20"/>
          <w:szCs w:val="20"/>
        </w:rPr>
        <w:t xml:space="preserve">,” </w:t>
      </w:r>
      <w:r>
        <w:rPr>
          <w:rFonts w:ascii="Arial" w:eastAsia="Arial" w:hAnsi="Arial" w:cs="Arial"/>
          <w:sz w:val="20"/>
          <w:szCs w:val="20"/>
          <w:u w:val="single"/>
        </w:rPr>
        <w:t>Journal of Economic Perspectives</w:t>
      </w:r>
      <w:r>
        <w:rPr>
          <w:rFonts w:ascii="Arial" w:eastAsia="Arial" w:hAnsi="Arial" w:cs="Arial"/>
          <w:sz w:val="20"/>
          <w:szCs w:val="20"/>
        </w:rPr>
        <w:t>, 31(4).</w:t>
      </w:r>
    </w:p>
    <w:p w14:paraId="034AE2C1" w14:textId="77777777" w:rsidR="006E359D" w:rsidRDefault="009B1D28">
      <w:pPr>
        <w:numPr>
          <w:ilvl w:val="0"/>
          <w:numId w:val="13"/>
        </w:numPr>
        <w:rPr>
          <w:rFonts w:ascii="Arial" w:eastAsia="Arial" w:hAnsi="Arial" w:cs="Arial"/>
          <w:sz w:val="20"/>
          <w:szCs w:val="20"/>
        </w:rPr>
      </w:pPr>
      <w:r>
        <w:rPr>
          <w:rFonts w:ascii="Arial" w:eastAsia="Arial" w:hAnsi="Arial" w:cs="Arial"/>
          <w:sz w:val="20"/>
          <w:szCs w:val="20"/>
        </w:rPr>
        <w:t xml:space="preserve">Z šedé literatury pak Gabriel, Madeleine (2014). Making it big: strategies for scaling social innovations. London: Nesta, </w:t>
      </w:r>
      <w:hyperlink r:id="rId3">
        <w:r>
          <w:rPr>
            <w:rFonts w:ascii="Arial" w:eastAsia="Arial" w:hAnsi="Arial" w:cs="Arial"/>
            <w:color w:val="1155CC"/>
            <w:sz w:val="20"/>
            <w:szCs w:val="20"/>
            <w:u w:val="single"/>
          </w:rPr>
          <w:t>https://media.nesta.org.uk/documents/making_it_big-web.pdf</w:t>
        </w:r>
      </w:hyperlink>
      <w:r>
        <w:rPr>
          <w:rFonts w:ascii="Arial" w:eastAsia="Arial" w:hAnsi="Arial" w:cs="Arial"/>
          <w:sz w:val="20"/>
          <w:szCs w:val="20"/>
        </w:rPr>
        <w:t xml:space="preserve"> </w:t>
      </w:r>
    </w:p>
  </w:footnote>
  <w:footnote w:id="2">
    <w:p w14:paraId="6AE9B77D" w14:textId="77777777" w:rsidR="006E359D" w:rsidRDefault="009B1D28">
      <w:pPr>
        <w:rPr>
          <w:rFonts w:ascii="Arial" w:eastAsia="Arial" w:hAnsi="Arial" w:cs="Arial"/>
          <w:sz w:val="20"/>
          <w:szCs w:val="20"/>
        </w:rPr>
      </w:pPr>
      <w:r>
        <w:rPr>
          <w:vertAlign w:val="superscript"/>
        </w:rPr>
        <w:footnoteRef/>
      </w:r>
      <w:r>
        <w:rPr>
          <w:rFonts w:ascii="Arial" w:eastAsia="Arial" w:hAnsi="Arial" w:cs="Arial"/>
          <w:sz w:val="20"/>
          <w:szCs w:val="20"/>
        </w:rPr>
        <w:t xml:space="preserve"> Zapletalová, L., Rosenberg, Z., &amp; Frűhauf L. (2019). Průvodce analýzou nákladů a přínosů - ‘Manuál CBA’. Praha: České priority. Dostupné z: www.ceskepriority.cz/metodologie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35AF5" w14:textId="77777777" w:rsidR="006E359D" w:rsidRDefault="009B1D28">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0140770E" wp14:editId="2123FE46">
          <wp:extent cx="4536810" cy="769783"/>
          <wp:effectExtent l="0" t="0" r="0" b="0"/>
          <wp:docPr id="17" name="image1.jpg" descr="W:\PUBLICITA\VIZUÁLNÍ_IDENTITA\loga\OPZ+MPSV\logo_OPZ_MPSV_barevne.jpg"/>
          <wp:cNvGraphicFramePr/>
          <a:graphic xmlns:a="http://schemas.openxmlformats.org/drawingml/2006/main">
            <a:graphicData uri="http://schemas.openxmlformats.org/drawingml/2006/picture">
              <pic:pic xmlns:pic="http://schemas.openxmlformats.org/drawingml/2006/picture">
                <pic:nvPicPr>
                  <pic:cNvPr id="0" name="image1.jpg" descr="W:\PUBLICITA\VIZUÁLNÍ_IDENTITA\loga\OPZ+MPSV\logo_OPZ_MPSV_barevne.jpg"/>
                  <pic:cNvPicPr preferRelativeResize="0"/>
                </pic:nvPicPr>
                <pic:blipFill>
                  <a:blip r:embed="rId1"/>
                  <a:srcRect/>
                  <a:stretch>
                    <a:fillRect/>
                  </a:stretch>
                </pic:blipFill>
                <pic:spPr>
                  <a:xfrm>
                    <a:off x="0" y="0"/>
                    <a:ext cx="4536810" cy="769783"/>
                  </a:xfrm>
                  <a:prstGeom prst="rect">
                    <a:avLst/>
                  </a:prstGeom>
                  <a:ln/>
                </pic:spPr>
              </pic:pic>
            </a:graphicData>
          </a:graphic>
        </wp:inline>
      </w:drawing>
    </w:r>
  </w:p>
  <w:p w14:paraId="7BB51B0D" w14:textId="77777777" w:rsidR="006E359D" w:rsidRDefault="006E359D">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9E824" w14:textId="77777777" w:rsidR="006E359D" w:rsidRDefault="009B1D28">
    <w:pPr>
      <w:pBdr>
        <w:top w:val="nil"/>
        <w:left w:val="nil"/>
        <w:bottom w:val="nil"/>
        <w:right w:val="nil"/>
        <w:between w:val="nil"/>
      </w:pBdr>
      <w:tabs>
        <w:tab w:val="center" w:pos="4153"/>
        <w:tab w:val="right" w:pos="8306"/>
      </w:tabs>
      <w:rPr>
        <w:color w:val="000000"/>
      </w:rPr>
    </w:pPr>
    <w:r>
      <w:rPr>
        <w:color w:val="000000"/>
      </w:rPr>
      <w:t xml:space="preserve">                                                   </w:t>
    </w:r>
  </w:p>
  <w:p w14:paraId="3F6B7A2E" w14:textId="77777777" w:rsidR="006E359D" w:rsidRDefault="006E359D">
    <w:pPr>
      <w:tabs>
        <w:tab w:val="center" w:pos="4536"/>
        <w:tab w:val="right" w:pos="9072"/>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6FCD4" w14:textId="77777777" w:rsidR="006E359D" w:rsidRDefault="009B1D28">
    <w:pPr>
      <w:pBdr>
        <w:top w:val="nil"/>
        <w:left w:val="nil"/>
        <w:bottom w:val="nil"/>
        <w:right w:val="nil"/>
        <w:between w:val="nil"/>
      </w:pBdr>
      <w:tabs>
        <w:tab w:val="center" w:pos="4153"/>
        <w:tab w:val="right" w:pos="8306"/>
      </w:tabs>
      <w:rPr>
        <w:color w:val="000000"/>
      </w:rPr>
    </w:pPr>
    <w:r>
      <w:rPr>
        <w:color w:val="000000"/>
      </w:rPr>
      <w:t xml:space="preserve">    </w:t>
    </w: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506DB"/>
    <w:multiLevelType w:val="multilevel"/>
    <w:tmpl w:val="535A2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58429C"/>
    <w:multiLevelType w:val="hybridMultilevel"/>
    <w:tmpl w:val="69E4CCFC"/>
    <w:lvl w:ilvl="0" w:tplc="8496130C">
      <w:start w:val="1"/>
      <w:numFmt w:val="bullet"/>
      <w:lvlText w:val=""/>
      <w:lvlJc w:val="left"/>
      <w:pPr>
        <w:ind w:left="1212"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21B5C28"/>
    <w:multiLevelType w:val="multilevel"/>
    <w:tmpl w:val="8D5A1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4541F5"/>
    <w:multiLevelType w:val="multilevel"/>
    <w:tmpl w:val="2F30CA48"/>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0826575"/>
    <w:multiLevelType w:val="multilevel"/>
    <w:tmpl w:val="07D26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493AB3"/>
    <w:multiLevelType w:val="multilevel"/>
    <w:tmpl w:val="3070B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526878"/>
    <w:multiLevelType w:val="multilevel"/>
    <w:tmpl w:val="0DA02F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7" w15:restartNumberingAfterBreak="0">
    <w:nsid w:val="40123BC2"/>
    <w:multiLevelType w:val="multilevel"/>
    <w:tmpl w:val="83F831CE"/>
    <w:lvl w:ilvl="0">
      <w:start w:val="1"/>
      <w:numFmt w:val="decimal"/>
      <w:lvlText w:val="%1."/>
      <w:lvlJc w:val="left"/>
      <w:pPr>
        <w:ind w:left="360" w:hanging="360"/>
      </w:pPr>
    </w:lvl>
    <w:lvl w:ilvl="1">
      <w:start w:val="1"/>
      <w:numFmt w:val="lowerLetter"/>
      <w:lvlText w:val="%2."/>
      <w:lvlJc w:val="left"/>
      <w:pPr>
        <w:ind w:left="512" w:hanging="360"/>
      </w:pPr>
    </w:lvl>
    <w:lvl w:ilvl="2">
      <w:start w:val="1"/>
      <w:numFmt w:val="lowerRoman"/>
      <w:lvlText w:val="%3."/>
      <w:lvlJc w:val="right"/>
      <w:pPr>
        <w:ind w:left="1232" w:hanging="180"/>
      </w:pPr>
    </w:lvl>
    <w:lvl w:ilvl="3">
      <w:start w:val="1"/>
      <w:numFmt w:val="decimal"/>
      <w:lvlText w:val="%4."/>
      <w:lvlJc w:val="left"/>
      <w:pPr>
        <w:ind w:left="1952" w:hanging="360"/>
      </w:pPr>
    </w:lvl>
    <w:lvl w:ilvl="4">
      <w:start w:val="1"/>
      <w:numFmt w:val="lowerLetter"/>
      <w:lvlText w:val="%5."/>
      <w:lvlJc w:val="left"/>
      <w:pPr>
        <w:ind w:left="2672" w:hanging="360"/>
      </w:pPr>
    </w:lvl>
    <w:lvl w:ilvl="5">
      <w:start w:val="1"/>
      <w:numFmt w:val="lowerRoman"/>
      <w:lvlText w:val="%6."/>
      <w:lvlJc w:val="right"/>
      <w:pPr>
        <w:ind w:left="3392" w:hanging="180"/>
      </w:pPr>
    </w:lvl>
    <w:lvl w:ilvl="6">
      <w:start w:val="1"/>
      <w:numFmt w:val="decimal"/>
      <w:lvlText w:val="%7."/>
      <w:lvlJc w:val="left"/>
      <w:pPr>
        <w:ind w:left="4112" w:hanging="360"/>
      </w:pPr>
    </w:lvl>
    <w:lvl w:ilvl="7">
      <w:start w:val="1"/>
      <w:numFmt w:val="lowerLetter"/>
      <w:lvlText w:val="%8."/>
      <w:lvlJc w:val="left"/>
      <w:pPr>
        <w:ind w:left="4832" w:hanging="360"/>
      </w:pPr>
    </w:lvl>
    <w:lvl w:ilvl="8">
      <w:start w:val="1"/>
      <w:numFmt w:val="lowerRoman"/>
      <w:lvlText w:val="%9."/>
      <w:lvlJc w:val="right"/>
      <w:pPr>
        <w:ind w:left="5552" w:hanging="180"/>
      </w:pPr>
    </w:lvl>
  </w:abstractNum>
  <w:abstractNum w:abstractNumId="8" w15:restartNumberingAfterBreak="0">
    <w:nsid w:val="41C73ADE"/>
    <w:multiLevelType w:val="multilevel"/>
    <w:tmpl w:val="15E8A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F5233B"/>
    <w:multiLevelType w:val="multilevel"/>
    <w:tmpl w:val="6B9EF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785DC1"/>
    <w:multiLevelType w:val="multilevel"/>
    <w:tmpl w:val="E7DA4CF6"/>
    <w:lvl w:ilvl="0">
      <w:start w:val="1"/>
      <w:numFmt w:val="decimal"/>
      <w:lvlText w:val="%1."/>
      <w:lvlJc w:val="left"/>
      <w:pPr>
        <w:ind w:left="360" w:hanging="360"/>
      </w:pPr>
    </w:lvl>
    <w:lvl w:ilvl="1">
      <w:start w:val="1"/>
      <w:numFmt w:val="decimal"/>
      <w:lvlText w:val="%1.%2."/>
      <w:lvlJc w:val="left"/>
      <w:pPr>
        <w:ind w:left="432" w:hanging="432"/>
      </w:pPr>
      <w:rPr>
        <w:b w:val="0"/>
        <w:i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F67EF4"/>
    <w:multiLevelType w:val="multilevel"/>
    <w:tmpl w:val="7772F4A2"/>
    <w:lvl w:ilvl="0">
      <w:start w:val="1"/>
      <w:numFmt w:val="decimal"/>
      <w:lvlText w:val="%1."/>
      <w:lvlJc w:val="left"/>
      <w:pPr>
        <w:ind w:left="720" w:hanging="360"/>
      </w:pPr>
      <w:rPr>
        <w:rFonts w:ascii="Calibri" w:eastAsia="Calibri" w:hAnsi="Calibri" w:cs="Calibr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FB1804"/>
    <w:multiLevelType w:val="multilevel"/>
    <w:tmpl w:val="13BEBC96"/>
    <w:lvl w:ilvl="0">
      <w:start w:val="1"/>
      <w:numFmt w:val="bullet"/>
      <w:lvlText w:val="●"/>
      <w:lvlJc w:val="left"/>
      <w:pPr>
        <w:ind w:left="1152" w:hanging="360"/>
      </w:pPr>
      <w:rPr>
        <w:rFonts w:ascii="Noto Sans Symbols" w:eastAsia="Noto Sans Symbols" w:hAnsi="Noto Sans Symbols" w:cs="Noto Sans Symbols"/>
        <w:color w:val="000000"/>
      </w:rPr>
    </w:lvl>
    <w:lvl w:ilvl="1">
      <w:start w:val="1"/>
      <w:numFmt w:val="bullet"/>
      <w:lvlText w:val="•"/>
      <w:lvlJc w:val="left"/>
      <w:pPr>
        <w:ind w:left="2222" w:hanging="710"/>
      </w:pPr>
      <w:rPr>
        <w:rFonts w:ascii="Arial" w:eastAsia="Arial" w:hAnsi="Arial" w:cs="Arial"/>
        <w:b w:val="0"/>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3" w15:restartNumberingAfterBreak="0">
    <w:nsid w:val="64A27473"/>
    <w:multiLevelType w:val="multilevel"/>
    <w:tmpl w:val="72C6B84A"/>
    <w:lvl w:ilvl="0">
      <w:start w:val="10"/>
      <w:numFmt w:val="decimal"/>
      <w:lvlText w:val="%1."/>
      <w:lvlJc w:val="left"/>
      <w:pPr>
        <w:ind w:left="360" w:hanging="360"/>
      </w:pPr>
    </w:lvl>
    <w:lvl w:ilvl="1">
      <w:start w:val="1"/>
      <w:numFmt w:val="decimal"/>
      <w:lvlText w:val="%1.%2."/>
      <w:lvlJc w:val="left"/>
      <w:pPr>
        <w:ind w:left="1000" w:hanging="432"/>
      </w:pPr>
      <w:rPr>
        <w:b w:val="0"/>
        <w:i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675B5A"/>
    <w:multiLevelType w:val="multilevel"/>
    <w:tmpl w:val="CDA85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B65CC2"/>
    <w:multiLevelType w:val="multilevel"/>
    <w:tmpl w:val="9510EA40"/>
    <w:lvl w:ilvl="0">
      <w:start w:val="1"/>
      <w:numFmt w:val="bullet"/>
      <w:lvlText w:val="●"/>
      <w:lvlJc w:val="left"/>
      <w:pPr>
        <w:ind w:left="1146" w:hanging="360"/>
      </w:pPr>
      <w:rPr>
        <w:rFonts w:ascii="Noto Sans Symbols" w:eastAsia="Noto Sans Symbols" w:hAnsi="Noto Sans Symbols" w:cs="Noto Sans Symbols"/>
      </w:rPr>
    </w:lvl>
    <w:lvl w:ilvl="1">
      <w:start w:val="1"/>
      <w:numFmt w:val="bullet"/>
      <w:pStyle w:val="RLTextlnkuslovan"/>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71674B1D"/>
    <w:multiLevelType w:val="hybridMultilevel"/>
    <w:tmpl w:val="C3F664F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17" w15:restartNumberingAfterBreak="0">
    <w:nsid w:val="7254562D"/>
    <w:multiLevelType w:val="multilevel"/>
    <w:tmpl w:val="A83CA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4C0635"/>
    <w:multiLevelType w:val="multilevel"/>
    <w:tmpl w:val="ADB8E662"/>
    <w:lvl w:ilvl="0">
      <w:start w:val="1"/>
      <w:numFmt w:val="bullet"/>
      <w:lvlText w:val="●"/>
      <w:lvlJc w:val="left"/>
      <w:pPr>
        <w:ind w:left="1203" w:hanging="360"/>
      </w:pPr>
      <w:rPr>
        <w:rFonts w:ascii="Noto Sans Symbols" w:eastAsia="Noto Sans Symbols" w:hAnsi="Noto Sans Symbols" w:cs="Noto Sans Symbols"/>
      </w:rPr>
    </w:lvl>
    <w:lvl w:ilvl="1">
      <w:start w:val="1"/>
      <w:numFmt w:val="bullet"/>
      <w:lvlText w:val="●"/>
      <w:lvlJc w:val="left"/>
      <w:pPr>
        <w:ind w:left="2273" w:hanging="710"/>
      </w:pPr>
      <w:rPr>
        <w:rFonts w:ascii="Noto Sans Symbols" w:eastAsia="Noto Sans Symbols" w:hAnsi="Noto Sans Symbols" w:cs="Noto Sans Symbols"/>
        <w:b w:val="0"/>
      </w:rPr>
    </w:lvl>
    <w:lvl w:ilvl="2">
      <w:start w:val="1"/>
      <w:numFmt w:val="bullet"/>
      <w:lvlText w:val="▪"/>
      <w:lvlJc w:val="left"/>
      <w:pPr>
        <w:ind w:left="2643" w:hanging="360"/>
      </w:pPr>
      <w:rPr>
        <w:rFonts w:ascii="Noto Sans Symbols" w:eastAsia="Noto Sans Symbols" w:hAnsi="Noto Sans Symbols" w:cs="Noto Sans Symbols"/>
      </w:rPr>
    </w:lvl>
    <w:lvl w:ilvl="3">
      <w:start w:val="1"/>
      <w:numFmt w:val="bullet"/>
      <w:lvlText w:val="●"/>
      <w:lvlJc w:val="left"/>
      <w:pPr>
        <w:ind w:left="3363" w:hanging="360"/>
      </w:pPr>
      <w:rPr>
        <w:rFonts w:ascii="Noto Sans Symbols" w:eastAsia="Noto Sans Symbols" w:hAnsi="Noto Sans Symbols" w:cs="Noto Sans Symbols"/>
      </w:rPr>
    </w:lvl>
    <w:lvl w:ilvl="4">
      <w:start w:val="1"/>
      <w:numFmt w:val="bullet"/>
      <w:lvlText w:val="o"/>
      <w:lvlJc w:val="left"/>
      <w:pPr>
        <w:ind w:left="4083" w:hanging="360"/>
      </w:pPr>
      <w:rPr>
        <w:rFonts w:ascii="Courier New" w:eastAsia="Courier New" w:hAnsi="Courier New" w:cs="Courier New"/>
      </w:rPr>
    </w:lvl>
    <w:lvl w:ilvl="5">
      <w:start w:val="1"/>
      <w:numFmt w:val="bullet"/>
      <w:lvlText w:val="▪"/>
      <w:lvlJc w:val="left"/>
      <w:pPr>
        <w:ind w:left="4803" w:hanging="360"/>
      </w:pPr>
      <w:rPr>
        <w:rFonts w:ascii="Noto Sans Symbols" w:eastAsia="Noto Sans Symbols" w:hAnsi="Noto Sans Symbols" w:cs="Noto Sans Symbols"/>
      </w:rPr>
    </w:lvl>
    <w:lvl w:ilvl="6">
      <w:start w:val="1"/>
      <w:numFmt w:val="bullet"/>
      <w:lvlText w:val="●"/>
      <w:lvlJc w:val="left"/>
      <w:pPr>
        <w:ind w:left="5523" w:hanging="360"/>
      </w:pPr>
      <w:rPr>
        <w:rFonts w:ascii="Noto Sans Symbols" w:eastAsia="Noto Sans Symbols" w:hAnsi="Noto Sans Symbols" w:cs="Noto Sans Symbols"/>
      </w:rPr>
    </w:lvl>
    <w:lvl w:ilvl="7">
      <w:start w:val="1"/>
      <w:numFmt w:val="bullet"/>
      <w:lvlText w:val="o"/>
      <w:lvlJc w:val="left"/>
      <w:pPr>
        <w:ind w:left="6243" w:hanging="360"/>
      </w:pPr>
      <w:rPr>
        <w:rFonts w:ascii="Courier New" w:eastAsia="Courier New" w:hAnsi="Courier New" w:cs="Courier New"/>
      </w:rPr>
    </w:lvl>
    <w:lvl w:ilvl="8">
      <w:start w:val="1"/>
      <w:numFmt w:val="bullet"/>
      <w:lvlText w:val="▪"/>
      <w:lvlJc w:val="left"/>
      <w:pPr>
        <w:ind w:left="6963" w:hanging="360"/>
      </w:pPr>
      <w:rPr>
        <w:rFonts w:ascii="Noto Sans Symbols" w:eastAsia="Noto Sans Symbols" w:hAnsi="Noto Sans Symbols" w:cs="Noto Sans Symbols"/>
      </w:rPr>
    </w:lvl>
  </w:abstractNum>
  <w:abstractNum w:abstractNumId="19" w15:restartNumberingAfterBreak="0">
    <w:nsid w:val="79947BE9"/>
    <w:multiLevelType w:val="multilevel"/>
    <w:tmpl w:val="E9AAD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9B147B"/>
    <w:multiLevelType w:val="multilevel"/>
    <w:tmpl w:val="B680D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C4962A3"/>
    <w:multiLevelType w:val="multilevel"/>
    <w:tmpl w:val="8F80BF1C"/>
    <w:lvl w:ilvl="0">
      <w:start w:val="1"/>
      <w:numFmt w:val="decimal"/>
      <w:lvlText w:val="%1."/>
      <w:lvlJc w:val="left"/>
      <w:pPr>
        <w:ind w:left="360" w:hanging="360"/>
      </w:pPr>
    </w:lvl>
    <w:lvl w:ilvl="1">
      <w:start w:val="1"/>
      <w:numFmt w:val="bullet"/>
      <w:lvlText w:val="●"/>
      <w:lvlJc w:val="left"/>
      <w:pPr>
        <w:ind w:left="716"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22" w15:restartNumberingAfterBreak="0">
    <w:nsid w:val="7ECC1FEC"/>
    <w:multiLevelType w:val="multilevel"/>
    <w:tmpl w:val="8D3235DC"/>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5"/>
  </w:num>
  <w:num w:numId="3">
    <w:abstractNumId w:val="4"/>
  </w:num>
  <w:num w:numId="4">
    <w:abstractNumId w:val="18"/>
  </w:num>
  <w:num w:numId="5">
    <w:abstractNumId w:val="22"/>
  </w:num>
  <w:num w:numId="6">
    <w:abstractNumId w:val="12"/>
  </w:num>
  <w:num w:numId="7">
    <w:abstractNumId w:val="7"/>
  </w:num>
  <w:num w:numId="8">
    <w:abstractNumId w:val="20"/>
  </w:num>
  <w:num w:numId="9">
    <w:abstractNumId w:val="13"/>
  </w:num>
  <w:num w:numId="10">
    <w:abstractNumId w:val="9"/>
  </w:num>
  <w:num w:numId="11">
    <w:abstractNumId w:val="8"/>
  </w:num>
  <w:num w:numId="12">
    <w:abstractNumId w:val="10"/>
  </w:num>
  <w:num w:numId="13">
    <w:abstractNumId w:val="14"/>
  </w:num>
  <w:num w:numId="14">
    <w:abstractNumId w:val="21"/>
  </w:num>
  <w:num w:numId="15">
    <w:abstractNumId w:val="5"/>
  </w:num>
  <w:num w:numId="16">
    <w:abstractNumId w:val="0"/>
  </w:num>
  <w:num w:numId="17">
    <w:abstractNumId w:val="17"/>
  </w:num>
  <w:num w:numId="18">
    <w:abstractNumId w:val="2"/>
  </w:num>
  <w:num w:numId="19">
    <w:abstractNumId w:val="19"/>
  </w:num>
  <w:num w:numId="20">
    <w:abstractNumId w:val="3"/>
  </w:num>
  <w:num w:numId="21">
    <w:abstractNumId w:val="11"/>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9D"/>
    <w:rsid w:val="002D5E04"/>
    <w:rsid w:val="005974EA"/>
    <w:rsid w:val="006A7875"/>
    <w:rsid w:val="006E359D"/>
    <w:rsid w:val="009B1D28"/>
    <w:rsid w:val="00F07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D660A"/>
  <w15:docId w15:val="{7B6CA507-37F0-4ED4-BF2A-419C1D05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4EBC"/>
  </w:style>
  <w:style w:type="paragraph" w:styleId="Nadpis1">
    <w:name w:val="heading 1"/>
    <w:basedOn w:val="Normln"/>
    <w:next w:val="Nadpis2"/>
    <w:link w:val="Nadpis1Char"/>
    <w:uiPriority w:val="9"/>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E37BC8"/>
    <w:pPr>
      <w:keepNext/>
      <w:spacing w:before="240" w:after="60"/>
      <w:outlineLvl w:val="2"/>
    </w:pPr>
    <w:rPr>
      <w:b/>
      <w:szCs w:val="20"/>
    </w:rPr>
  </w:style>
  <w:style w:type="paragraph" w:styleId="Nadpis4">
    <w:name w:val="heading 4"/>
    <w:basedOn w:val="Normln"/>
    <w:next w:val="Normln"/>
    <w:link w:val="Nadpis4Char"/>
    <w:uiPriority w:val="9"/>
    <w:unhideWhenUsed/>
    <w:qFormat/>
    <w:rsid w:val="00E37BC8"/>
    <w:pPr>
      <w:keepNext/>
      <w:spacing w:line="290" w:lineRule="atLeast"/>
      <w:outlineLvl w:val="3"/>
    </w:pPr>
    <w:rPr>
      <w:b/>
      <w:i/>
    </w:rPr>
  </w:style>
  <w:style w:type="paragraph" w:styleId="Nadpis5">
    <w:name w:val="heading 5"/>
    <w:basedOn w:val="Normln"/>
    <w:next w:val="Normln"/>
    <w:uiPriority w:val="9"/>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E37BC8"/>
    <w:pPr>
      <w:jc w:val="center"/>
    </w:pPr>
    <w:rPr>
      <w:b/>
      <w:szCs w:val="20"/>
    </w:rPr>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qFormat/>
    <w:rsid w:val="00B11C49"/>
    <w:rPr>
      <w:sz w:val="20"/>
      <w:szCs w:val="20"/>
    </w:rPr>
  </w:style>
  <w:style w:type="character" w:customStyle="1" w:styleId="TextpoznpodarouChar">
    <w:name w:val="Text pozn. pod čarou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rPr>
  </w:style>
  <w:style w:type="character" w:styleId="Nevyeenzmnka">
    <w:name w:val="Unresolved Mention"/>
    <w:basedOn w:val="Standardnpsmoodstavce"/>
    <w:uiPriority w:val="99"/>
    <w:semiHidden/>
    <w:unhideWhenUsed/>
    <w:rsid w:val="00227355"/>
    <w:rPr>
      <w:color w:val="605E5C"/>
      <w:shd w:val="clear" w:color="auto" w:fill="E1DFDD"/>
    </w:rPr>
  </w:style>
  <w:style w:type="paragraph" w:styleId="Bezmezer">
    <w:name w:val="No Spacing"/>
    <w:link w:val="BezmezerChar"/>
    <w:uiPriority w:val="1"/>
    <w:qFormat/>
    <w:rsid w:val="0063751C"/>
  </w:style>
  <w:style w:type="character" w:customStyle="1" w:styleId="BezmezerChar">
    <w:name w:val="Bez mezer Char"/>
    <w:basedOn w:val="Standardnpsmoodstavce"/>
    <w:link w:val="Bezmezer"/>
    <w:uiPriority w:val="1"/>
    <w:rsid w:val="0063751C"/>
  </w:style>
  <w:style w:type="paragraph" w:customStyle="1" w:styleId="Podnadpis111">
    <w:name w:val="Podnadpis 111"/>
    <w:basedOn w:val="Normln"/>
    <w:link w:val="Podnadpis111Char"/>
    <w:qFormat/>
    <w:rsid w:val="0063751C"/>
    <w:pPr>
      <w:keepNext/>
      <w:keepLines/>
      <w:spacing w:before="200" w:line="276" w:lineRule="auto"/>
      <w:ind w:left="284" w:hanging="284"/>
      <w:outlineLvl w:val="1"/>
    </w:pPr>
    <w:rPr>
      <w:rFonts w:ascii="Arial" w:eastAsiaTheme="majorEastAsia" w:hAnsi="Arial" w:cs="Arial"/>
      <w:b/>
      <w:bCs/>
      <w:color w:val="4F81BD" w:themeColor="accent1"/>
      <w:sz w:val="22"/>
      <w:szCs w:val="22"/>
    </w:rPr>
  </w:style>
  <w:style w:type="character" w:customStyle="1" w:styleId="Podnadpis111Char">
    <w:name w:val="Podnadpis 111 Char"/>
    <w:basedOn w:val="Standardnpsmoodstavce"/>
    <w:link w:val="Podnadpis111"/>
    <w:rsid w:val="0063751C"/>
    <w:rPr>
      <w:rFonts w:ascii="Arial" w:eastAsiaTheme="majorEastAsia" w:hAnsi="Arial" w:cs="Arial"/>
      <w:b/>
      <w:bCs/>
      <w:color w:val="4F81BD" w:themeColor="accent1"/>
    </w:rPr>
  </w:style>
  <w:style w:type="character" w:styleId="Sledovanodkaz">
    <w:name w:val="FollowedHyperlink"/>
    <w:basedOn w:val="Standardnpsmoodstavce"/>
    <w:uiPriority w:val="99"/>
    <w:semiHidden/>
    <w:unhideWhenUsed/>
    <w:rsid w:val="00FF56CE"/>
    <w:rPr>
      <w:color w:val="800080" w:themeColor="followedHyperlink"/>
      <w:u w:val="single"/>
    </w:rPr>
  </w:style>
  <w:style w:type="paragraph" w:customStyle="1" w:styleId="Text">
    <w:name w:val="Text"/>
    <w:basedOn w:val="Normln"/>
    <w:rsid w:val="007C462F"/>
    <w:pPr>
      <w:spacing w:after="120"/>
      <w:ind w:left="170"/>
    </w:pPr>
    <w:rPr>
      <w:rFonts w:ascii="Arial" w:hAnsi="Arial"/>
      <w:snapToGrid w:val="0"/>
      <w:sz w:val="22"/>
      <w:szCs w:val="20"/>
    </w:rPr>
  </w:style>
  <w:style w:type="character" w:customStyle="1" w:styleId="black12h">
    <w:name w:val="black12h"/>
    <w:basedOn w:val="Standardnpsmoodstavce"/>
    <w:rsid w:val="00174BBF"/>
  </w:style>
  <w:style w:type="table" w:customStyle="1" w:styleId="Mkatabulky1">
    <w:name w:val="Mřížka tabulky1"/>
    <w:basedOn w:val="Normlntabulka"/>
    <w:next w:val="Mkatabulky"/>
    <w:uiPriority w:val="39"/>
    <w:rsid w:val="00C54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edia.nesta.org.uk/documents/making_it_big-web.pdf" TargetMode="External"/><Relationship Id="rId2" Type="http://schemas.openxmlformats.org/officeDocument/2006/relationships/hyperlink" Target="https://www.aeaweb.org/articles?id=10.1257/jep.31.4.125" TargetMode="External"/><Relationship Id="rId1" Type="http://schemas.openxmlformats.org/officeDocument/2006/relationships/hyperlink" Target="https://blogs.worldbank.org/impactevaluations/threats-and-opportunities-taking-promising-results-scale-why-isnt-going-64-ki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XIiDMvn7uBGiwiV8gFbhS+i4w==">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12023</Words>
  <Characters>70941</Characters>
  <Application>Microsoft Office Word</Application>
  <DocSecurity>0</DocSecurity>
  <Lines>591</Lines>
  <Paragraphs>165</Paragraphs>
  <ScaleCrop>false</ScaleCrop>
  <Company/>
  <LinksUpToDate>false</LinksUpToDate>
  <CharactersWithSpaces>82799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Zichová Barbora DiS. (MPSV)</cp:lastModifiedBy>
  <cp:revision>2</cp:revision>
  <dcterms:created xsi:type="dcterms:W3CDTF">2021-12-21T13:39:00Z</dcterms:created>
  <dcterms:modified xsi:type="dcterms:W3CDTF">2021-12-21T13:39:00Z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0x010100547D1B35F3F8F644891E5CDF907A94B9</vt:lpwstr>
  </property>
</Properties>
</file>