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80" w:rsidRDefault="009A1497" w:rsidP="00946EAD">
      <w:pPr>
        <w:pStyle w:val="Nadpis10"/>
        <w:keepNext/>
        <w:keepLines/>
        <w:shd w:val="clear" w:color="auto" w:fill="auto"/>
        <w:spacing w:after="0"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177800</wp:posOffset>
                </wp:positionV>
                <wp:extent cx="3227705" cy="3536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7580" w:rsidRDefault="009A149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</w:tabs>
                              <w:spacing w:after="0" w:line="22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NÁRODNÍ GALERIE NATIONAL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GALLERY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PRAHA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 w:eastAsia="en-US" w:bidi="en-US"/>
                              </w:rPr>
                              <w:t>PRAGUE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pt;margin-top:14.pt;width:254.15000000000001pt;height:27.8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34" w:val="left"/>
                        </w:tabs>
                        <w:bidi w:val="0"/>
                        <w:spacing w:before="0" w:after="0" w:line="223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NÁRODNÍ GALERIE NATIONAL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en-US" w:eastAsia="en-US" w:bidi="en-US"/>
                        </w:rPr>
                        <w:t xml:space="preserve">GALLERY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PRAHA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en-US" w:eastAsia="en-US" w:bidi="en-US"/>
                        </w:rPr>
                        <w:t>PRAGUE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6EAD">
        <w:t>NG</w:t>
      </w:r>
    </w:p>
    <w:p w:rsidR="009E7580" w:rsidRDefault="009A1497">
      <w:pPr>
        <w:pStyle w:val="Nadpis10"/>
        <w:keepNext/>
        <w:keepLines/>
        <w:shd w:val="clear" w:color="auto" w:fill="auto"/>
        <w:spacing w:after="520" w:line="180" w:lineRule="auto"/>
      </w:pPr>
      <w:bookmarkStart w:id="0" w:name="bookmark2"/>
      <w:bookmarkStart w:id="1" w:name="bookmark3"/>
      <w:r>
        <w:t>P</w:t>
      </w:r>
      <w:bookmarkEnd w:id="0"/>
      <w:bookmarkEnd w:id="1"/>
    </w:p>
    <w:p w:rsidR="009E7580" w:rsidRDefault="009A1497">
      <w:pPr>
        <w:pStyle w:val="Zkladntext1"/>
        <w:shd w:val="clear" w:color="auto" w:fill="auto"/>
        <w:spacing w:after="0" w:line="240" w:lineRule="auto"/>
        <w:sectPr w:rsidR="009E7580">
          <w:pgSz w:w="11900" w:h="16840"/>
          <w:pgMar w:top="234" w:right="464" w:bottom="2972" w:left="8844" w:header="0" w:footer="2544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či. NG/1815/2021</w:t>
      </w:r>
    </w:p>
    <w:p w:rsidR="009E7580" w:rsidRDefault="009E7580">
      <w:pPr>
        <w:spacing w:line="101" w:lineRule="exact"/>
        <w:rPr>
          <w:sz w:val="8"/>
          <w:szCs w:val="8"/>
        </w:rPr>
      </w:pPr>
    </w:p>
    <w:p w:rsidR="009E7580" w:rsidRDefault="009E7580">
      <w:pPr>
        <w:spacing w:line="1" w:lineRule="exact"/>
        <w:sectPr w:rsidR="009E7580">
          <w:type w:val="continuous"/>
          <w:pgSz w:w="11900" w:h="16840"/>
          <w:pgMar w:top="234" w:right="0" w:bottom="2972" w:left="0" w:header="0" w:footer="3" w:gutter="0"/>
          <w:cols w:space="720"/>
          <w:noEndnote/>
          <w:docGrid w:linePitch="360"/>
        </w:sectPr>
      </w:pPr>
    </w:p>
    <w:p w:rsidR="009E7580" w:rsidRDefault="009A1497">
      <w:pPr>
        <w:pStyle w:val="Zkladntext1"/>
        <w:shd w:val="clear" w:color="auto" w:fill="auto"/>
        <w:spacing w:after="0" w:line="300" w:lineRule="auto"/>
        <w:jc w:val="center"/>
      </w:pPr>
      <w:r>
        <w:rPr>
          <w:b/>
          <w:bCs/>
        </w:rPr>
        <w:t>DODATEK č. 1</w:t>
      </w:r>
    </w:p>
    <w:p w:rsidR="009E7580" w:rsidRDefault="009A1497">
      <w:pPr>
        <w:pStyle w:val="Zkladntext1"/>
        <w:shd w:val="clear" w:color="auto" w:fill="auto"/>
        <w:spacing w:after="0" w:line="300" w:lineRule="auto"/>
        <w:jc w:val="center"/>
        <w:sectPr w:rsidR="009E7580">
          <w:type w:val="continuous"/>
          <w:pgSz w:w="11900" w:h="16840"/>
          <w:pgMar w:top="234" w:right="4319" w:bottom="2972" w:left="4385" w:header="0" w:footer="3" w:gutter="0"/>
          <w:cols w:space="720"/>
          <w:noEndnote/>
          <w:docGrid w:linePitch="360"/>
        </w:sectPr>
      </w:pPr>
      <w:r>
        <w:rPr>
          <w:b/>
          <w:bCs/>
        </w:rPr>
        <w:t>ke Smlouvě č. j. NG/1234/2018</w:t>
      </w:r>
      <w:r>
        <w:rPr>
          <w:b/>
          <w:bCs/>
        </w:rPr>
        <w:br/>
        <w:t>uzavřené dne 16. 7. 2018</w:t>
      </w:r>
    </w:p>
    <w:p w:rsidR="009E7580" w:rsidRDefault="009E7580">
      <w:pPr>
        <w:spacing w:before="89" w:after="89" w:line="240" w:lineRule="exact"/>
        <w:rPr>
          <w:sz w:val="19"/>
          <w:szCs w:val="19"/>
        </w:rPr>
      </w:pPr>
    </w:p>
    <w:p w:rsidR="009E7580" w:rsidRDefault="009E7580">
      <w:pPr>
        <w:spacing w:line="1" w:lineRule="exact"/>
        <w:sectPr w:rsidR="009E7580">
          <w:type w:val="continuous"/>
          <w:pgSz w:w="11900" w:h="16840"/>
          <w:pgMar w:top="234" w:right="0" w:bottom="234" w:left="0" w:header="0" w:footer="3" w:gutter="0"/>
          <w:cols w:space="720"/>
          <w:noEndnote/>
          <w:docGrid w:linePitch="360"/>
        </w:sectPr>
      </w:pPr>
    </w:p>
    <w:p w:rsidR="009E7580" w:rsidRDefault="009A1497">
      <w:pPr>
        <w:pStyle w:val="Zkladntext1"/>
        <w:framePr w:w="2496" w:h="3072" w:wrap="none" w:vAnchor="text" w:hAnchor="page" w:x="1352" w:y="21"/>
        <w:shd w:val="clear" w:color="auto" w:fill="auto"/>
      </w:pPr>
      <w:r>
        <w:rPr>
          <w:b/>
          <w:bCs/>
        </w:rPr>
        <w:t>Smluvní strany</w:t>
      </w:r>
    </w:p>
    <w:p w:rsidR="009E7580" w:rsidRDefault="009A1497">
      <w:pPr>
        <w:pStyle w:val="Zkladntext1"/>
        <w:framePr w:w="2496" w:h="3072" w:wrap="none" w:vAnchor="text" w:hAnchor="page" w:x="1352" w:y="21"/>
        <w:shd w:val="clear" w:color="auto" w:fill="auto"/>
        <w:spacing w:after="0"/>
      </w:pPr>
      <w:r>
        <w:rPr>
          <w:b/>
          <w:bCs/>
        </w:rPr>
        <w:t>Objednatel:</w:t>
      </w:r>
    </w:p>
    <w:p w:rsidR="009E7580" w:rsidRDefault="009A1497">
      <w:pPr>
        <w:pStyle w:val="Zkladntext1"/>
        <w:framePr w:w="2496" w:h="3072" w:wrap="none" w:vAnchor="text" w:hAnchor="page" w:x="1352" w:y="21"/>
        <w:shd w:val="clear" w:color="auto" w:fill="auto"/>
        <w:spacing w:after="0"/>
      </w:pPr>
      <w:r>
        <w:rPr>
          <w:b/>
          <w:bCs/>
        </w:rPr>
        <w:t xml:space="preserve">Národní galerie v Praze </w:t>
      </w:r>
      <w:r>
        <w:t>se sídlem:</w:t>
      </w:r>
    </w:p>
    <w:p w:rsidR="009E7580" w:rsidRDefault="009A1497">
      <w:pPr>
        <w:pStyle w:val="Zkladntext1"/>
        <w:framePr w:w="2496" w:h="3072" w:wrap="none" w:vAnchor="text" w:hAnchor="page" w:x="1352" w:y="21"/>
        <w:shd w:val="clear" w:color="auto" w:fill="auto"/>
        <w:spacing w:after="0"/>
      </w:pPr>
      <w:r>
        <w:t>zastoupena:</w:t>
      </w:r>
    </w:p>
    <w:p w:rsidR="009E7580" w:rsidRDefault="009A1497">
      <w:pPr>
        <w:pStyle w:val="Zkladntext1"/>
        <w:framePr w:w="2496" w:h="3072" w:wrap="none" w:vAnchor="text" w:hAnchor="page" w:x="1352" w:y="21"/>
        <w:shd w:val="clear" w:color="auto" w:fill="auto"/>
        <w:spacing w:after="0"/>
      </w:pPr>
      <w:r>
        <w:t>IČ:</w:t>
      </w:r>
    </w:p>
    <w:p w:rsidR="00DB14FB" w:rsidRDefault="009A1497" w:rsidP="00DB14FB">
      <w:pPr>
        <w:pStyle w:val="Zkladntext1"/>
        <w:framePr w:w="2496" w:h="3072" w:wrap="none" w:vAnchor="text" w:hAnchor="page" w:x="1352" w:y="21"/>
        <w:shd w:val="clear" w:color="auto" w:fill="auto"/>
        <w:spacing w:after="0"/>
      </w:pPr>
      <w:r>
        <w:t xml:space="preserve">DIČ: </w:t>
      </w:r>
    </w:p>
    <w:p w:rsidR="00DB14FB" w:rsidRDefault="009A1497" w:rsidP="00DB14FB">
      <w:pPr>
        <w:pStyle w:val="Zkladntext1"/>
        <w:framePr w:w="2496" w:h="3072" w:wrap="none" w:vAnchor="text" w:hAnchor="page" w:x="1352" w:y="21"/>
        <w:shd w:val="clear" w:color="auto" w:fill="auto"/>
        <w:spacing w:after="0"/>
      </w:pPr>
      <w:r>
        <w:t>bankovní spojení:</w:t>
      </w:r>
    </w:p>
    <w:p w:rsidR="009E7580" w:rsidRDefault="009A1497">
      <w:pPr>
        <w:pStyle w:val="Zkladntext1"/>
        <w:framePr w:w="2496" w:h="3072" w:wrap="none" w:vAnchor="text" w:hAnchor="page" w:x="1352" w:y="21"/>
        <w:shd w:val="clear" w:color="auto" w:fill="auto"/>
      </w:pPr>
      <w:r>
        <w:t>číslo účtu:</w:t>
      </w:r>
    </w:p>
    <w:p w:rsidR="009E7580" w:rsidRDefault="009A1497">
      <w:pPr>
        <w:pStyle w:val="Zkladntext1"/>
        <w:framePr w:w="2496" w:h="3072" w:wrap="none" w:vAnchor="text" w:hAnchor="page" w:x="1352" w:y="21"/>
        <w:shd w:val="clear" w:color="auto" w:fill="auto"/>
      </w:pPr>
      <w:r>
        <w:t xml:space="preserve">(dále jen </w:t>
      </w:r>
      <w:r>
        <w:rPr>
          <w:b/>
          <w:bCs/>
        </w:rPr>
        <w:t>„objednatel“)</w:t>
      </w:r>
    </w:p>
    <w:p w:rsidR="009E7580" w:rsidRDefault="009A1497">
      <w:pPr>
        <w:pStyle w:val="Zkladntext1"/>
        <w:framePr w:w="3960" w:h="1550" w:wrap="none" w:vAnchor="text" w:hAnchor="page" w:x="4165" w:y="1019"/>
        <w:shd w:val="clear" w:color="auto" w:fill="auto"/>
        <w:spacing w:after="0" w:line="262" w:lineRule="auto"/>
      </w:pPr>
      <w:r>
        <w:t xml:space="preserve">Staroměstské nám. 12, 110 00 Praha 1 </w:t>
      </w:r>
      <w:proofErr w:type="spellStart"/>
      <w:r>
        <w:rPr>
          <w:b/>
          <w:bCs/>
        </w:rPr>
        <w:t>Alicja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Knast</w:t>
      </w:r>
      <w:proofErr w:type="spellEnd"/>
      <w:r>
        <w:rPr>
          <w:b/>
          <w:bCs/>
        </w:rPr>
        <w:t xml:space="preserve">, Generální ředitelka NGP </w:t>
      </w:r>
      <w:r>
        <w:t>00023281</w:t>
      </w:r>
    </w:p>
    <w:p w:rsidR="009E7580" w:rsidRDefault="009A1497">
      <w:pPr>
        <w:pStyle w:val="Zkladntext1"/>
        <w:framePr w:w="3960" w:h="1550" w:wrap="none" w:vAnchor="text" w:hAnchor="page" w:x="4165" w:y="1019"/>
        <w:shd w:val="clear" w:color="auto" w:fill="auto"/>
        <w:spacing w:after="0" w:line="262" w:lineRule="auto"/>
      </w:pPr>
      <w:r>
        <w:t>CZ00023281</w:t>
      </w:r>
    </w:p>
    <w:p w:rsidR="00DB14FB" w:rsidRDefault="009A1497">
      <w:pPr>
        <w:pStyle w:val="Zkladntext1"/>
        <w:framePr w:w="3960" w:h="1550" w:wrap="none" w:vAnchor="text" w:hAnchor="page" w:x="4165" w:y="1019"/>
        <w:shd w:val="clear" w:color="auto" w:fill="auto"/>
        <w:spacing w:after="0" w:line="262" w:lineRule="auto"/>
      </w:pPr>
      <w:r>
        <w:t xml:space="preserve">Česká národní banka </w:t>
      </w:r>
    </w:p>
    <w:p w:rsidR="009E7580" w:rsidRDefault="009A1497">
      <w:pPr>
        <w:pStyle w:val="Zkladntext1"/>
        <w:framePr w:w="3960" w:h="1550" w:wrap="none" w:vAnchor="text" w:hAnchor="page" w:x="4165" w:y="1019"/>
        <w:shd w:val="clear" w:color="auto" w:fill="auto"/>
        <w:spacing w:after="0" w:line="262" w:lineRule="auto"/>
      </w:pPr>
      <w:r>
        <w:t>050008-0008839011/0710</w:t>
      </w:r>
    </w:p>
    <w:p w:rsidR="009E7580" w:rsidRDefault="009A1497">
      <w:pPr>
        <w:pStyle w:val="Zkladntext1"/>
        <w:framePr w:w="1166" w:h="254" w:wrap="none" w:vAnchor="text" w:hAnchor="page" w:x="1347" w:y="3543"/>
        <w:shd w:val="clear" w:color="auto" w:fill="auto"/>
        <w:spacing w:after="0" w:line="240" w:lineRule="auto"/>
      </w:pPr>
      <w:r>
        <w:rPr>
          <w:b/>
          <w:bCs/>
        </w:rPr>
        <w:t>Zhotovitel:</w:t>
      </w:r>
    </w:p>
    <w:p w:rsidR="009E7580" w:rsidRDefault="009A1497">
      <w:pPr>
        <w:pStyle w:val="Zkladntext1"/>
        <w:framePr w:w="2482" w:h="269" w:wrap="none" w:vAnchor="text" w:hAnchor="page" w:x="1352" w:y="3803"/>
        <w:shd w:val="clear" w:color="auto" w:fill="auto"/>
        <w:spacing w:after="0" w:line="240" w:lineRule="auto"/>
      </w:pPr>
      <w:r>
        <w:rPr>
          <w:b/>
          <w:bCs/>
        </w:rPr>
        <w:t xml:space="preserve">ETTEA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>, s.r.o.</w:t>
      </w:r>
    </w:p>
    <w:p w:rsidR="009E7580" w:rsidRDefault="009A1497">
      <w:pPr>
        <w:pStyle w:val="Zkladntext1"/>
        <w:framePr w:w="7464" w:h="523" w:wrap="none" w:vAnchor="text" w:hAnchor="page" w:x="1343" w:y="4052"/>
        <w:shd w:val="clear" w:color="auto" w:fill="auto"/>
        <w:tabs>
          <w:tab w:val="left" w:pos="2813"/>
        </w:tabs>
        <w:spacing w:after="0" w:line="266" w:lineRule="auto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>vedeném Městským soudem v Praze, oddíl C, vložka 151244 se sídlem:</w:t>
      </w:r>
      <w:r>
        <w:tab/>
        <w:t>Jemnická 1138/1, Michle, 140 00 Praha 4</w:t>
      </w:r>
    </w:p>
    <w:p w:rsidR="00DB14FB" w:rsidRDefault="009A1497">
      <w:pPr>
        <w:pStyle w:val="Zkladntext1"/>
        <w:framePr w:w="1243" w:h="744" w:wrap="none" w:vAnchor="text" w:hAnchor="page" w:x="1343" w:y="4575"/>
        <w:shd w:val="clear" w:color="auto" w:fill="auto"/>
        <w:spacing w:after="0" w:line="266" w:lineRule="auto"/>
      </w:pPr>
      <w:r>
        <w:t xml:space="preserve">zastoupena: IČO: </w:t>
      </w:r>
    </w:p>
    <w:p w:rsidR="009E7580" w:rsidRDefault="009A1497">
      <w:pPr>
        <w:pStyle w:val="Zkladntext1"/>
        <w:framePr w:w="1243" w:h="744" w:wrap="none" w:vAnchor="text" w:hAnchor="page" w:x="1343" w:y="4575"/>
        <w:shd w:val="clear" w:color="auto" w:fill="auto"/>
        <w:spacing w:after="0" w:line="266" w:lineRule="auto"/>
      </w:pPr>
      <w:r>
        <w:t>DIČ:</w:t>
      </w:r>
    </w:p>
    <w:p w:rsidR="009E7580" w:rsidRDefault="009A1497">
      <w:pPr>
        <w:pStyle w:val="Zkladntext1"/>
        <w:framePr w:w="3552" w:h="758" w:wrap="none" w:vAnchor="text" w:hAnchor="page" w:x="4160" w:y="4561"/>
        <w:shd w:val="clear" w:color="auto" w:fill="auto"/>
        <w:spacing w:after="0" w:line="266" w:lineRule="auto"/>
      </w:pPr>
      <w:r>
        <w:t xml:space="preserve">Ing. Janem </w:t>
      </w:r>
      <w:proofErr w:type="spellStart"/>
      <w:r>
        <w:t>Sedlačíkem</w:t>
      </w:r>
      <w:proofErr w:type="spellEnd"/>
      <w:r>
        <w:t>, jednatelem 28888383</w:t>
      </w:r>
    </w:p>
    <w:p w:rsidR="009E7580" w:rsidRDefault="009A1497">
      <w:pPr>
        <w:pStyle w:val="Zkladntext1"/>
        <w:framePr w:w="3552" w:h="758" w:wrap="none" w:vAnchor="text" w:hAnchor="page" w:x="4160" w:y="4561"/>
        <w:shd w:val="clear" w:color="auto" w:fill="auto"/>
        <w:spacing w:after="0" w:line="266" w:lineRule="auto"/>
      </w:pPr>
      <w:r>
        <w:t>CZ28888383</w:t>
      </w:r>
    </w:p>
    <w:p w:rsidR="009E7580" w:rsidRDefault="009A1497">
      <w:pPr>
        <w:pStyle w:val="Zkladntext1"/>
        <w:framePr w:w="1762" w:h="538" w:wrap="none" w:vAnchor="text" w:hAnchor="page" w:x="1347" w:y="5324"/>
        <w:shd w:val="clear" w:color="auto" w:fill="auto"/>
        <w:spacing w:after="0" w:line="262" w:lineRule="auto"/>
      </w:pPr>
      <w:r>
        <w:t>bankovní spojení: číslo účtu:</w:t>
      </w:r>
    </w:p>
    <w:p w:rsidR="009E7580" w:rsidRDefault="0016118E">
      <w:pPr>
        <w:pStyle w:val="Zkladntext1"/>
        <w:framePr w:w="2342" w:h="547" w:wrap="none" w:vAnchor="text" w:hAnchor="page" w:x="4160" w:y="5324"/>
        <w:shd w:val="clear" w:color="auto" w:fill="auto"/>
        <w:spacing w:after="0" w:line="266" w:lineRule="auto"/>
      </w:pPr>
      <w:r>
        <w:rPr>
          <w:lang w:val="en-US" w:eastAsia="en-US" w:bidi="en-US"/>
        </w:rPr>
        <w:t>XXXXXXXXXXXXX</w:t>
      </w:r>
      <w:r w:rsidR="009A1497">
        <w:t xml:space="preserve"> </w:t>
      </w:r>
      <w:r>
        <w:t>XXXXXXXXXXXXXX</w:t>
      </w:r>
      <w:r w:rsidR="009A1497">
        <w:t xml:space="preserve"> CZK</w:t>
      </w:r>
    </w:p>
    <w:p w:rsidR="009E7580" w:rsidRDefault="009A1497">
      <w:pPr>
        <w:pStyle w:val="Zkladntext1"/>
        <w:framePr w:w="3518" w:h="792" w:wrap="none" w:vAnchor="text" w:hAnchor="page" w:x="1333" w:y="6068"/>
        <w:shd w:val="clear" w:color="auto" w:fill="auto"/>
        <w:spacing w:after="260" w:line="240" w:lineRule="auto"/>
      </w:pPr>
      <w:r>
        <w:t xml:space="preserve">(dále jen </w:t>
      </w:r>
      <w:r>
        <w:rPr>
          <w:b/>
          <w:bCs/>
        </w:rPr>
        <w:t>„zhotovitel“)</w:t>
      </w:r>
    </w:p>
    <w:p w:rsidR="009E7580" w:rsidRDefault="009A1497">
      <w:pPr>
        <w:pStyle w:val="Zkladntext1"/>
        <w:framePr w:w="3518" w:h="792" w:wrap="none" w:vAnchor="text" w:hAnchor="page" w:x="1333" w:y="6068"/>
        <w:shd w:val="clear" w:color="auto" w:fill="auto"/>
        <w:spacing w:after="0" w:line="240" w:lineRule="auto"/>
      </w:pPr>
      <w:r>
        <w:t xml:space="preserve">dále společně jen </w:t>
      </w:r>
      <w:r>
        <w:rPr>
          <w:b/>
          <w:bCs/>
        </w:rPr>
        <w:t>„smluvní strany“</w:t>
      </w:r>
    </w:p>
    <w:p w:rsidR="009E7580" w:rsidRDefault="009A1497">
      <w:pPr>
        <w:pStyle w:val="Zkladntext1"/>
        <w:framePr w:w="8746" w:h="533" w:wrap="none" w:vAnchor="text" w:hAnchor="page" w:x="1333" w:y="7340"/>
        <w:shd w:val="clear" w:color="auto" w:fill="auto"/>
        <w:spacing w:after="0" w:line="257" w:lineRule="auto"/>
      </w:pPr>
      <w:proofErr w:type="gramStart"/>
      <w:r>
        <w:t>se</w:t>
      </w:r>
      <w:proofErr w:type="gramEnd"/>
      <w:r>
        <w:t xml:space="preserve"> níže uvedeného dne, měsíce a roku dohodly na uzavření dodatku č. 1 ke Smlouvě č. j. NG/1234/2018 (dále jen </w:t>
      </w:r>
      <w:r>
        <w:rPr>
          <w:b/>
          <w:bCs/>
        </w:rPr>
        <w:t xml:space="preserve">„Dodatek“) </w:t>
      </w:r>
      <w:r>
        <w:t>v následujícím znění</w:t>
      </w: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  <w:bookmarkStart w:id="2" w:name="_GoBack"/>
      <w:bookmarkEnd w:id="2"/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after="671" w:line="1" w:lineRule="exact"/>
      </w:pPr>
    </w:p>
    <w:p w:rsidR="009E7580" w:rsidRDefault="009E7580">
      <w:pPr>
        <w:spacing w:line="1" w:lineRule="exact"/>
        <w:sectPr w:rsidR="009E7580">
          <w:type w:val="continuous"/>
          <w:pgSz w:w="11900" w:h="16840"/>
          <w:pgMar w:top="234" w:right="464" w:bottom="234" w:left="1332" w:header="0" w:footer="3" w:gutter="0"/>
          <w:cols w:space="720"/>
          <w:noEndnote/>
          <w:docGrid w:linePitch="360"/>
        </w:sectPr>
      </w:pPr>
    </w:p>
    <w:p w:rsidR="009E7580" w:rsidRDefault="009A1497">
      <w:pPr>
        <w:pStyle w:val="Zkladntext1"/>
        <w:shd w:val="clear" w:color="auto" w:fill="auto"/>
        <w:spacing w:after="0"/>
        <w:jc w:val="center"/>
      </w:pPr>
      <w:r>
        <w:rPr>
          <w:b/>
          <w:bCs/>
          <w:lang w:val="en-US" w:eastAsia="en-US" w:bidi="en-US"/>
        </w:rPr>
        <w:lastRenderedPageBreak/>
        <w:t>I.</w:t>
      </w:r>
    </w:p>
    <w:p w:rsidR="009E7580" w:rsidRDefault="009A1497">
      <w:pPr>
        <w:pStyle w:val="Nadpis20"/>
        <w:keepNext/>
        <w:keepLines/>
        <w:shd w:val="clear" w:color="auto" w:fill="auto"/>
        <w:spacing w:after="360"/>
      </w:pPr>
      <w:bookmarkStart w:id="3" w:name="bookmark4"/>
      <w:bookmarkStart w:id="4" w:name="bookmark5"/>
      <w:r>
        <w:t>Úvodní prohlášení</w:t>
      </w:r>
      <w:bookmarkEnd w:id="3"/>
      <w:bookmarkEnd w:id="4"/>
    </w:p>
    <w:p w:rsidR="009E7580" w:rsidRDefault="009A1497">
      <w:pPr>
        <w:pStyle w:val="Zkladntext1"/>
        <w:numPr>
          <w:ilvl w:val="0"/>
          <w:numId w:val="1"/>
        </w:numPr>
        <w:shd w:val="clear" w:color="auto" w:fill="auto"/>
        <w:tabs>
          <w:tab w:val="left" w:pos="403"/>
        </w:tabs>
        <w:ind w:left="380" w:hanging="380"/>
        <w:jc w:val="both"/>
      </w:pPr>
      <w:r>
        <w:t xml:space="preserve">Smluvní strany uzavřely dne 16. 7. 2018 Smlouvu o dílo a poskytnutí konzultačních a poradenských služeb č. NG/1234/2018 (dále jen </w:t>
      </w:r>
      <w:r>
        <w:rPr>
          <w:b/>
          <w:bCs/>
        </w:rPr>
        <w:t xml:space="preserve">„Smlouva“), </w:t>
      </w:r>
      <w:r>
        <w:t xml:space="preserve">jejímž předmětem je závazek zhotovitele provést pro objednatele dílo </w:t>
      </w:r>
      <w:r>
        <w:rPr>
          <w:i/>
          <w:iCs/>
        </w:rPr>
        <w:t>„Zhodnocení stavu dvou současných databázových sbírkových systémů a příprava technické části zadávací dokumentace veřejné zakázky na dodávku Systému pro evidenci a management sbírek Národní galerie v Praze“</w:t>
      </w:r>
      <w:r>
        <w:t xml:space="preserve"> a poskytnout objednateli související služby.</w:t>
      </w:r>
    </w:p>
    <w:p w:rsidR="009E7580" w:rsidRDefault="009A1497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40"/>
        <w:jc w:val="both"/>
      </w:pPr>
      <w:r>
        <w:t>Plnění zhotovitele dle Smlouvy bylo rozděleno do tří etap</w:t>
      </w:r>
    </w:p>
    <w:p w:rsidR="009E7580" w:rsidRDefault="009A1497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62" w:lineRule="auto"/>
        <w:ind w:left="680" w:hanging="260"/>
        <w:jc w:val="both"/>
      </w:pPr>
      <w:r>
        <w:t>Etapa - Analýza a zhodnoceni současného způsobu nasazení obou databázových systémů</w:t>
      </w:r>
    </w:p>
    <w:p w:rsidR="009E7580" w:rsidRDefault="009A1497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62" w:lineRule="auto"/>
        <w:ind w:left="680" w:hanging="260"/>
        <w:jc w:val="both"/>
      </w:pPr>
      <w:r>
        <w:t>Etapa - Analýza a zhodnocení potřeb uživatelů a požadavků na funkční databázový systém, příprava technické části zadávací dokumentace VZ</w:t>
      </w:r>
    </w:p>
    <w:p w:rsidR="009E7580" w:rsidRDefault="009A1497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spacing w:line="262" w:lineRule="auto"/>
        <w:ind w:left="680" w:hanging="260"/>
        <w:jc w:val="both"/>
      </w:pPr>
      <w:r>
        <w:t>Etapa - Konzultační a poradenské služby a spolupráce při výběrovém řízení VZ na dodávku Systému pro evidenci a management sbírek Národní galerie v Praze.</w:t>
      </w:r>
    </w:p>
    <w:p w:rsidR="009E7580" w:rsidRDefault="009A1497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300"/>
        <w:ind w:left="580" w:hanging="580"/>
        <w:jc w:val="both"/>
      </w:pPr>
      <w:r>
        <w:t xml:space="preserve">Plnění první a druhé etapy bylo řádně provedeno a předáno. Objednatel plnění první a druhé etapy </w:t>
      </w:r>
      <w:proofErr w:type="gramStart"/>
      <w:r>
        <w:t>převzal uhradil</w:t>
      </w:r>
      <w:proofErr w:type="gramEnd"/>
      <w:r>
        <w:t xml:space="preserve"> zhotoviteli za plnění první a druhé etapy odměnu ve výši dle Smlouvy, </w:t>
      </w:r>
      <w:proofErr w:type="spellStart"/>
      <w:r>
        <w:t>tj</w:t>
      </w:r>
      <w:proofErr w:type="spellEnd"/>
      <w:r>
        <w:t xml:space="preserve"> v celkové výši 332.500,- Kč bez DPH, </w:t>
      </w:r>
      <w:proofErr w:type="spellStart"/>
      <w:r>
        <w:t>tj</w:t>
      </w:r>
      <w:proofErr w:type="spellEnd"/>
      <w:r>
        <w:t xml:space="preserve"> celkem 402.325,- Kč vč. DPH.</w:t>
      </w:r>
    </w:p>
    <w:p w:rsidR="009E7580" w:rsidRDefault="009A149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9E7580" w:rsidRDefault="009A1497">
      <w:pPr>
        <w:pStyle w:val="Nadpis20"/>
        <w:keepNext/>
        <w:keepLines/>
        <w:shd w:val="clear" w:color="auto" w:fill="auto"/>
      </w:pPr>
      <w:bookmarkStart w:id="5" w:name="bookmark6"/>
      <w:bookmarkStart w:id="6" w:name="bookmark7"/>
      <w:r>
        <w:t>Odůvodnění uzavření Dodatku</w:t>
      </w:r>
      <w:bookmarkEnd w:id="5"/>
      <w:bookmarkEnd w:id="6"/>
    </w:p>
    <w:p w:rsidR="009E7580" w:rsidRDefault="009A1497">
      <w:pPr>
        <w:pStyle w:val="Zkladntext1"/>
        <w:numPr>
          <w:ilvl w:val="0"/>
          <w:numId w:val="3"/>
        </w:numPr>
        <w:shd w:val="clear" w:color="auto" w:fill="auto"/>
        <w:tabs>
          <w:tab w:val="left" w:pos="740"/>
        </w:tabs>
        <w:spacing w:line="262" w:lineRule="auto"/>
        <w:ind w:left="680" w:hanging="680"/>
        <w:jc w:val="both"/>
      </w:pPr>
      <w:r>
        <w:t>Změnou strategie směřování objednatele vyvolanou v souvislosti s organizačními změnami v instituci, realizovanými vletech 2019 - 2021, vznikly nové potřeby v celkovém řešení digitální transformace celé instituce, což vyvolalo potřebu provést dodatečnou úpravu plněn</w:t>
      </w:r>
      <w:r w:rsidR="00DB14FB">
        <w:t>í</w:t>
      </w:r>
      <w:r>
        <w:t xml:space="preserve"> předaného v rámci první a druhé etapy dle Smlouvy. Smluvní strany se tak tímto Dodatkem ke Smlouvě dohodly na rozšířen</w:t>
      </w:r>
      <w:r w:rsidR="00DB14FB">
        <w:t>í</w:t>
      </w:r>
      <w:r>
        <w:t xml:space="preserve"> předmětu plnění dle požadavků objednatele a s tím související navýšení ceny za dílo.</w:t>
      </w:r>
    </w:p>
    <w:p w:rsidR="009E7580" w:rsidRDefault="009A1497">
      <w:pPr>
        <w:pStyle w:val="Zkladntext1"/>
        <w:shd w:val="clear" w:color="auto" w:fill="auto"/>
        <w:spacing w:after="0"/>
        <w:jc w:val="center"/>
      </w:pPr>
      <w:r>
        <w:rPr>
          <w:b/>
          <w:bCs/>
          <w:lang w:val="en-US" w:eastAsia="en-US" w:bidi="en-US"/>
        </w:rPr>
        <w:t>III.</w:t>
      </w:r>
    </w:p>
    <w:p w:rsidR="009E7580" w:rsidRDefault="009A1497">
      <w:pPr>
        <w:pStyle w:val="Nadpis20"/>
        <w:keepNext/>
        <w:keepLines/>
        <w:shd w:val="clear" w:color="auto" w:fill="auto"/>
      </w:pPr>
      <w:bookmarkStart w:id="7" w:name="bookmark8"/>
      <w:bookmarkStart w:id="8" w:name="bookmark9"/>
      <w:r>
        <w:t>Předmět Dodatku</w:t>
      </w:r>
      <w:bookmarkEnd w:id="7"/>
      <w:bookmarkEnd w:id="8"/>
    </w:p>
    <w:p w:rsidR="009E7580" w:rsidRDefault="009A1497">
      <w:pPr>
        <w:pStyle w:val="Zkladntext1"/>
        <w:numPr>
          <w:ilvl w:val="0"/>
          <w:numId w:val="4"/>
        </w:numPr>
        <w:shd w:val="clear" w:color="auto" w:fill="auto"/>
        <w:tabs>
          <w:tab w:val="left" w:pos="740"/>
        </w:tabs>
        <w:jc w:val="both"/>
      </w:pPr>
      <w:r>
        <w:t>Smluvní strany se tímto Dodatkem dohodly na změně vybraných ujednání Smlouvy.</w:t>
      </w:r>
    </w:p>
    <w:p w:rsidR="009E7580" w:rsidRDefault="009A1497">
      <w:pPr>
        <w:pStyle w:val="Zkladntext1"/>
        <w:numPr>
          <w:ilvl w:val="0"/>
          <w:numId w:val="4"/>
        </w:numPr>
        <w:shd w:val="clear" w:color="auto" w:fill="auto"/>
        <w:tabs>
          <w:tab w:val="left" w:pos="740"/>
        </w:tabs>
        <w:ind w:left="680" w:hanging="680"/>
        <w:jc w:val="both"/>
      </w:pPr>
      <w:r>
        <w:t xml:space="preserve">Smluvní strany se tímto Dodatkem dohodly, že předmět Smlouvy se doplňuje o dodatečné doplňující plnění, (dále téže jen </w:t>
      </w:r>
      <w:r>
        <w:rPr>
          <w:b/>
          <w:bCs/>
        </w:rPr>
        <w:t xml:space="preserve">„Doplňující plnění“), </w:t>
      </w:r>
      <w:r>
        <w:t xml:space="preserve">které bude předcházet plnění třetí etapy dle čl. </w:t>
      </w:r>
      <w:r>
        <w:rPr>
          <w:lang w:val="en-US" w:eastAsia="en-US" w:bidi="en-US"/>
        </w:rPr>
        <w:t xml:space="preserve">Ill </w:t>
      </w:r>
      <w:r>
        <w:t xml:space="preserve">písm. odst. 1 písm. c) Smlouvy a které bude spočívat v aktualizaci, úpravě a doplnění Zhotovitelem již dodaného plnění dle čl. </w:t>
      </w:r>
      <w:r>
        <w:rPr>
          <w:lang w:val="en-US" w:eastAsia="en-US" w:bidi="en-US"/>
        </w:rPr>
        <w:t xml:space="preserve">Ill </w:t>
      </w:r>
      <w:r>
        <w:t xml:space="preserve">odst. 1 písm. a) a b) Smlouvy (tj. plnění první a druhé etapy plnění). Doplňující plnění zahrnuje též prezentace, konzultace a účast na jednání objednatele. </w:t>
      </w:r>
      <w:r>
        <w:rPr>
          <w:b/>
          <w:bCs/>
        </w:rPr>
        <w:t>Za článek I odst</w:t>
      </w:r>
      <w:r w:rsidR="00DB14FB">
        <w:rPr>
          <w:b/>
          <w:bCs/>
        </w:rPr>
        <w:t>.</w:t>
      </w:r>
      <w:r>
        <w:rPr>
          <w:b/>
          <w:bCs/>
        </w:rPr>
        <w:t xml:space="preserve"> 2 se vkládá nový odstavec 3, </w:t>
      </w:r>
      <w:r>
        <w:t>který zní:</w:t>
      </w:r>
    </w:p>
    <w:p w:rsidR="009E7580" w:rsidRDefault="009A1497">
      <w:pPr>
        <w:pStyle w:val="Zkladntext1"/>
        <w:shd w:val="clear" w:color="auto" w:fill="auto"/>
        <w:spacing w:line="262" w:lineRule="auto"/>
        <w:ind w:left="680" w:firstLine="40"/>
        <w:jc w:val="both"/>
        <w:sectPr w:rsidR="009E7580">
          <w:footerReference w:type="default" r:id="rId7"/>
          <w:pgSz w:w="11900" w:h="16840"/>
          <w:pgMar w:top="1734" w:right="1229" w:bottom="1734" w:left="1402" w:header="1306" w:footer="3" w:gutter="0"/>
          <w:cols w:space="720"/>
          <w:noEndnote/>
          <w:docGrid w:linePitch="360"/>
        </w:sectPr>
      </w:pPr>
      <w:r>
        <w:t xml:space="preserve">„3. </w:t>
      </w:r>
      <w:r>
        <w:rPr>
          <w:i/>
          <w:iCs/>
        </w:rPr>
        <w:t xml:space="preserve">Před započetím 3. etapy plnění se zhotovitel zavazuje provést dodatečné doplňující plnění spočívající v aktualizaci, úpravě a doplnění plnění 1. a 2. etapy (dále též jen </w:t>
      </w:r>
      <w:r>
        <w:rPr>
          <w:b/>
          <w:bCs/>
          <w:i/>
          <w:iCs/>
        </w:rPr>
        <w:t xml:space="preserve">„Doplňující plnění“). </w:t>
      </w:r>
      <w:r>
        <w:rPr>
          <w:i/>
          <w:iCs/>
        </w:rPr>
        <w:t>Doplňující plnění bude provedeno ve třech etapách.“</w:t>
      </w:r>
    </w:p>
    <w:p w:rsidR="009E7580" w:rsidRDefault="009A1497">
      <w:pPr>
        <w:pStyle w:val="Zkladntext1"/>
        <w:shd w:val="clear" w:color="auto" w:fill="auto"/>
        <w:spacing w:line="262" w:lineRule="auto"/>
        <w:ind w:left="660" w:firstLine="60"/>
        <w:jc w:val="both"/>
      </w:pPr>
      <w:r>
        <w:lastRenderedPageBreak/>
        <w:t>Ustanovení stávajícího čl. I. odst. 3 zůstává zachováno, pouze se odpovídajícím způsobem mění jeho číslování.</w:t>
      </w:r>
    </w:p>
    <w:p w:rsidR="009E7580" w:rsidRDefault="009A1497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691"/>
        </w:tabs>
        <w:jc w:val="left"/>
      </w:pPr>
      <w:bookmarkStart w:id="9" w:name="bookmark10"/>
      <w:bookmarkStart w:id="10" w:name="bookmark11"/>
      <w:r>
        <w:t>Za článek II odst</w:t>
      </w:r>
      <w:r w:rsidR="00DB14FB">
        <w:t>.</w:t>
      </w:r>
      <w:r>
        <w:t xml:space="preserve"> 3 se vkládá nový odstavec 4, </w:t>
      </w:r>
      <w:r>
        <w:rPr>
          <w:b w:val="0"/>
          <w:bCs w:val="0"/>
        </w:rPr>
        <w:t>který zní:</w:t>
      </w:r>
      <w:bookmarkEnd w:id="9"/>
      <w:bookmarkEnd w:id="10"/>
    </w:p>
    <w:p w:rsidR="009E7580" w:rsidRDefault="009A1497">
      <w:pPr>
        <w:pStyle w:val="Zkladntext1"/>
        <w:shd w:val="clear" w:color="auto" w:fill="auto"/>
        <w:spacing w:after="0" w:line="266" w:lineRule="auto"/>
        <w:ind w:left="660" w:firstLine="60"/>
        <w:jc w:val="both"/>
      </w:pPr>
      <w:r>
        <w:rPr>
          <w:i/>
          <w:iCs/>
        </w:rPr>
        <w:t>„4. Doplňující plnění - aktualizace a doplnění celkové analýzy</w:t>
      </w:r>
      <w:r>
        <w:t xml:space="preserve"> a </w:t>
      </w:r>
      <w:r>
        <w:rPr>
          <w:i/>
          <w:iCs/>
        </w:rPr>
        <w:t>specifikace o další relevantní oblasti. Doplňující plnění zahrnuje prezentace, konzultace a účast na jednáních objednatele. Doplňující plnění bude provedeno ve třech etapách, a to:</w:t>
      </w:r>
    </w:p>
    <w:p w:rsidR="009E7580" w:rsidRDefault="009A1497">
      <w:pPr>
        <w:pStyle w:val="Zkladntext1"/>
        <w:numPr>
          <w:ilvl w:val="0"/>
          <w:numId w:val="6"/>
        </w:numPr>
        <w:shd w:val="clear" w:color="auto" w:fill="auto"/>
        <w:tabs>
          <w:tab w:val="left" w:pos="915"/>
        </w:tabs>
        <w:spacing w:after="0" w:line="266" w:lineRule="auto"/>
        <w:ind w:left="660" w:firstLine="60"/>
        <w:jc w:val="both"/>
      </w:pPr>
      <w:r>
        <w:rPr>
          <w:i/>
          <w:iCs/>
        </w:rPr>
        <w:t>1. etapa Doplňujícího plnění - Doplnění a aktualizace současné dokumentace dle Oblasti dodáni, Účast na prezentacích a jednáních NGP a externích dodavatelů, zahrnuje konzultace v rozsahu potřebném k naplnění účelu a dosažení výsledku této 1. etapy Doplňujícího plnění, předpoklad cca</w:t>
      </w:r>
      <w:r>
        <w:t xml:space="preserve"> 7 </w:t>
      </w:r>
      <w:r>
        <w:rPr>
          <w:i/>
          <w:iCs/>
        </w:rPr>
        <w:t>konzultací;</w:t>
      </w:r>
    </w:p>
    <w:p w:rsidR="009E7580" w:rsidRDefault="009A1497">
      <w:pPr>
        <w:pStyle w:val="Zkladntext1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66" w:lineRule="auto"/>
        <w:ind w:left="660" w:firstLine="60"/>
        <w:jc w:val="both"/>
      </w:pPr>
      <w:r>
        <w:rPr>
          <w:i/>
          <w:iCs/>
        </w:rPr>
        <w:t>2. etapa Doplňujícího plnění - Aktualizace nabídky na trhu potencionálních dodavatelů a jejich prezentace, zahrnuje konzultace v rozsahu potřebném k naplněn</w:t>
      </w:r>
      <w:r w:rsidR="00DB14FB">
        <w:rPr>
          <w:i/>
          <w:iCs/>
        </w:rPr>
        <w:t>í</w:t>
      </w:r>
      <w:r>
        <w:rPr>
          <w:i/>
          <w:iCs/>
        </w:rPr>
        <w:t xml:space="preserve"> účelu a dosažení výsledku této 2. etapy Doplňujícího plněn, předpoklad cca 2 konzultace;</w:t>
      </w:r>
    </w:p>
    <w:p w:rsidR="009E7580" w:rsidRDefault="009A1497">
      <w:pPr>
        <w:pStyle w:val="Zkladntext1"/>
        <w:numPr>
          <w:ilvl w:val="0"/>
          <w:numId w:val="6"/>
        </w:numPr>
        <w:shd w:val="clear" w:color="auto" w:fill="auto"/>
        <w:tabs>
          <w:tab w:val="left" w:pos="1058"/>
        </w:tabs>
        <w:spacing w:after="480" w:line="266" w:lineRule="auto"/>
        <w:ind w:left="660" w:firstLine="60"/>
        <w:jc w:val="both"/>
      </w:pPr>
      <w:r>
        <w:rPr>
          <w:i/>
          <w:iCs/>
        </w:rPr>
        <w:t>3. etapa Doplňujícího plnění - Celková finalizace a konsolidace doplněné dokumentace, zahrnuje prezentace v rozsahu potřebném k naplnění účelu a dosažení výsledku této 3. etapy Doplňujícího plnění, předpoklad cca 1 prezentace.“</w:t>
      </w:r>
    </w:p>
    <w:p w:rsidR="009E7580" w:rsidRDefault="009A1497">
      <w:pPr>
        <w:pStyle w:val="Zkladntext1"/>
        <w:shd w:val="clear" w:color="auto" w:fill="auto"/>
        <w:spacing w:line="266" w:lineRule="auto"/>
        <w:ind w:left="660" w:firstLine="60"/>
        <w:jc w:val="both"/>
      </w:pPr>
      <w:r>
        <w:t xml:space="preserve">Bližší specifikace Doplňujícího plnění je uveden v příloze č. 1 tohoto Dodatku , která se stává nedílnou součástí Smlouvy a její přílohy </w:t>
      </w:r>
      <w:proofErr w:type="gramStart"/>
      <w:r>
        <w:t>č.1.</w:t>
      </w:r>
      <w:proofErr w:type="gramEnd"/>
    </w:p>
    <w:p w:rsidR="009E7580" w:rsidRDefault="009A1497">
      <w:pPr>
        <w:pStyle w:val="Zkladntext1"/>
        <w:shd w:val="clear" w:color="auto" w:fill="auto"/>
        <w:spacing w:line="262" w:lineRule="auto"/>
        <w:ind w:left="660" w:firstLine="60"/>
        <w:jc w:val="both"/>
      </w:pPr>
      <w:r>
        <w:t>Ustanovení stávajícího čl. II. odst. 4 zůstává zachováno, pouze se odpovídajícím způsobem mění jeho číslování</w:t>
      </w:r>
    </w:p>
    <w:p w:rsidR="009E7580" w:rsidRDefault="009A1497">
      <w:pPr>
        <w:pStyle w:val="Zkladntext1"/>
        <w:numPr>
          <w:ilvl w:val="0"/>
          <w:numId w:val="7"/>
        </w:numPr>
        <w:shd w:val="clear" w:color="auto" w:fill="auto"/>
        <w:tabs>
          <w:tab w:val="left" w:pos="691"/>
        </w:tabs>
        <w:spacing w:line="271" w:lineRule="auto"/>
        <w:ind w:left="660" w:hanging="660"/>
        <w:jc w:val="both"/>
      </w:pPr>
      <w:r>
        <w:t xml:space="preserve">S ohledem na rozšíření předmětu plnění dle Smlouvy o Doplňující plnění se smluvní strany dohodly na navýšení původní ceny za dílo o 237.500,- Kč bez </w:t>
      </w:r>
      <w:proofErr w:type="gramStart"/>
      <w:r>
        <w:t>DPH ,tj.</w:t>
      </w:r>
      <w:proofErr w:type="gramEnd"/>
      <w:r>
        <w:t xml:space="preserve"> o 287.375 Kč vč. DPH. Smluvní strany se proto dohodly, že </w:t>
      </w:r>
      <w:r>
        <w:rPr>
          <w:b/>
          <w:bCs/>
        </w:rPr>
        <w:t xml:space="preserve">v čl. </w:t>
      </w:r>
      <w:r>
        <w:rPr>
          <w:b/>
          <w:bCs/>
          <w:lang w:val="en-US" w:eastAsia="en-US" w:bidi="en-US"/>
        </w:rPr>
        <w:t xml:space="preserve">Ill </w:t>
      </w:r>
      <w:r>
        <w:rPr>
          <w:b/>
          <w:bCs/>
        </w:rPr>
        <w:t>odst</w:t>
      </w:r>
      <w:r w:rsidR="00DB14FB">
        <w:rPr>
          <w:b/>
          <w:bCs/>
        </w:rPr>
        <w:t>.</w:t>
      </w:r>
      <w:r>
        <w:rPr>
          <w:b/>
          <w:bCs/>
        </w:rPr>
        <w:t xml:space="preserve"> 1 se za písmeno c) vkládá písm. d) a poslední věta </w:t>
      </w:r>
      <w:proofErr w:type="spellStart"/>
      <w:r>
        <w:rPr>
          <w:b/>
          <w:bCs/>
        </w:rPr>
        <w:t>čl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 w:eastAsia="en-US" w:bidi="en-US"/>
        </w:rPr>
        <w:t xml:space="preserve">III </w:t>
      </w:r>
      <w:r>
        <w:rPr>
          <w:b/>
          <w:bCs/>
        </w:rPr>
        <w:t>odst</w:t>
      </w:r>
      <w:r w:rsidR="00DB14FB">
        <w:rPr>
          <w:b/>
          <w:bCs/>
        </w:rPr>
        <w:t>.</w:t>
      </w:r>
      <w:r>
        <w:rPr>
          <w:b/>
          <w:bCs/>
        </w:rPr>
        <w:t xml:space="preserve"> 1 se nahrazuje novým zněním:</w:t>
      </w:r>
    </w:p>
    <w:p w:rsidR="009E7580" w:rsidRDefault="009A1497">
      <w:pPr>
        <w:pStyle w:val="Zkladntext1"/>
        <w:shd w:val="clear" w:color="auto" w:fill="auto"/>
        <w:ind w:left="660" w:firstLine="60"/>
        <w:jc w:val="both"/>
      </w:pPr>
      <w:proofErr w:type="gramStart"/>
      <w:r>
        <w:rPr>
          <w:i/>
          <w:iCs/>
        </w:rPr>
        <w:t>,,d) Doplňující</w:t>
      </w:r>
      <w:proofErr w:type="gramEnd"/>
      <w:r>
        <w:rPr>
          <w:i/>
          <w:iCs/>
        </w:rPr>
        <w:t xml:space="preserve"> plnění, tj. i) první etapa Doplňujícího plnění (Doplnění a aktualizace současné dokumentace dle Oblasti dodání Účast na prezentacích a jednáních NGP a externích dodavatelů, konzultace) - 142.500,- Kč bez DPH, </w:t>
      </w:r>
      <w:proofErr w:type="spellStart"/>
      <w:r>
        <w:rPr>
          <w:i/>
          <w:iCs/>
        </w:rPr>
        <w:t>ii</w:t>
      </w:r>
      <w:proofErr w:type="spellEnd"/>
      <w:r>
        <w:rPr>
          <w:i/>
          <w:iCs/>
        </w:rPr>
        <w:t xml:space="preserve">) druhá etapa Doplňujícího plnění (Aktualizace nabídky na trhu potencionálních dodavatelů a jejich prezentace, konzultace) - 47.500,- Kč bez DPH; </w:t>
      </w:r>
      <w:proofErr w:type="spellStart"/>
      <w:r>
        <w:rPr>
          <w:i/>
          <w:iCs/>
        </w:rPr>
        <w:t>iii</w:t>
      </w:r>
      <w:proofErr w:type="spellEnd"/>
      <w:r>
        <w:rPr>
          <w:i/>
          <w:iCs/>
        </w:rPr>
        <w:t xml:space="preserve">) 3. etapa Doplňujícího plnění (Celková finalizace a konsolidace doplněné dokumentace, prezentace) - 47.500,- Kč bez DPH; tj. celkem za Doplňující plnění částka ve výši 237.500,- Kč bez </w:t>
      </w:r>
      <w:proofErr w:type="gramStart"/>
      <w:r>
        <w:rPr>
          <w:i/>
          <w:iCs/>
        </w:rPr>
        <w:t>DPH ,tj.</w:t>
      </w:r>
      <w:proofErr w:type="gramEnd"/>
      <w:r>
        <w:rPr>
          <w:i/>
          <w:iCs/>
        </w:rPr>
        <w:t xml:space="preserve"> 287.375 Kč vč. DPH“</w:t>
      </w:r>
    </w:p>
    <w:p w:rsidR="009E7580" w:rsidRDefault="009A1497">
      <w:pPr>
        <w:pStyle w:val="Zkladntext1"/>
        <w:shd w:val="clear" w:color="auto" w:fill="auto"/>
        <w:spacing w:line="262" w:lineRule="auto"/>
        <w:ind w:left="660" w:firstLine="60"/>
        <w:jc w:val="both"/>
      </w:pPr>
      <w:r>
        <w:rPr>
          <w:b/>
          <w:bCs/>
          <w:i/>
          <w:iCs/>
        </w:rPr>
        <w:t xml:space="preserve">„Celková cena za veškeré plnění dle této smlouvy činí 617.500,- Kč bez DPH </w:t>
      </w:r>
      <w:r>
        <w:rPr>
          <w:i/>
          <w:iCs/>
        </w:rPr>
        <w:t>(slovy šest set sedmnáct tisíc pět set korun českých), tj. 747,175,- Kč vč. DPH. “</w:t>
      </w:r>
    </w:p>
    <w:p w:rsidR="009E7580" w:rsidRDefault="009A1497">
      <w:pPr>
        <w:pStyle w:val="Zkladntext1"/>
        <w:numPr>
          <w:ilvl w:val="0"/>
          <w:numId w:val="7"/>
        </w:numPr>
        <w:shd w:val="clear" w:color="auto" w:fill="auto"/>
        <w:tabs>
          <w:tab w:val="left" w:pos="691"/>
        </w:tabs>
        <w:spacing w:line="257" w:lineRule="auto"/>
        <w:ind w:left="660" w:hanging="660"/>
        <w:jc w:val="both"/>
      </w:pPr>
      <w:r>
        <w:t xml:space="preserve">Smluvní strany se dohodly na úpravě platebních podmínek za Doplňující plnění následovně. </w:t>
      </w:r>
      <w:r>
        <w:rPr>
          <w:b/>
          <w:bCs/>
        </w:rPr>
        <w:t>V čl. IV se mění odst</w:t>
      </w:r>
      <w:r w:rsidR="00DB14FB">
        <w:rPr>
          <w:b/>
          <w:bCs/>
        </w:rPr>
        <w:t>.</w:t>
      </w:r>
      <w:r>
        <w:rPr>
          <w:b/>
          <w:bCs/>
        </w:rPr>
        <w:t xml:space="preserve"> 1 a 2 </w:t>
      </w:r>
      <w:r>
        <w:t>tak, že nově zní</w:t>
      </w:r>
    </w:p>
    <w:p w:rsidR="009E7580" w:rsidRDefault="009A1497">
      <w:pPr>
        <w:pStyle w:val="Zkladntext1"/>
        <w:shd w:val="clear" w:color="auto" w:fill="auto"/>
        <w:spacing w:after="2240" w:line="262" w:lineRule="auto"/>
        <w:ind w:left="660" w:firstLine="60"/>
        <w:jc w:val="both"/>
      </w:pPr>
      <w:r>
        <w:rPr>
          <w:i/>
          <w:iCs/>
        </w:rPr>
        <w:t xml:space="preserve">„1. Cena za plnění dle této smlouvy bude uhrazena po částech ve výši dle čl. </w:t>
      </w:r>
      <w:r>
        <w:rPr>
          <w:i/>
          <w:iCs/>
          <w:lang w:val="en-US" w:eastAsia="en-US" w:bidi="en-US"/>
        </w:rPr>
        <w:t xml:space="preserve">Ill </w:t>
      </w:r>
      <w:r>
        <w:rPr>
          <w:i/>
          <w:iCs/>
        </w:rPr>
        <w:t xml:space="preserve">odst. 1 za jednotlivé etapy. Cena bude uhrazena po řádném provedení veškerého plnění jednotlivé etapy, a to s výjimkou ceny za první etapu Doplňujícího plnění dle čl. </w:t>
      </w:r>
      <w:r>
        <w:rPr>
          <w:i/>
          <w:iCs/>
          <w:lang w:val="en-US" w:eastAsia="en-US" w:bidi="en-US"/>
        </w:rPr>
        <w:t xml:space="preserve">Ill </w:t>
      </w:r>
      <w:r>
        <w:rPr>
          <w:i/>
          <w:iCs/>
        </w:rPr>
        <w:t xml:space="preserve">odst. 1) písm. d) ad i), která bude uhrazena do </w:t>
      </w:r>
      <w:proofErr w:type="gramStart"/>
      <w:r>
        <w:rPr>
          <w:i/>
          <w:iCs/>
        </w:rPr>
        <w:t>31.12.2021</w:t>
      </w:r>
      <w:proofErr w:type="gramEnd"/>
      <w:r>
        <w:rPr>
          <w:i/>
          <w:iCs/>
        </w:rPr>
        <w:t>.</w:t>
      </w:r>
    </w:p>
    <w:p w:rsidR="009E7580" w:rsidRDefault="009E7580">
      <w:pPr>
        <w:jc w:val="center"/>
        <w:rPr>
          <w:sz w:val="2"/>
          <w:szCs w:val="2"/>
        </w:rPr>
        <w:sectPr w:rsidR="009E7580">
          <w:pgSz w:w="11900" w:h="16840"/>
          <w:pgMar w:top="1654" w:right="1234" w:bottom="125" w:left="1344" w:header="1226" w:footer="3" w:gutter="0"/>
          <w:cols w:space="720"/>
          <w:noEndnote/>
          <w:docGrid w:linePitch="360"/>
        </w:sectPr>
      </w:pPr>
    </w:p>
    <w:p w:rsidR="009E7580" w:rsidRDefault="009A1497">
      <w:pPr>
        <w:pStyle w:val="Zkladntext1"/>
        <w:shd w:val="clear" w:color="auto" w:fill="auto"/>
        <w:ind w:left="700" w:firstLine="40"/>
        <w:jc w:val="both"/>
      </w:pPr>
      <w:r>
        <w:lastRenderedPageBreak/>
        <w:t xml:space="preserve">2. </w:t>
      </w:r>
      <w:r>
        <w:rPr>
          <w:i/>
          <w:iCs/>
        </w:rPr>
        <w:t xml:space="preserve">Zálohové platby se nesjednávají. Cena bude hrazena na základě faktur vystavených zhotovitelem, vždy po provedení a řádném předáni a převzetí veškerého plnění jednotlivé etapy dle čl. I odst. 2 a 3, a to s výjimkou faktury na úhradu ceny za první etapu Doplňujícího plnění dle čl. </w:t>
      </w:r>
      <w:r>
        <w:rPr>
          <w:i/>
          <w:iCs/>
          <w:lang w:val="en-US" w:eastAsia="en-US" w:bidi="en-US"/>
        </w:rPr>
        <w:t xml:space="preserve">Ill </w:t>
      </w:r>
      <w:r>
        <w:rPr>
          <w:i/>
          <w:iCs/>
        </w:rPr>
        <w:t>odst. 1) písm. d) ad i) která bude vystavena bez zbytečného odkladu po nabytí účinnosti této smlouvy. Objednatel si vyhrazuje právo nepřevzít části díla, resp. plnění, které vykazují vady a nedodělky.“</w:t>
      </w:r>
    </w:p>
    <w:p w:rsidR="009E7580" w:rsidRDefault="009A149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line="262" w:lineRule="auto"/>
        <w:ind w:left="700" w:hanging="700"/>
        <w:jc w:val="both"/>
      </w:pPr>
      <w:r>
        <w:t xml:space="preserve">Smluvní strany se dohodly na termínech plnění Doplňujícího plnění. V </w:t>
      </w:r>
      <w:r>
        <w:rPr>
          <w:b/>
          <w:bCs/>
        </w:rPr>
        <w:t xml:space="preserve">čl. V odst. 1 se za </w:t>
      </w:r>
      <w:proofErr w:type="spellStart"/>
      <w:r>
        <w:rPr>
          <w:b/>
          <w:bCs/>
        </w:rPr>
        <w:t>písm</w:t>
      </w:r>
      <w:proofErr w:type="spellEnd"/>
      <w:r>
        <w:rPr>
          <w:b/>
          <w:bCs/>
        </w:rPr>
        <w:t xml:space="preserve"> c) vkládá nové písm. d), </w:t>
      </w:r>
      <w:r>
        <w:t>které zní:</w:t>
      </w:r>
    </w:p>
    <w:p w:rsidR="009E7580" w:rsidRDefault="009A1497">
      <w:pPr>
        <w:pStyle w:val="Zkladntext1"/>
        <w:shd w:val="clear" w:color="auto" w:fill="auto"/>
        <w:spacing w:after="0" w:line="262" w:lineRule="auto"/>
        <w:ind w:firstLine="700"/>
        <w:jc w:val="both"/>
      </w:pPr>
      <w:proofErr w:type="gramStart"/>
      <w:r>
        <w:rPr>
          <w:i/>
          <w:iCs/>
        </w:rPr>
        <w:t>,,d) Doplňující</w:t>
      </w:r>
      <w:proofErr w:type="gramEnd"/>
      <w:r>
        <w:rPr>
          <w:i/>
          <w:iCs/>
        </w:rPr>
        <w:t xml:space="preserve"> plnění se zhotovitel zavazuje dokončit a předat v následujících termínech:</w:t>
      </w:r>
    </w:p>
    <w:p w:rsidR="009E7580" w:rsidRDefault="009A1497">
      <w:pPr>
        <w:pStyle w:val="Zkladntext1"/>
        <w:numPr>
          <w:ilvl w:val="0"/>
          <w:numId w:val="8"/>
        </w:numPr>
        <w:shd w:val="clear" w:color="auto" w:fill="auto"/>
        <w:tabs>
          <w:tab w:val="left" w:pos="964"/>
        </w:tabs>
        <w:spacing w:after="0" w:line="262" w:lineRule="auto"/>
        <w:ind w:firstLine="700"/>
        <w:jc w:val="both"/>
      </w:pPr>
      <w:r>
        <w:rPr>
          <w:i/>
          <w:iCs/>
        </w:rPr>
        <w:t>1. etapa Doplňujícího plnění- do 45 dnů od nabytí účinnosti Dodatku č. 1 ke smlouvě</w:t>
      </w:r>
    </w:p>
    <w:p w:rsidR="009E7580" w:rsidRDefault="009A1497">
      <w:pPr>
        <w:pStyle w:val="Zkladntext1"/>
        <w:numPr>
          <w:ilvl w:val="0"/>
          <w:numId w:val="8"/>
        </w:numPr>
        <w:shd w:val="clear" w:color="auto" w:fill="auto"/>
        <w:tabs>
          <w:tab w:val="left" w:pos="1013"/>
        </w:tabs>
        <w:spacing w:after="0" w:line="262" w:lineRule="auto"/>
        <w:ind w:left="700" w:firstLine="40"/>
        <w:jc w:val="both"/>
      </w:pPr>
      <w:r>
        <w:rPr>
          <w:i/>
          <w:iCs/>
        </w:rPr>
        <w:t>2. etapa Doplňujícího plnění - do 15 dnů od ukončení, předání a převzetí 1. etapy Doplňujícího plněni</w:t>
      </w:r>
    </w:p>
    <w:p w:rsidR="009E7580" w:rsidRDefault="009A1497">
      <w:pPr>
        <w:pStyle w:val="Zkladntext1"/>
        <w:numPr>
          <w:ilvl w:val="0"/>
          <w:numId w:val="8"/>
        </w:numPr>
        <w:shd w:val="clear" w:color="auto" w:fill="auto"/>
        <w:tabs>
          <w:tab w:val="left" w:pos="1056"/>
        </w:tabs>
        <w:spacing w:line="262" w:lineRule="auto"/>
        <w:ind w:left="700" w:firstLine="40"/>
        <w:jc w:val="both"/>
      </w:pPr>
      <w:r>
        <w:rPr>
          <w:i/>
          <w:iCs/>
        </w:rPr>
        <w:t>3. etapa Doplňujícího plnění - do 15 od ukončení, předání a převzetí 2. etapy Doplňujícího plnění. “</w:t>
      </w:r>
    </w:p>
    <w:p w:rsidR="009E7580" w:rsidRDefault="009A149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:rsidR="009E7580" w:rsidRDefault="009A1497">
      <w:pPr>
        <w:pStyle w:val="Nadpis20"/>
        <w:keepNext/>
        <w:keepLines/>
        <w:shd w:val="clear" w:color="auto" w:fill="auto"/>
      </w:pPr>
      <w:bookmarkStart w:id="11" w:name="bookmark12"/>
      <w:bookmarkStart w:id="12" w:name="bookmark13"/>
      <w:r>
        <w:t>Závěrečná ujednání</w:t>
      </w:r>
      <w:bookmarkEnd w:id="11"/>
      <w:bookmarkEnd w:id="12"/>
    </w:p>
    <w:p w:rsidR="009E7580" w:rsidRDefault="009A1497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jc w:val="both"/>
      </w:pPr>
      <w:r>
        <w:t>Kromě výše uvedených změn zůstávají ostatní ustanovení Smlouvy beze změn.</w:t>
      </w:r>
    </w:p>
    <w:p w:rsidR="009E7580" w:rsidRDefault="009A1497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line="266" w:lineRule="auto"/>
        <w:ind w:left="700" w:hanging="700"/>
        <w:jc w:val="both"/>
      </w:pPr>
      <w:r>
        <w:t>Tento Dodatek je vyhotoven ve čtyřech shodných výtiscích v českém jazyce, přičemž každá ze smluvních stran obdrží po dvou vyhotoveních.</w:t>
      </w:r>
    </w:p>
    <w:p w:rsidR="009E7580" w:rsidRDefault="009A1497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700" w:hanging="700"/>
        <w:jc w:val="both"/>
      </w:pPr>
      <w:r>
        <w:t xml:space="preserve">Tento Dodatek nabývá platnosti dnem podpisu obou smluvních stran. Účinnosti nabývá jeho uveřejněním v registru smluv podle zákona č. 340/2015 Sb., o registru smluv. Smluvní strany sjednávají, že uveřejnění Dodatku provede objednatel. Obě strany berou na vědomí, že nebudou uveřejněny pouze ty informace, které nelze poskytnout podle předpisů upravujících svobodný přístup k informacím. Považuje- </w:t>
      </w:r>
      <w:proofErr w:type="spellStart"/>
      <w:r>
        <w:t>li</w:t>
      </w:r>
      <w:proofErr w:type="spellEnd"/>
      <w:r>
        <w:t xml:space="preserve"> zhotovitel některé informace uvedené v tomto Dodatku za informace, které nemohou být uveřejněny v registru smluv podle zákona č. 340/2015 Sb., je povinen na to objednatele současně s uzavřením tohoto Dodatku písemně upozornit.</w:t>
      </w:r>
    </w:p>
    <w:p w:rsidR="009E7580" w:rsidRDefault="009A1497">
      <w:pPr>
        <w:pStyle w:val="Zkladntext1"/>
        <w:numPr>
          <w:ilvl w:val="0"/>
          <w:numId w:val="10"/>
        </w:numPr>
        <w:shd w:val="clear" w:color="auto" w:fill="auto"/>
        <w:tabs>
          <w:tab w:val="left" w:pos="702"/>
        </w:tabs>
        <w:spacing w:after="780"/>
        <w:jc w:val="both"/>
      </w:pPr>
      <w:r>
        <w:t>Nedílnou součástí tohoto Dodatku je příloha č. 1 - Specifikace Doplňujícího plnění</w:t>
      </w:r>
    </w:p>
    <w:p w:rsidR="009E7580" w:rsidRDefault="009A1497">
      <w:pPr>
        <w:pStyle w:val="Zkladntext1"/>
        <w:shd w:val="clear" w:color="auto" w:fill="auto"/>
        <w:spacing w:after="0" w:line="240" w:lineRule="auto"/>
        <w:ind w:firstLine="5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12700</wp:posOffset>
                </wp:positionV>
                <wp:extent cx="804545" cy="17081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7580" w:rsidRDefault="009A149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50.39999999999998pt;margin-top:1.pt;width:63.350000000000001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:rsidR="00DB14FB" w:rsidRDefault="00DB14FB">
      <w:pPr>
        <w:pStyle w:val="Zkladntext1"/>
        <w:shd w:val="clear" w:color="auto" w:fill="auto"/>
        <w:spacing w:after="0" w:line="240" w:lineRule="auto"/>
        <w:ind w:firstLine="580"/>
        <w:jc w:val="both"/>
        <w:sectPr w:rsidR="00DB14FB">
          <w:pgSz w:w="11900" w:h="16840"/>
          <w:pgMar w:top="1830" w:right="1205" w:bottom="1049" w:left="1378" w:header="1402" w:footer="3" w:gutter="0"/>
          <w:cols w:space="720"/>
          <w:noEndnote/>
          <w:docGrid w:linePitch="360"/>
        </w:sectPr>
      </w:pPr>
    </w:p>
    <w:p w:rsidR="009E7580" w:rsidRDefault="009E7580">
      <w:pPr>
        <w:spacing w:before="39" w:after="39" w:line="240" w:lineRule="exact"/>
        <w:rPr>
          <w:sz w:val="19"/>
          <w:szCs w:val="19"/>
        </w:rPr>
      </w:pPr>
    </w:p>
    <w:p w:rsidR="009E7580" w:rsidRDefault="009E7580">
      <w:pPr>
        <w:spacing w:line="1" w:lineRule="exact"/>
        <w:sectPr w:rsidR="009E7580">
          <w:type w:val="continuous"/>
          <w:pgSz w:w="11900" w:h="16840"/>
          <w:pgMar w:top="1830" w:right="0" w:bottom="607" w:left="0" w:header="0" w:footer="3" w:gutter="0"/>
          <w:cols w:space="720"/>
          <w:noEndnote/>
          <w:docGrid w:linePitch="360"/>
        </w:sectPr>
      </w:pPr>
    </w:p>
    <w:p w:rsidR="00DB14FB" w:rsidRDefault="00DB14FB" w:rsidP="00DB14FB">
      <w:pPr>
        <w:pStyle w:val="Zkladntext1"/>
        <w:framePr w:w="3658" w:h="605" w:wrap="none" w:vAnchor="text" w:hAnchor="page" w:x="2219" w:y="596"/>
        <w:shd w:val="clear" w:color="auto" w:fill="auto"/>
        <w:tabs>
          <w:tab w:val="left" w:pos="2894"/>
        </w:tabs>
        <w:spacing w:after="0" w:line="286" w:lineRule="auto"/>
      </w:pPr>
      <w:r>
        <w:t xml:space="preserve">objednatele:  </w:t>
      </w:r>
    </w:p>
    <w:p w:rsidR="00DB14FB" w:rsidRDefault="00CB0DA8" w:rsidP="00DB14FB">
      <w:pPr>
        <w:pStyle w:val="Zkladntext1"/>
        <w:framePr w:w="1872" w:h="758" w:wrap="none" w:vAnchor="text" w:hAnchor="page" w:x="1926" w:y="615"/>
        <w:shd w:val="clear" w:color="auto" w:fill="auto"/>
        <w:spacing w:after="0" w:line="257" w:lineRule="auto"/>
      </w:pPr>
      <w:r>
        <w:t>Za</w:t>
      </w:r>
      <w:r w:rsidR="00DB14FB">
        <w:t xml:space="preserve">                                            </w:t>
      </w:r>
      <w:proofErr w:type="spellStart"/>
      <w:r w:rsidR="00DB14FB">
        <w:t>Alicja</w:t>
      </w:r>
      <w:proofErr w:type="spellEnd"/>
      <w:r w:rsidR="00DB14FB">
        <w:t xml:space="preserve"> </w:t>
      </w:r>
      <w:proofErr w:type="spellStart"/>
      <w:r w:rsidR="00DB14FB">
        <w:t>Knast</w:t>
      </w:r>
      <w:proofErr w:type="spellEnd"/>
    </w:p>
    <w:p w:rsidR="00CB0DA8" w:rsidRDefault="00CB0DA8" w:rsidP="00DB14FB">
      <w:pPr>
        <w:pStyle w:val="Zkladntext1"/>
        <w:framePr w:w="1872" w:h="758" w:wrap="none" w:vAnchor="text" w:hAnchor="page" w:x="1926" w:y="615"/>
        <w:shd w:val="clear" w:color="auto" w:fill="auto"/>
        <w:spacing w:after="0" w:line="257" w:lineRule="auto"/>
      </w:pPr>
      <w:r>
        <w:t>generální ředitelka</w:t>
      </w:r>
    </w:p>
    <w:p w:rsidR="00CB0DA8" w:rsidRDefault="00CB0DA8">
      <w:pPr>
        <w:pStyle w:val="Zkladntext1"/>
        <w:framePr w:w="1762" w:h="797" w:wrap="none" w:vAnchor="text" w:hAnchor="page" w:x="6990" w:y="625"/>
        <w:shd w:val="clear" w:color="auto" w:fill="auto"/>
        <w:spacing w:after="0"/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zhotovitele</w:t>
      </w:r>
      <w:proofErr w:type="spellEnd"/>
      <w:r>
        <w:rPr>
          <w:lang w:val="en-US" w:eastAsia="en-US" w:bidi="en-US"/>
        </w:rPr>
        <w:t>:</w:t>
      </w:r>
    </w:p>
    <w:p w:rsidR="009E7580" w:rsidRDefault="009A1497">
      <w:pPr>
        <w:pStyle w:val="Zkladntext1"/>
        <w:framePr w:w="1762" w:h="797" w:wrap="none" w:vAnchor="text" w:hAnchor="page" w:x="6990" w:y="625"/>
        <w:shd w:val="clear" w:color="auto" w:fill="auto"/>
        <w:spacing w:after="0"/>
      </w:pPr>
      <w:proofErr w:type="spellStart"/>
      <w:r>
        <w:rPr>
          <w:lang w:val="en-US" w:eastAsia="en-US" w:bidi="en-US"/>
        </w:rPr>
        <w:t>Ing</w:t>
      </w:r>
      <w:proofErr w:type="spellEnd"/>
      <w:r>
        <w:rPr>
          <w:lang w:val="en-US" w:eastAsia="en-US" w:bidi="en-US"/>
        </w:rPr>
        <w:t xml:space="preserve">. </w:t>
      </w:r>
      <w:r>
        <w:t xml:space="preserve">Jan </w:t>
      </w:r>
      <w:proofErr w:type="spellStart"/>
      <w:r>
        <w:t>Sedlačík</w:t>
      </w:r>
      <w:proofErr w:type="spellEnd"/>
      <w:r>
        <w:t xml:space="preserve"> jednatel</w:t>
      </w: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line="360" w:lineRule="exact"/>
      </w:pPr>
    </w:p>
    <w:p w:rsidR="009E7580" w:rsidRDefault="009E7580">
      <w:pPr>
        <w:spacing w:after="561" w:line="1" w:lineRule="exact"/>
      </w:pPr>
    </w:p>
    <w:p w:rsidR="009E7580" w:rsidRDefault="009E7580">
      <w:pPr>
        <w:spacing w:line="1" w:lineRule="exact"/>
      </w:pPr>
    </w:p>
    <w:sectPr w:rsidR="009E7580">
      <w:type w:val="continuous"/>
      <w:pgSz w:w="11900" w:h="16840"/>
      <w:pgMar w:top="1830" w:right="1205" w:bottom="607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17" w:rsidRDefault="00336B17">
      <w:r>
        <w:separator/>
      </w:r>
    </w:p>
  </w:endnote>
  <w:endnote w:type="continuationSeparator" w:id="0">
    <w:p w:rsidR="00336B17" w:rsidRDefault="0033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80" w:rsidRDefault="009A149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10241915</wp:posOffset>
              </wp:positionV>
              <wp:extent cx="48895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7580" w:rsidRDefault="009A149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118E" w:rsidRPr="0016118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25.6pt;margin-top:806.45pt;width:3.85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" filled="f" stroked="f">
              <v:textbox style="mso-fit-shape-to-text:t" inset="0,0,0,0">
                <w:txbxContent>
                  <w:p w:rsidR="009E7580" w:rsidRDefault="009A149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118E" w:rsidRPr="0016118E">
                      <w:rPr>
                        <w:i/>
                        <w:iCs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17" w:rsidRDefault="00336B17"/>
  </w:footnote>
  <w:footnote w:type="continuationSeparator" w:id="0">
    <w:p w:rsidR="00336B17" w:rsidRDefault="00336B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E79"/>
    <w:multiLevelType w:val="multilevel"/>
    <w:tmpl w:val="80C8E50C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B4EEF"/>
    <w:multiLevelType w:val="multilevel"/>
    <w:tmpl w:val="B6DEDC2C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F7ED9"/>
    <w:multiLevelType w:val="multilevel"/>
    <w:tmpl w:val="3B2A1758"/>
    <w:lvl w:ilvl="0">
      <w:start w:val="4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0057A"/>
    <w:multiLevelType w:val="multilevel"/>
    <w:tmpl w:val="951E2458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63941"/>
    <w:multiLevelType w:val="multilevel"/>
    <w:tmpl w:val="7ECE1DE4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982DED"/>
    <w:multiLevelType w:val="multilevel"/>
    <w:tmpl w:val="1678562A"/>
    <w:lvl w:ilvl="0">
      <w:start w:val="4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4A257B"/>
    <w:multiLevelType w:val="multilevel"/>
    <w:tmpl w:val="346A18A6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8248A"/>
    <w:multiLevelType w:val="multilevel"/>
    <w:tmpl w:val="ECA4FB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130D08"/>
    <w:multiLevelType w:val="multilevel"/>
    <w:tmpl w:val="42B239F8"/>
    <w:lvl w:ilvl="0">
      <w:start w:val="3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E6689F"/>
    <w:multiLevelType w:val="multilevel"/>
    <w:tmpl w:val="BB3A5256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80"/>
    <w:rsid w:val="0016118E"/>
    <w:rsid w:val="00336B17"/>
    <w:rsid w:val="00946EAD"/>
    <w:rsid w:val="009A1497"/>
    <w:rsid w:val="009E7580"/>
    <w:rsid w:val="00CB0DA8"/>
    <w:rsid w:val="00DB14FB"/>
    <w:rsid w:val="00E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66B8"/>
  <w15:docId w15:val="{4691176F-EF11-4DF1-A65E-B7032243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66"/>
      <w:szCs w:val="16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09" w:lineRule="auto"/>
      <w:jc w:val="right"/>
      <w:outlineLvl w:val="0"/>
    </w:pPr>
    <w:rPr>
      <w:rFonts w:ascii="Arial" w:eastAsia="Arial" w:hAnsi="Arial" w:cs="Arial"/>
      <w:b/>
      <w:bCs/>
      <w:sz w:val="166"/>
      <w:szCs w:val="16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4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1234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kopirka2.PK-20211222154513</vt:lpstr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kopirka2.PK-20211222154513</dc:title>
  <dc:subject/>
  <dc:creator/>
  <cp:keywords/>
  <cp:lastModifiedBy>Zdenka Šímová</cp:lastModifiedBy>
  <cp:revision>4</cp:revision>
  <dcterms:created xsi:type="dcterms:W3CDTF">2021-12-28T08:47:00Z</dcterms:created>
  <dcterms:modified xsi:type="dcterms:W3CDTF">2021-12-28T15:13:00Z</dcterms:modified>
</cp:coreProperties>
</file>