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31BAA" w14:textId="77777777" w:rsidR="00291E5E" w:rsidRDefault="00F26309">
      <w:pPr>
        <w:spacing w:after="0" w:line="259" w:lineRule="auto"/>
        <w:ind w:right="355"/>
        <w:jc w:val="center"/>
      </w:pPr>
      <w:r>
        <w:rPr>
          <w:sz w:val="36"/>
        </w:rPr>
        <w:t>Bedřichovka spol. s r.o.</w:t>
      </w:r>
    </w:p>
    <w:p w14:paraId="27195314" w14:textId="77777777" w:rsidR="00291E5E" w:rsidRDefault="00F26309">
      <w:pPr>
        <w:spacing w:after="3" w:line="259" w:lineRule="auto"/>
        <w:ind w:left="10" w:hanging="10"/>
        <w:jc w:val="center"/>
      </w:pPr>
      <w:r>
        <w:t>517 64 Orlické Záhoří 61, okres Rychnov nad Kněžnou</w:t>
      </w:r>
    </w:p>
    <w:p w14:paraId="1194E5BC" w14:textId="77777777" w:rsidR="00291E5E" w:rsidRDefault="00F26309">
      <w:pPr>
        <w:spacing w:line="346" w:lineRule="auto"/>
        <w:ind w:left="3696" w:right="1498" w:hanging="15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19DFABB" wp14:editId="04A8B79F">
                <wp:simplePos x="0" y="0"/>
                <wp:positionH relativeFrom="column">
                  <wp:posOffset>-188975</wp:posOffset>
                </wp:positionH>
                <wp:positionV relativeFrom="paragraph">
                  <wp:posOffset>92525</wp:posOffset>
                </wp:positionV>
                <wp:extent cx="6626352" cy="9147"/>
                <wp:effectExtent l="0" t="0" r="0" b="0"/>
                <wp:wrapNone/>
                <wp:docPr id="11091" name="Group 11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6352" cy="9147"/>
                          <a:chOff x="0" y="0"/>
                          <a:chExt cx="6626352" cy="9147"/>
                        </a:xfrm>
                      </wpg:grpSpPr>
                      <wps:wsp>
                        <wps:cNvPr id="11090" name="Shape 11090"/>
                        <wps:cNvSpPr/>
                        <wps:spPr>
                          <a:xfrm>
                            <a:off x="0" y="0"/>
                            <a:ext cx="662635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352" h="9147">
                                <a:moveTo>
                                  <a:pt x="0" y="4573"/>
                                </a:moveTo>
                                <a:lnTo>
                                  <a:pt x="662635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091" style="width:521.76pt;height:0.7202pt;position:absolute;z-index:-2147483648;mso-position-horizontal-relative:text;mso-position-horizontal:absolute;margin-left:-14.88pt;mso-position-vertical-relative:text;margin-top:7.28542pt;" coordsize="66263,91">
                <v:shape id="Shape 11090" style="position:absolute;width:66263;height:91;left:0;top:0;" coordsize="6626352,9147" path="m0,4573l6626352,4573">
                  <v:stroke weight="0.72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Kontaktní tel: +420 775 346 832, email: info@bedrichovka.cz Smlouva o ubytování</w:t>
      </w:r>
    </w:p>
    <w:p w14:paraId="183E0B02" w14:textId="77777777" w:rsidR="00291E5E" w:rsidRDefault="00F26309">
      <w:pPr>
        <w:spacing w:after="180" w:line="259" w:lineRule="auto"/>
        <w:ind w:right="341"/>
        <w:jc w:val="center"/>
      </w:pPr>
      <w:r>
        <w:rPr>
          <w:sz w:val="16"/>
        </w:rPr>
        <w:t xml:space="preserve">uzavřená dle </w:t>
      </w:r>
      <w:proofErr w:type="spellStart"/>
      <w:r>
        <w:rPr>
          <w:sz w:val="16"/>
        </w:rPr>
        <w:t>ust</w:t>
      </w:r>
      <w:proofErr w:type="spellEnd"/>
      <w:r>
        <w:rPr>
          <w:sz w:val="16"/>
        </w:rPr>
        <w:t>. S 2326 a násl. zákona č. 89/2012 Sb. NOZ</w:t>
      </w:r>
    </w:p>
    <w:p w14:paraId="1F38F790" w14:textId="77777777" w:rsidR="00291E5E" w:rsidRDefault="00F26309">
      <w:pPr>
        <w:spacing w:after="3" w:line="259" w:lineRule="auto"/>
        <w:ind w:left="10" w:right="336" w:hanging="10"/>
        <w:jc w:val="center"/>
      </w:pPr>
      <w:r>
        <w:t>Sepsaná níže uvedeného dne mezi těmito účastníky:</w:t>
      </w:r>
    </w:p>
    <w:tbl>
      <w:tblPr>
        <w:tblStyle w:val="TableGrid"/>
        <w:tblW w:w="9254" w:type="dxa"/>
        <w:tblInd w:w="408" w:type="dxa"/>
        <w:tblCellMar>
          <w:top w:w="4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6115"/>
        <w:gridCol w:w="3139"/>
      </w:tblGrid>
      <w:tr w:rsidR="00291E5E" w14:paraId="711EE2EE" w14:textId="77777777">
        <w:trPr>
          <w:trHeight w:val="212"/>
        </w:trPr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</w:tcPr>
          <w:p w14:paraId="677E0CC0" w14:textId="77777777" w:rsidR="00291E5E" w:rsidRDefault="00F26309">
            <w:pPr>
              <w:spacing w:after="0" w:line="259" w:lineRule="auto"/>
              <w:ind w:right="0"/>
              <w:jc w:val="left"/>
            </w:pPr>
            <w:r>
              <w:t>Bedřichovka spol. s r.o.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14:paraId="69BC1FDA" w14:textId="77777777" w:rsidR="00291E5E" w:rsidRDefault="00F26309">
            <w:pPr>
              <w:spacing w:after="0" w:line="259" w:lineRule="auto"/>
              <w:ind w:right="0"/>
            </w:pPr>
            <w:r>
              <w:t xml:space="preserve">Základní škola </w:t>
            </w:r>
            <w:proofErr w:type="gramStart"/>
            <w:r>
              <w:t>Pardubice - Studánka</w:t>
            </w:r>
            <w:proofErr w:type="gramEnd"/>
          </w:p>
        </w:tc>
      </w:tr>
      <w:tr w:rsidR="00291E5E" w14:paraId="03808472" w14:textId="77777777">
        <w:trPr>
          <w:trHeight w:val="239"/>
        </w:trPr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</w:tcPr>
          <w:p w14:paraId="48F4C483" w14:textId="77777777" w:rsidR="00291E5E" w:rsidRDefault="00F26309">
            <w:pPr>
              <w:spacing w:after="0" w:line="259" w:lineRule="auto"/>
              <w:ind w:left="5" w:right="0"/>
              <w:jc w:val="left"/>
            </w:pPr>
            <w:r>
              <w:t>Třída SNP 615/51, Slezské Předměstí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14:paraId="7123BFC3" w14:textId="77777777" w:rsidR="00291E5E" w:rsidRDefault="00F26309">
            <w:pPr>
              <w:spacing w:after="0" w:line="259" w:lineRule="auto"/>
              <w:ind w:left="5" w:right="0"/>
              <w:jc w:val="left"/>
            </w:pPr>
            <w:r>
              <w:t>Pod Zahradami 317</w:t>
            </w:r>
          </w:p>
        </w:tc>
      </w:tr>
      <w:tr w:rsidR="00291E5E" w14:paraId="73C33017" w14:textId="77777777">
        <w:trPr>
          <w:trHeight w:val="352"/>
        </w:trPr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</w:tcPr>
          <w:p w14:paraId="7465AC67" w14:textId="77777777" w:rsidR="00291E5E" w:rsidRDefault="00F26309">
            <w:pPr>
              <w:spacing w:after="0" w:line="259" w:lineRule="auto"/>
              <w:ind w:left="10" w:right="0"/>
              <w:jc w:val="left"/>
            </w:pPr>
            <w:r>
              <w:t>500 03 Hradec Králové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14:paraId="7B93E4F3" w14:textId="77777777" w:rsidR="00291E5E" w:rsidRDefault="00F26309">
            <w:pPr>
              <w:spacing w:after="0" w:line="259" w:lineRule="auto"/>
              <w:ind w:left="10" w:right="0"/>
              <w:jc w:val="left"/>
            </w:pPr>
            <w:r>
              <w:t>530 03 Pardubice</w:t>
            </w:r>
          </w:p>
        </w:tc>
      </w:tr>
      <w:tr w:rsidR="00291E5E" w14:paraId="5A3BAED5" w14:textId="77777777">
        <w:trPr>
          <w:trHeight w:val="335"/>
        </w:trPr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8DF43" w14:textId="77777777" w:rsidR="00291E5E" w:rsidRDefault="00F26309">
            <w:pPr>
              <w:tabs>
                <w:tab w:val="center" w:pos="2837"/>
              </w:tabs>
              <w:spacing w:after="0" w:line="259" w:lineRule="auto"/>
              <w:ind w:right="0"/>
              <w:jc w:val="left"/>
            </w:pPr>
            <w:r>
              <w:t>1č:48949914</w:t>
            </w:r>
            <w:r>
              <w:tab/>
              <w:t>DIČ: CZ48949914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9DF63" w14:textId="77777777" w:rsidR="00291E5E" w:rsidRDefault="00F26309">
            <w:pPr>
              <w:spacing w:after="0" w:line="259" w:lineRule="auto"/>
              <w:ind w:left="5" w:right="0"/>
              <w:jc w:val="left"/>
            </w:pPr>
            <w:proofErr w:type="spellStart"/>
            <w:r>
              <w:t>lč</w:t>
            </w:r>
            <w:proofErr w:type="spellEnd"/>
            <w:r>
              <w:t>: 481 612 76</w:t>
            </w:r>
          </w:p>
        </w:tc>
      </w:tr>
    </w:tbl>
    <w:p w14:paraId="3EAF015D" w14:textId="77777777" w:rsidR="00291E5E" w:rsidRDefault="00F26309">
      <w:pPr>
        <w:ind w:left="413" w:right="14"/>
      </w:pPr>
      <w:r>
        <w:t>Krajský soud Hradec Králové, oddíl C vložka 18228</w:t>
      </w:r>
    </w:p>
    <w:p w14:paraId="5AD41A69" w14:textId="77777777" w:rsidR="00291E5E" w:rsidRDefault="00F26309">
      <w:pPr>
        <w:spacing w:line="379" w:lineRule="auto"/>
        <w:ind w:left="2712" w:right="1344" w:hanging="2294"/>
      </w:pPr>
      <w:r>
        <w:t>”dále jen Ubytovatel” ”dále jen Objednatel” Smluvní strany sjednávají následující:</w:t>
      </w:r>
    </w:p>
    <w:p w14:paraId="16060EE1" w14:textId="77777777" w:rsidR="00291E5E" w:rsidRDefault="00F26309">
      <w:pPr>
        <w:numPr>
          <w:ilvl w:val="0"/>
          <w:numId w:val="1"/>
        </w:numPr>
        <w:spacing w:after="100"/>
        <w:ind w:left="288" w:right="14" w:hanging="274"/>
      </w:pPr>
      <w:r>
        <w:t>Ubytovatel se zavazuje poskytnout Objednateli ubytování v rámci lyžařského výcviku.</w:t>
      </w:r>
    </w:p>
    <w:p w14:paraId="01759453" w14:textId="77777777" w:rsidR="00291E5E" w:rsidRDefault="00F26309">
      <w:pPr>
        <w:tabs>
          <w:tab w:val="center" w:pos="970"/>
          <w:tab w:val="center" w:pos="4634"/>
        </w:tabs>
        <w:spacing w:after="44"/>
        <w:ind w:right="0"/>
        <w:jc w:val="left"/>
      </w:pPr>
      <w:r>
        <w:tab/>
      </w:r>
      <w:r>
        <w:t>Typ ubytování:</w:t>
      </w:r>
      <w:r>
        <w:tab/>
        <w:t>Chata Bedřichovka</w:t>
      </w:r>
    </w:p>
    <w:p w14:paraId="16C7EBAD" w14:textId="77777777" w:rsidR="00291E5E" w:rsidRDefault="00F26309">
      <w:pPr>
        <w:ind w:left="283" w:right="3845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7990083" wp14:editId="23B592CF">
            <wp:simplePos x="0" y="0"/>
            <wp:positionH relativeFrom="column">
              <wp:posOffset>2395728</wp:posOffset>
            </wp:positionH>
            <wp:positionV relativeFrom="paragraph">
              <wp:posOffset>144796</wp:posOffset>
            </wp:positionV>
            <wp:extent cx="1072896" cy="341473"/>
            <wp:effectExtent l="0" t="0" r="0" b="0"/>
            <wp:wrapSquare wrapText="bothSides"/>
            <wp:docPr id="2317" name="Picture 2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7" name="Picture 23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341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Termín pobytu: 17.1. - 21.1.2022 Objednaný počet dětí:</w:t>
      </w:r>
    </w:p>
    <w:p w14:paraId="0EA9162E" w14:textId="77777777" w:rsidR="00291E5E" w:rsidRDefault="00F26309">
      <w:pPr>
        <w:ind w:left="288" w:right="4670"/>
      </w:pPr>
      <w:r>
        <w:t>Objednaný počet instruktorů:</w:t>
      </w:r>
    </w:p>
    <w:p w14:paraId="07C4A8E3" w14:textId="77777777" w:rsidR="00291E5E" w:rsidRDefault="00F26309">
      <w:pPr>
        <w:tabs>
          <w:tab w:val="center" w:pos="768"/>
          <w:tab w:val="center" w:pos="4858"/>
        </w:tabs>
        <w:ind w:right="0"/>
        <w:jc w:val="left"/>
      </w:pPr>
      <w:r>
        <w:tab/>
      </w:r>
      <w:r>
        <w:t>Počet nocí:</w:t>
      </w:r>
      <w:r>
        <w:tab/>
        <w:t>4 noci (</w:t>
      </w:r>
      <w:proofErr w:type="gramStart"/>
      <w:r>
        <w:t>pondělí - pátek</w:t>
      </w:r>
      <w:proofErr w:type="gramEnd"/>
      <w:r>
        <w:t>)</w:t>
      </w:r>
    </w:p>
    <w:p w14:paraId="1E8FB0D8" w14:textId="77777777" w:rsidR="00291E5E" w:rsidRDefault="00F26309">
      <w:pPr>
        <w:tabs>
          <w:tab w:val="center" w:pos="1788"/>
          <w:tab w:val="center" w:pos="4747"/>
        </w:tabs>
        <w:ind w:right="0"/>
        <w:jc w:val="left"/>
      </w:pPr>
      <w:r>
        <w:tab/>
      </w:r>
      <w:r>
        <w:t>Celková cena za účastníka/pobyt:</w:t>
      </w:r>
      <w:r>
        <w:tab/>
        <w:t>2 000 Kč včetně DPH</w:t>
      </w:r>
    </w:p>
    <w:p w14:paraId="09801C49" w14:textId="77777777" w:rsidR="00291E5E" w:rsidRDefault="00F26309">
      <w:pPr>
        <w:spacing w:after="73"/>
        <w:ind w:left="288" w:right="14"/>
      </w:pPr>
      <w:r>
        <w:t>Cena za účastníka (dítě) — zahrnuje ubytování, plnou penzi, svačiny</w:t>
      </w:r>
    </w:p>
    <w:p w14:paraId="12C9D522" w14:textId="77777777" w:rsidR="00291E5E" w:rsidRDefault="00F26309">
      <w:pPr>
        <w:ind w:left="283" w:right="14"/>
      </w:pPr>
      <w:r>
        <w:t>Pobyt instruktorů je hrazen poměrně k počtu dětí = za každých IO p</w:t>
      </w:r>
      <w:r>
        <w:t>latících účastníků 1 instruktor zdarma, každý další instruktor za stejných cenových podmínek jako dítě.</w:t>
      </w:r>
    </w:p>
    <w:p w14:paraId="64022273" w14:textId="77777777" w:rsidR="00291E5E" w:rsidRDefault="00F26309">
      <w:pPr>
        <w:numPr>
          <w:ilvl w:val="0"/>
          <w:numId w:val="1"/>
        </w:numPr>
        <w:ind w:left="288" w:right="14" w:hanging="274"/>
      </w:pPr>
      <w:r>
        <w:t xml:space="preserve">Cena za jízdné na lyžařském vleku je určena paušální částkou 800 Kč/pobyt. Všichni instruktoři mají na celý pobyt volnou j </w:t>
      </w:r>
      <w:proofErr w:type="spellStart"/>
      <w:r>
        <w:t>ízdenku</w:t>
      </w:r>
      <w:proofErr w:type="spellEnd"/>
      <w:r>
        <w:t xml:space="preserve"> na vlek — jízdné nehr</w:t>
      </w:r>
      <w:r>
        <w:t>adí.</w:t>
      </w:r>
    </w:p>
    <w:p w14:paraId="40F07499" w14:textId="77777777" w:rsidR="00291E5E" w:rsidRDefault="00F26309">
      <w:pPr>
        <w:numPr>
          <w:ilvl w:val="0"/>
          <w:numId w:val="1"/>
        </w:numPr>
        <w:spacing w:after="36"/>
        <w:ind w:left="288" w:right="14" w:hanging="274"/>
      </w:pPr>
      <w:r>
        <w:t>Objednatel má právo užívat prostory, které mu byly k ubytování vyhrazeny, jakož i užívat společné prostory ubytovacího zařízení a používat služeb, jejichž poskytování je s ubytováním spojeno.</w:t>
      </w:r>
    </w:p>
    <w:p w14:paraId="63B5F96E" w14:textId="77777777" w:rsidR="00291E5E" w:rsidRDefault="00F26309">
      <w:pPr>
        <w:numPr>
          <w:ilvl w:val="0"/>
          <w:numId w:val="1"/>
        </w:numPr>
        <w:ind w:left="288" w:right="14" w:hanging="274"/>
      </w:pPr>
      <w:r>
        <w:t xml:space="preserve">Objednatel za zavazuje poukázat zálohu na pobyt v poměrné výši - 1000 Kč za každého objednaného </w:t>
      </w:r>
      <w:proofErr w:type="gramStart"/>
      <w:r>
        <w:t>žáka</w:t>
      </w:r>
      <w:proofErr w:type="gramEnd"/>
      <w:r>
        <w:t xml:space="preserve"> a to bezhotovostně na účet Ubytovatele vedeného u KB Dobruška, č. účtu 26507571/0100, nejpozději do 3.1.2022. Doplatek za ubytování bude proveden na základ</w:t>
      </w:r>
      <w:r>
        <w:t>ě vyúčtování (odsouhlasené v průběhu pobytu se zástupcem Objednatele) nejpozději do 5 kalendářních dnů od ukončení pobytu. Není-li domluveno jinak, doplatek za ubytování bude poukázán bezhotovostně na účet Ubytovatele, jízdné za lyžařský vlek bude uhrazeno</w:t>
      </w:r>
      <w:r>
        <w:t xml:space="preserve"> v hotovosti na místě.</w:t>
      </w:r>
    </w:p>
    <w:p w14:paraId="572EE7B9" w14:textId="77777777" w:rsidR="00291E5E" w:rsidRDefault="00F26309">
      <w:pPr>
        <w:numPr>
          <w:ilvl w:val="0"/>
          <w:numId w:val="1"/>
        </w:numPr>
        <w:ind w:left="288" w:right="14" w:hanging="274"/>
      </w:pPr>
      <w:r>
        <w:t xml:space="preserve">SPECIÁLNÍ </w:t>
      </w:r>
      <w:proofErr w:type="gramStart"/>
      <w:r>
        <w:t>OPATŘENÍ - COVID</w:t>
      </w:r>
      <w:proofErr w:type="gramEnd"/>
      <w:r>
        <w:t xml:space="preserve"> 19</w:t>
      </w:r>
    </w:p>
    <w:p w14:paraId="3D7C7A3A" w14:textId="77777777" w:rsidR="00291E5E" w:rsidRDefault="00F26309">
      <w:pPr>
        <w:numPr>
          <w:ilvl w:val="1"/>
          <w:numId w:val="2"/>
        </w:numPr>
        <w:spacing w:after="124"/>
        <w:ind w:right="14" w:hanging="331"/>
      </w:pPr>
      <w:proofErr w:type="gramStart"/>
      <w:r>
        <w:t>UBYTOVÁNÍ - Ubytovatel</w:t>
      </w:r>
      <w:proofErr w:type="gramEnd"/>
      <w:r>
        <w:t xml:space="preserve"> se zavazuje zajistit Objednateli odpovídající podmínky navazující na platná epidemiologická opatření pro dané období (např. výhradní užívání sjednaných ubytovacích prostor, časový </w:t>
      </w:r>
      <w:r>
        <w:t>prostoj při střídání rozdílných kolektivů ve stravovacích prostorách, zajištění dezinfekce, pravidelný úklid, aj.).</w:t>
      </w:r>
    </w:p>
    <w:p w14:paraId="6B69CAA0" w14:textId="77777777" w:rsidR="00291E5E" w:rsidRDefault="00F26309">
      <w:pPr>
        <w:numPr>
          <w:ilvl w:val="1"/>
          <w:numId w:val="2"/>
        </w:numPr>
        <w:spacing w:after="524"/>
        <w:ind w:right="14" w:hanging="331"/>
      </w:pPr>
      <w:r>
        <w:t>PROVOZ LYŽAŘSKÉHO VLEKU — Ubytovatel se zavazuje zajistit Objednateli odpovídající podmínky navazující na platná epidemiologická opatření pr</w:t>
      </w:r>
      <w:r>
        <w:t>o dané období. Ubytovatel nabízí možnost zajištění výhradního užívání LV pro jednotlivé kolektivy tak, že může být omezen veřejný provoz vleku. K tomuto bodu lze přistoupit pouze po předchozí domluvě a se souhlasem Ubytovatele, a také pouze za předpokladu,</w:t>
      </w:r>
      <w:r>
        <w:t xml:space="preserve"> že bez splnění této podmínky není možné naplnění skutkové podstaty pobytu, v návaznosti na vládní opatření platná pro dané období.</w:t>
      </w:r>
    </w:p>
    <w:p w14:paraId="548F47DF" w14:textId="77777777" w:rsidR="00291E5E" w:rsidRDefault="00F26309">
      <w:pPr>
        <w:spacing w:after="3" w:line="259" w:lineRule="auto"/>
        <w:ind w:left="10" w:right="283" w:hanging="10"/>
        <w:jc w:val="center"/>
      </w:pPr>
      <w:r>
        <w:lastRenderedPageBreak/>
        <w:t>1</w:t>
      </w:r>
    </w:p>
    <w:p w14:paraId="17C517A5" w14:textId="77777777" w:rsidR="00291E5E" w:rsidRDefault="00F26309">
      <w:pPr>
        <w:numPr>
          <w:ilvl w:val="1"/>
          <w:numId w:val="2"/>
        </w:numPr>
        <w:spacing w:after="113"/>
        <w:ind w:right="14" w:hanging="331"/>
      </w:pPr>
      <w:r>
        <w:t xml:space="preserve">BEZINFEKČNOST - Objednatel se zavazuje k potvrzení bezinfekčnosti všech účastníků pobytu </w:t>
      </w:r>
      <w:r>
        <w:rPr>
          <w:noProof/>
        </w:rPr>
        <w:drawing>
          <wp:inline distT="0" distB="0" distL="0" distR="0" wp14:anchorId="07CDD449" wp14:editId="7E55BA20">
            <wp:extent cx="73152" cy="6098"/>
            <wp:effectExtent l="0" t="0" r="0" b="0"/>
            <wp:docPr id="5535" name="Picture 5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5" name="Picture 55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vedoucí kurzu před nástupem na p</w:t>
      </w:r>
      <w:r>
        <w:t>obyt (ideálně po příjezdu) předloží potvrzení 0 testování dětí i dozorujících osob. Ubytovatel bere na vědomí obecné podmínky vyplývající z nařízení Ministerstva zdravotnictví ČR, a tedy zrušení povinnosti testování u dětí do 12 let věku; očkovaných účastn</w:t>
      </w:r>
      <w:r>
        <w:t>íků a účastníků v ochranné lhůtě 180 dnů po prodělání nemoci — vzhledem k povaze pobytu a snížení potenciálních rizik, však Ubytovatel trvá na preventivním otestování všech účastníků bez výjimky. Toto testování může být provedeno antigenními testy (standar</w:t>
      </w:r>
      <w:r>
        <w:t>dně schválenými k preventivnímu testování ve školách) právě u účastníků splňujících podmínky věku či ON. Důrazně však doporučujeme absolvování PCR testu, který je vyžadován také u účastníků nesplňujících jednu z výše uvedených výjimek.</w:t>
      </w:r>
    </w:p>
    <w:p w14:paraId="7F28E26A" w14:textId="77777777" w:rsidR="00291E5E" w:rsidRDefault="00F26309">
      <w:pPr>
        <w:numPr>
          <w:ilvl w:val="1"/>
          <w:numId w:val="2"/>
        </w:numPr>
        <w:spacing w:after="112"/>
        <w:ind w:right="14" w:hanging="331"/>
      </w:pPr>
      <w:r>
        <w:t>Objednatel se zavazu</w:t>
      </w:r>
      <w:r>
        <w:t xml:space="preserve">je přizpůsobit objem a rozložení žáků tak, aby v případě nutnosti byla možná okamžitá izolace žáků s klinickými příznaky respiračního či jiného onemocnění, případně okamžité předčasné ukončení jejich pobytu. Objednatel zároveň bere na vědomí, že v průběhu </w:t>
      </w:r>
      <w:r>
        <w:t>pobytu je povinen dbát na dodržování interních nařízení ze strany Ubytovatele, sloužících k zamezení vzniku zdravotních rizik. S těmito nařízeními bude Objednatel seznámen při nástupu na pobyt.</w:t>
      </w:r>
    </w:p>
    <w:p w14:paraId="5E82F5AA" w14:textId="77777777" w:rsidR="00291E5E" w:rsidRDefault="00F26309">
      <w:pPr>
        <w:numPr>
          <w:ilvl w:val="1"/>
          <w:numId w:val="2"/>
        </w:numPr>
        <w:ind w:right="14" w:hanging="331"/>
      </w:pPr>
      <w:r>
        <w:t>V případě NEMOŽNOSTI uskutečnění pobytu v plném rozsahu a v da</w:t>
      </w:r>
      <w:r>
        <w:t>ném termínu, z důvodu nařízených karanténních opatření ve třídě (škole), je Objednatel povinen NEPRODLENĚ tuto skutečnost oznámit Ubytovateli. V případě dočasného uzavření provozovny Ubytovatele ze stejných důvodů, tj. karanténní opatření plynoucí z naříze</w:t>
      </w:r>
      <w:r>
        <w:t>ní KHS, je Ubytovatel povinen NEPRODLENĚ tuto skutečnost oznámit Objednateli.</w:t>
      </w:r>
    </w:p>
    <w:p w14:paraId="61177005" w14:textId="77777777" w:rsidR="00291E5E" w:rsidRDefault="00F26309">
      <w:pPr>
        <w:numPr>
          <w:ilvl w:val="0"/>
          <w:numId w:val="1"/>
        </w:numPr>
        <w:spacing w:after="31"/>
        <w:ind w:left="288" w:right="14" w:hanging="274"/>
      </w:pPr>
      <w:r>
        <w:t>STORNO PODMÍNKY</w:t>
      </w:r>
    </w:p>
    <w:p w14:paraId="5B3153EB" w14:textId="77777777" w:rsidR="00291E5E" w:rsidRDefault="00F26309">
      <w:pPr>
        <w:numPr>
          <w:ilvl w:val="1"/>
          <w:numId w:val="3"/>
        </w:numPr>
        <w:ind w:right="14" w:hanging="336"/>
      </w:pPr>
      <w:r>
        <w:t>je-li nařízena karanténa jednotlivcům kolektivu (a z toho důvodu žák na pobyt nenastoupí), je k tomuto faktu přistupováno tak, jako by onemocněl, tedy záloha je v</w:t>
      </w:r>
      <w:r>
        <w:t>rácena. Vyúčtování za celý pobyt bude vycházet z reálného počtu účastníků.</w:t>
      </w:r>
    </w:p>
    <w:p w14:paraId="0E6D51FD" w14:textId="77777777" w:rsidR="00291E5E" w:rsidRDefault="00F26309">
      <w:pPr>
        <w:numPr>
          <w:ilvl w:val="1"/>
          <w:numId w:val="3"/>
        </w:numPr>
        <w:ind w:right="14" w:hanging="336"/>
      </w:pPr>
      <w:r>
        <w:t>je-li předčasně ukončen pobyt jednotlivce z důvodu příznaků respiračního či jiného onemocnění (po posouzení určeným zdravotníkem skupiny), bude mu účtována částka za reálně strávený</w:t>
      </w:r>
      <w:r>
        <w:t xml:space="preserve"> počet nocí na </w:t>
      </w:r>
      <w:proofErr w:type="gramStart"/>
      <w:r>
        <w:t>pobytu - minimálně</w:t>
      </w:r>
      <w:proofErr w:type="gramEnd"/>
      <w:r>
        <w:t xml:space="preserve"> však ve výši zálohy.</w:t>
      </w:r>
    </w:p>
    <w:p w14:paraId="12EF14CE" w14:textId="77777777" w:rsidR="00291E5E" w:rsidRDefault="00F26309">
      <w:pPr>
        <w:numPr>
          <w:ilvl w:val="1"/>
          <w:numId w:val="3"/>
        </w:numPr>
        <w:ind w:right="14" w:hanging="336"/>
      </w:pPr>
      <w:r>
        <w:t xml:space="preserve">Uhrazená záloha není v případě zrušení pobytu ze strany </w:t>
      </w:r>
      <w:proofErr w:type="gramStart"/>
      <w:r>
        <w:t>Objednatele - a</w:t>
      </w:r>
      <w:proofErr w:type="gramEnd"/>
      <w:r>
        <w:t xml:space="preserve"> to z důvodu nařízené karantény nebo onemocnění Covid-19 účastníků či při nemožnosti konat pobyt z důvodu rozhodnutí orgánů veřejn</w:t>
      </w:r>
      <w:r>
        <w:t xml:space="preserve">é moci (MZV ČR, KHS) - zaúčtována jako storno poplatek, ale může být vrácena v plné výši na základě žádosti Objednatele nebo přesunuta na náhradní </w:t>
      </w:r>
      <w:proofErr w:type="spellStart"/>
      <w:r>
        <w:t>ternún</w:t>
      </w:r>
      <w:proofErr w:type="spellEnd"/>
      <w:r>
        <w:t xml:space="preserve"> čerpání.</w:t>
      </w:r>
    </w:p>
    <w:p w14:paraId="78FDD7A8" w14:textId="77777777" w:rsidR="00291E5E" w:rsidRDefault="00F26309">
      <w:pPr>
        <w:numPr>
          <w:ilvl w:val="0"/>
          <w:numId w:val="1"/>
        </w:numPr>
        <w:ind w:left="288" w:right="14" w:hanging="274"/>
      </w:pPr>
      <w:r>
        <w:t>Není-li s Ubytovatelem domluveno jinak, nástup na pobyt v den příjezdu od 10:00 hod, uvolnění pokoje v den odjezdu do 10:00 hod. Stravování je zahájeno obědem v den příjezdu, ukončeno snídaní v den odjezdu. V rámci pitného režimu si každé dítě přiveze vlas</w:t>
      </w:r>
      <w:r>
        <w:t>tní láhev na čaj</w:t>
      </w:r>
      <w:r>
        <w:rPr>
          <w:noProof/>
        </w:rPr>
        <w:drawing>
          <wp:inline distT="0" distB="0" distL="0" distR="0" wp14:anchorId="39D25403" wp14:editId="54EDD0A1">
            <wp:extent cx="18288" cy="18293"/>
            <wp:effectExtent l="0" t="0" r="0" b="0"/>
            <wp:docPr id="5536" name="Picture 5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6" name="Picture 55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74A68" w14:textId="77777777" w:rsidR="00291E5E" w:rsidRDefault="00F26309">
      <w:pPr>
        <w:numPr>
          <w:ilvl w:val="0"/>
          <w:numId w:val="1"/>
        </w:numPr>
        <w:ind w:left="288" w:right="14" w:hanging="274"/>
      </w:pPr>
      <w:r>
        <w:t>Právní vztahy touto smlouvou výslovně neupravené se řídí příslušnými ustanoveními Občanského zákoníku.</w:t>
      </w:r>
    </w:p>
    <w:p w14:paraId="72FE53B7" w14:textId="77777777" w:rsidR="00291E5E" w:rsidRDefault="00F26309">
      <w:pPr>
        <w:numPr>
          <w:ilvl w:val="0"/>
          <w:numId w:val="1"/>
        </w:numPr>
        <w:spacing w:after="292"/>
        <w:ind w:left="288" w:right="14" w:hanging="274"/>
      </w:pPr>
      <w:r>
        <w:t>Tato smlouva nabývá účinností dnem podpisu této smlouvy. Smlouva byla uzavřena ze svobodné obou smluvních stran, což smluvní strany výslovně stvrdí svými podpisy. Stejnopis je vyhotoven ve dvou provedeních a každá smluvní strana obdrží jeden výtisk. Potvrz</w:t>
      </w:r>
      <w:r>
        <w:t>enou smlouvu prosím pošlete zpět do 7 dnů od jejího doručení.</w:t>
      </w:r>
    </w:p>
    <w:p w14:paraId="21DE8ED1" w14:textId="77777777" w:rsidR="00291E5E" w:rsidRDefault="00F26309">
      <w:pPr>
        <w:tabs>
          <w:tab w:val="center" w:pos="1248"/>
          <w:tab w:val="right" w:pos="10133"/>
        </w:tabs>
        <w:spacing w:after="981"/>
        <w:ind w:right="0"/>
        <w:jc w:val="left"/>
      </w:pPr>
      <w:r>
        <w:tab/>
        <w:t>V Orlickém Záhoří dne</w:t>
      </w:r>
      <w:r>
        <w:tab/>
      </w:r>
      <w:r>
        <w:rPr>
          <w:noProof/>
        </w:rPr>
        <w:drawing>
          <wp:inline distT="0" distB="0" distL="0" distR="0" wp14:anchorId="42698CA6" wp14:editId="6645A62D">
            <wp:extent cx="2743200" cy="243910"/>
            <wp:effectExtent l="0" t="0" r="0" b="0"/>
            <wp:docPr id="5632" name="Picture 5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" name="Picture 56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99ACD" w14:textId="77777777" w:rsidR="00291E5E" w:rsidRDefault="00F26309">
      <w:pPr>
        <w:spacing w:after="0" w:line="259" w:lineRule="auto"/>
        <w:ind w:left="3355" w:right="109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04FF71" wp14:editId="6FC84586">
                <wp:simplePos x="0" y="0"/>
                <wp:positionH relativeFrom="column">
                  <wp:posOffset>4346448</wp:posOffset>
                </wp:positionH>
                <wp:positionV relativeFrom="paragraph">
                  <wp:posOffset>-185979</wp:posOffset>
                </wp:positionV>
                <wp:extent cx="1389888" cy="586908"/>
                <wp:effectExtent l="0" t="0" r="0" b="0"/>
                <wp:wrapSquare wrapText="bothSides"/>
                <wp:docPr id="10487" name="Group 10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9888" cy="586908"/>
                          <a:chOff x="0" y="0"/>
                          <a:chExt cx="1389888" cy="586908"/>
                        </a:xfrm>
                      </wpg:grpSpPr>
                      <pic:pic xmlns:pic="http://schemas.openxmlformats.org/drawingml/2006/picture">
                        <pic:nvPicPr>
                          <pic:cNvPr id="11092" name="Picture 110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1371600" cy="5792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62" name="Rectangle 3362"/>
                        <wps:cNvSpPr/>
                        <wps:spPr>
                          <a:xfrm>
                            <a:off x="0" y="347571"/>
                            <a:ext cx="316200" cy="139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01DB6" w14:textId="77777777" w:rsidR="00291E5E" w:rsidRDefault="00F26309">
                              <w:pPr>
                                <w:spacing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Pard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487" style="width:109.44pt;height:46.2132pt;position:absolute;mso-position-horizontal-relative:text;mso-position-horizontal:absolute;margin-left:342.24pt;mso-position-vertical-relative:text;margin-top:-14.6441pt;" coordsize="13898,5869">
                <v:shape id="Picture 11092" style="position:absolute;width:13716;height:5792;left:182;top:0;" filled="f">
                  <v:imagedata r:id="rId10"/>
                </v:shape>
                <v:rect id="Rectangle 3362" style="position:absolute;width:3162;height:1398;left:0;top:34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Pard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38"/>
        </w:rPr>
        <w:t>z</w:t>
      </w:r>
    </w:p>
    <w:p w14:paraId="5B549120" w14:textId="77777777" w:rsidR="00291E5E" w:rsidRDefault="00F26309">
      <w:pPr>
        <w:spacing w:after="863"/>
        <w:ind w:left="379" w:right="1973"/>
      </w:pPr>
      <w:r>
        <w:t xml:space="preserve">Veronika Prátová j </w:t>
      </w:r>
      <w:proofErr w:type="spellStart"/>
      <w:r>
        <w:t>ednatel</w:t>
      </w:r>
      <w:proofErr w:type="spellEnd"/>
      <w:r>
        <w:tab/>
      </w:r>
      <w:proofErr w:type="spellStart"/>
      <w:r>
        <w:t>obj</w:t>
      </w:r>
      <w:proofErr w:type="spellEnd"/>
      <w:r>
        <w:t xml:space="preserve"> </w:t>
      </w:r>
      <w:proofErr w:type="spellStart"/>
      <w:r>
        <w:t>ednatel</w:t>
      </w:r>
      <w:proofErr w:type="spellEnd"/>
    </w:p>
    <w:p w14:paraId="56504CC5" w14:textId="77777777" w:rsidR="00291E5E" w:rsidRDefault="00F26309">
      <w:pPr>
        <w:spacing w:after="0" w:line="259" w:lineRule="auto"/>
        <w:ind w:right="350"/>
        <w:jc w:val="center"/>
      </w:pPr>
      <w:r>
        <w:rPr>
          <w:sz w:val="20"/>
        </w:rPr>
        <w:lastRenderedPageBreak/>
        <w:t>2</w:t>
      </w:r>
    </w:p>
    <w:sectPr w:rsidR="00291E5E">
      <w:pgSz w:w="11904" w:h="16834"/>
      <w:pgMar w:top="915" w:right="475" w:bottom="1121" w:left="129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52A64"/>
    <w:multiLevelType w:val="hybridMultilevel"/>
    <w:tmpl w:val="D122ABB2"/>
    <w:lvl w:ilvl="0" w:tplc="5B60D5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7693A4">
      <w:start w:val="1"/>
      <w:numFmt w:val="lowerLetter"/>
      <w:lvlRestart w:val="0"/>
      <w:lvlText w:val="%2.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A0E9B2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DADC12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EE8340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CC3EFC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6A33E4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A53B6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2C8B9E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6708FC"/>
    <w:multiLevelType w:val="hybridMultilevel"/>
    <w:tmpl w:val="D9122940"/>
    <w:lvl w:ilvl="0" w:tplc="F1AE45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64049E">
      <w:start w:val="1"/>
      <w:numFmt w:val="lowerLetter"/>
      <w:lvlRestart w:val="0"/>
      <w:lvlText w:val="%2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483EAC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E2B716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B801EA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22DA3E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EEA37A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EA8572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3E4C08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C11FA9"/>
    <w:multiLevelType w:val="hybridMultilevel"/>
    <w:tmpl w:val="95241A9C"/>
    <w:lvl w:ilvl="0" w:tplc="4CCC9268">
      <w:start w:val="1"/>
      <w:numFmt w:val="decimal"/>
      <w:lvlText w:val="%1.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EC3394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A0AB3E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5ACB24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6819E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CA778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DE037C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90D4C0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6008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E5E"/>
    <w:rsid w:val="00291E5E"/>
    <w:rsid w:val="00F2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6126"/>
  <w15:docId w15:val="{5E617955-F7EC-475A-8560-52B9080F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" w:line="289" w:lineRule="auto"/>
      <w:ind w:right="331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14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PavliQ</dc:creator>
  <cp:keywords/>
  <cp:lastModifiedBy>PavliQ</cp:lastModifiedBy>
  <cp:revision>2</cp:revision>
  <dcterms:created xsi:type="dcterms:W3CDTF">2021-12-27T11:29:00Z</dcterms:created>
  <dcterms:modified xsi:type="dcterms:W3CDTF">2021-12-27T11:29:00Z</dcterms:modified>
</cp:coreProperties>
</file>