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EF" w:rsidRDefault="00BC2A6B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SMLOUVA O </w:t>
      </w:r>
      <w:r w:rsidR="00F56428">
        <w:rPr>
          <w:rFonts w:ascii="Times New Roman" w:eastAsia="Times New Roman" w:hAnsi="Times New Roman" w:cs="Times New Roman"/>
          <w:sz w:val="36"/>
          <w:szCs w:val="36"/>
        </w:rPr>
        <w:t>DÍLO</w:t>
      </w:r>
    </w:p>
    <w:p w:rsidR="00A535EF" w:rsidRDefault="00A535E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A535EF" w:rsidRDefault="00BC2A6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A535EF" w:rsidRDefault="00A535E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Pr="00C57558">
        <w:rPr>
          <w:rFonts w:ascii="Times New Roman" w:eastAsia="Times New Roman" w:hAnsi="Times New Roman" w:cs="Times New Roman"/>
          <w:b/>
          <w:sz w:val="22"/>
          <w:szCs w:val="22"/>
        </w:rPr>
        <w:t>Bombass</w:t>
      </w:r>
      <w:proofErr w:type="spellEnd"/>
      <w:r w:rsidRPr="00C57558">
        <w:rPr>
          <w:rFonts w:ascii="Times New Roman" w:eastAsia="Times New Roman" w:hAnsi="Times New Roman" w:cs="Times New Roman"/>
          <w:b/>
          <w:sz w:val="22"/>
          <w:szCs w:val="22"/>
        </w:rPr>
        <w:t xml:space="preserve"> s.r.o.</w:t>
      </w:r>
    </w:p>
    <w:p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F56428">
        <w:rPr>
          <w:rFonts w:ascii="Times New Roman" w:eastAsia="Times New Roman" w:hAnsi="Times New Roman" w:cs="Times New Roman"/>
          <w:sz w:val="22"/>
          <w:szCs w:val="22"/>
        </w:rPr>
        <w:t>Nová Pasečnice 2, 344 01 Pasečnice</w:t>
      </w:r>
    </w:p>
    <w:p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IČ/DIČ: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bookmarkStart w:id="1" w:name="_GoBack"/>
      <w:r w:rsidRPr="00F56428">
        <w:rPr>
          <w:rFonts w:ascii="Times New Roman" w:eastAsia="Times New Roman" w:hAnsi="Times New Roman" w:cs="Times New Roman"/>
          <w:sz w:val="22"/>
          <w:szCs w:val="22"/>
        </w:rPr>
        <w:t>06674640</w:t>
      </w:r>
      <w:bookmarkEnd w:id="1"/>
    </w:p>
    <w:p w:rsidR="00F56428" w:rsidRP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Kontakt: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D52ABB">
        <w:rPr>
          <w:rFonts w:ascii="Times New Roman" w:eastAsia="Times New Roman" w:hAnsi="Times New Roman" w:cs="Times New Roman"/>
          <w:sz w:val="22"/>
          <w:szCs w:val="22"/>
        </w:rPr>
        <w:t>xxxxxxxxxxxxxxxxxxxxxxxxxxxxxxxxxxxxxxxx</w:t>
      </w:r>
      <w:proofErr w:type="spellEnd"/>
    </w:p>
    <w:p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Spisová značka </w:t>
      </w:r>
      <w:proofErr w:type="spellStart"/>
      <w:r w:rsidR="00D52ABB">
        <w:rPr>
          <w:rFonts w:ascii="Times New Roman" w:eastAsia="Times New Roman" w:hAnsi="Times New Roman" w:cs="Times New Roman"/>
          <w:b/>
          <w:sz w:val="22"/>
          <w:szCs w:val="22"/>
        </w:rPr>
        <w:t>xxxxxxxxxxxxxxxxx</w:t>
      </w:r>
      <w:proofErr w:type="spellEnd"/>
    </w:p>
    <w:p w:rsidR="00F56428" w:rsidRP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56428">
        <w:rPr>
          <w:rFonts w:ascii="Times New Roman" w:eastAsia="Times New Roman" w:hAnsi="Times New Roman" w:cs="Times New Roman"/>
          <w:i/>
          <w:sz w:val="22"/>
          <w:szCs w:val="22"/>
        </w:rPr>
        <w:t>(dále jen „</w:t>
      </w:r>
      <w:r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Zhotovitel</w:t>
      </w:r>
      <w:r w:rsidRPr="00F56428"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:rsid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56428" w:rsidRP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56428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535EF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C2A6B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C2A6B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C2A6B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A535EF" w:rsidRDefault="00BC2A6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A535EF" w:rsidRDefault="00BC2A6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F56428" w:rsidRDefault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56428" w:rsidRDefault="00F56428" w:rsidP="00F56428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Objednatel a Zhotovitel dále společně také jako „</w:t>
      </w:r>
      <w:r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 tato Smlouva o dílo dále také jako „</w:t>
      </w:r>
      <w:r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:rsidR="00F56428" w:rsidRDefault="00F56428" w:rsidP="00F56428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:rsidR="00A535EF" w:rsidRPr="00F56428" w:rsidRDefault="00F56428" w:rsidP="00F56428">
      <w:pPr>
        <w:pStyle w:val="Odstavecseseznamem"/>
        <w:widowControl w:val="0"/>
        <w:numPr>
          <w:ilvl w:val="0"/>
          <w:numId w:val="9"/>
        </w:numPr>
        <w:spacing w:line="288" w:lineRule="auto"/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bookmarkStart w:id="2" w:name="_oenx4h9bt5rs" w:colFirst="0" w:colLast="0"/>
      <w:bookmarkEnd w:id="2"/>
      <w:r w:rsidRPr="00F56428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lastRenderedPageBreak/>
        <w:t>Předmět Smlouvy</w:t>
      </w:r>
    </w:p>
    <w:p w:rsidR="00A535EF" w:rsidRDefault="00F56428" w:rsidP="00F5642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Předmětem této Smlouvy je zhotovení Díla (jak je definováno níže) Zhotovitelem, v určeném termínu a za podmínek specifikovaných níže v čl. II. Této Smlouvy.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mmp92mrtshpu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56428">
        <w:rPr>
          <w:rFonts w:ascii="Times New Roman" w:eastAsia="Times New Roman" w:hAnsi="Times New Roman" w:cs="Times New Roman"/>
          <w:sz w:val="22"/>
          <w:szCs w:val="22"/>
        </w:rPr>
        <w:t>Obecná ustanovení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F56428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Objednatel angažuje Zhotovitele k vytvoření následujícího díla: </w:t>
      </w:r>
    </w:p>
    <w:p w:rsidR="00F56428" w:rsidRPr="0006553A" w:rsidRDefault="00F56428" w:rsidP="00F5642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Kompletní notový materiál aranží písní Jiřího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Krhuta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Štěpána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Kozuba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 JFO (dále jen „Dílo“)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F56428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Dílo musí být odevzdáno Objednateli ve dvou částech: </w:t>
      </w:r>
    </w:p>
    <w:p w:rsidR="00F56428" w:rsidRDefault="00F56428" w:rsidP="00F56428">
      <w:pPr>
        <w:pStyle w:val="Odstavecseseznamem"/>
        <w:widowControl w:val="0"/>
        <w:numPr>
          <w:ilvl w:val="0"/>
          <w:numId w:val="1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F56428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První část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– </w:t>
      </w:r>
      <w:r w:rsidRPr="00F56428">
        <w:rPr>
          <w:rFonts w:ascii="Times New Roman" w:eastAsia="Times New Roman" w:hAnsi="Times New Roman" w:cs="Times New Roman"/>
          <w:sz w:val="22"/>
          <w:szCs w:val="22"/>
          <w:lang w:val="cs-CZ"/>
        </w:rPr>
        <w:t>25% Díla musí být odevzdán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a do 1. 1. 2022</w:t>
      </w:r>
    </w:p>
    <w:p w:rsidR="00F56428" w:rsidRPr="00F56428" w:rsidRDefault="00F56428" w:rsidP="00F56428">
      <w:pPr>
        <w:pStyle w:val="Odstavecseseznamem"/>
        <w:widowControl w:val="0"/>
        <w:numPr>
          <w:ilvl w:val="0"/>
          <w:numId w:val="1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Druhá část – 75% Díla musí být odevzdána </w:t>
      </w:r>
      <w:r w:rsidR="00501C8A">
        <w:rPr>
          <w:rFonts w:ascii="Times New Roman" w:eastAsia="Times New Roman" w:hAnsi="Times New Roman" w:cs="Times New Roman"/>
          <w:sz w:val="22"/>
          <w:szCs w:val="22"/>
          <w:lang w:val="cs-CZ"/>
        </w:rPr>
        <w:t>do 1</w:t>
      </w:r>
      <w:r w:rsidR="008570F9">
        <w:rPr>
          <w:rFonts w:ascii="Times New Roman" w:eastAsia="Times New Roman" w:hAnsi="Times New Roman" w:cs="Times New Roman"/>
          <w:sz w:val="22"/>
          <w:szCs w:val="22"/>
          <w:lang w:val="cs-CZ"/>
        </w:rPr>
        <w:t>. 3. 2022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rxg811k0resu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>
        <w:rPr>
          <w:rFonts w:ascii="Times New Roman" w:eastAsia="Times New Roman" w:hAnsi="Times New Roman" w:cs="Times New Roman"/>
          <w:sz w:val="22"/>
          <w:szCs w:val="22"/>
        </w:rPr>
        <w:t>Práva a povinnosti Smluvních stran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Pr="00C57558" w:rsidRDefault="008570F9" w:rsidP="0006553A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57558">
        <w:rPr>
          <w:rFonts w:ascii="Times New Roman" w:eastAsia="Times New Roman" w:hAnsi="Times New Roman" w:cs="Times New Roman"/>
          <w:sz w:val="22"/>
          <w:szCs w:val="22"/>
        </w:rPr>
        <w:t>Zhotovitel je povinen vytvořit Dílo na vlastní náklady (není-li specifikováno jinak).</w:t>
      </w:r>
    </w:p>
    <w:p w:rsidR="008570F9" w:rsidRPr="00C57558" w:rsidRDefault="008570F9" w:rsidP="008570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70F9" w:rsidRPr="00C57558" w:rsidRDefault="008570F9" w:rsidP="00C57558">
      <w:pPr>
        <w:pStyle w:val="Odstavecseseznamem"/>
        <w:widowControl w:val="0"/>
        <w:numPr>
          <w:ilvl w:val="0"/>
          <w:numId w:val="2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Zhotovitel je povinen dodat Dílo včas. Dílo musí splňovat všechny specifikace a je dodáno včetně všech náležitých práv k užití Díla, pro vyloučení pochybností Zhotovitel neodpovídá za vypořádání práv spadajících do povinné kolektivní správy nebo souhlasů autorů k předloze Díla.</w:t>
      </w:r>
    </w:p>
    <w:p w:rsidR="008570F9" w:rsidRPr="00C57558" w:rsidRDefault="008570F9" w:rsidP="008570F9">
      <w:pPr>
        <w:pStyle w:val="Odstavecseseznamem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8570F9" w:rsidRPr="00C57558" w:rsidRDefault="008570F9" w:rsidP="00C57558">
      <w:pPr>
        <w:pStyle w:val="Odstavecseseznamem"/>
        <w:widowControl w:val="0"/>
        <w:numPr>
          <w:ilvl w:val="0"/>
          <w:numId w:val="2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Pakliže Dílo splňuje výše uvedené podmínky a je dodáno včas, Objednal je povinen Dílo převzít a zaplatit za něj Odměnu specifikovanou níže.</w:t>
      </w:r>
    </w:p>
    <w:p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57558" w:rsidRDefault="00BC2A6B" w:rsidP="00C57558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yar971xwhans" w:colFirst="0" w:colLast="0"/>
      <w:bookmarkEnd w:id="5"/>
      <w:r w:rsidRPr="00C57558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C57558"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 w:rsidRPr="00C57558"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:rsidR="00C57558" w:rsidRPr="00C57558" w:rsidRDefault="00C57558" w:rsidP="00C57558"/>
    <w:p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Zhotovitel uděluje Objednateli oprávnění k užití Díla všemi známými způsoby (d</w:t>
      </w:r>
      <w:r w:rsidR="006B27B9">
        <w:rPr>
          <w:rFonts w:ascii="Times New Roman" w:eastAsia="Times New Roman" w:hAnsi="Times New Roman" w:cs="Times New Roman"/>
          <w:sz w:val="22"/>
          <w:szCs w:val="22"/>
          <w:lang w:val="cs-CZ"/>
        </w:rPr>
        <w:t>á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le jen “Licence”)</w:t>
      </w:r>
    </w:p>
    <w:p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Nabyvatel může Licenci využít jakýmkoliv způsobem, a to včetně vydání Díla na CD/DVD, šíření na internetu jinými kanály, jako podklad k prezentaci aj.</w:t>
      </w:r>
    </w:p>
    <w:p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Nabyvatel může Licenci udělit podlicenci třetím stranám, může rovněž oprávnění tvořící součást Licence poskytnout třetí osobě zcela nebo zčásti.</w:t>
      </w:r>
    </w:p>
    <w:p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Licence je výhradní</w:t>
      </w:r>
      <w:r w:rsidR="006B27B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(nemůže být poskytnuta nikomu jinému, než Zadavateli)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, bez časového omezení a poskytuje se pro území všech zemí světa.</w:t>
      </w:r>
    </w:p>
    <w:p w:rsidR="00C57558" w:rsidRPr="00C57558" w:rsidRDefault="00C57558" w:rsidP="00C5755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lastRenderedPageBreak/>
        <w:t xml:space="preserve">Nabyvatel není povinen Licenci využít. </w:t>
      </w:r>
    </w:p>
    <w:p w:rsidR="006B27B9" w:rsidRPr="006B27B9" w:rsidRDefault="006B27B9" w:rsidP="006B27B9">
      <w:pPr>
        <w:pStyle w:val="Odstavecseseznamem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6B27B9" w:rsidRDefault="006B27B9" w:rsidP="006B27B9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8570F9" w:rsidRPr="008570F9" w:rsidRDefault="00BC2A6B" w:rsidP="008570F9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7su8mn12ts12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>
        <w:rPr>
          <w:rFonts w:ascii="Times New Roman" w:eastAsia="Times New Roman" w:hAnsi="Times New Roman" w:cs="Times New Roman"/>
          <w:sz w:val="22"/>
          <w:szCs w:val="22"/>
        </w:rPr>
        <w:t>Odměna</w:t>
      </w:r>
    </w:p>
    <w:p w:rsidR="00A535EF" w:rsidRDefault="00A535EF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57558" w:rsidRDefault="008570F9" w:rsidP="00C57558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Objednatel se zavazuje za vytvoření a předání Díla zaplatit Zhotoviteli odměnu ve výši </w:t>
      </w:r>
      <w:r w:rsidR="001A54D6" w:rsidRPr="001A54D6">
        <w:rPr>
          <w:rFonts w:ascii="Times New Roman" w:eastAsia="Times New Roman" w:hAnsi="Times New Roman" w:cs="Times New Roman"/>
          <w:sz w:val="22"/>
          <w:szCs w:val="22"/>
        </w:rPr>
        <w:t>182 000 + 21% DPH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 xml:space="preserve"> CZK (slovy: </w:t>
      </w:r>
      <w:r w:rsidR="001A54D6" w:rsidRPr="001A54D6">
        <w:rPr>
          <w:rFonts w:ascii="Times New Roman" w:eastAsia="Times New Roman" w:hAnsi="Times New Roman" w:cs="Times New Roman"/>
          <w:sz w:val="22"/>
          <w:szCs w:val="22"/>
        </w:rPr>
        <w:t>sto-osmdesát-tisíc-Korun-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>Českých</w:t>
      </w:r>
      <w:r w:rsidR="001A54D6" w:rsidRPr="001A54D6">
        <w:rPr>
          <w:rFonts w:ascii="Times New Roman" w:eastAsia="Times New Roman" w:hAnsi="Times New Roman" w:cs="Times New Roman"/>
          <w:sz w:val="22"/>
          <w:szCs w:val="22"/>
        </w:rPr>
        <w:t>-plus-dvacet-jedna-procent-DPH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. Odměna pokrývá veškeré náklady spojené s vytvořením Díla vyjma nákladů, které dle této Smlouvy nese Objednatel. Platba bude rozdělena na dvě části, kdy 25% odměny bude zaplaceno po 1. 1. 2022 na základě faktury vystavené Zhotovitelem, a 75% odměny bude zaplaceno po 1. 3. 2022</w:t>
      </w:r>
      <w:r w:rsidR="00C57558">
        <w:rPr>
          <w:rFonts w:ascii="Times New Roman" w:eastAsia="Times New Roman" w:hAnsi="Times New Roman" w:cs="Times New Roman"/>
          <w:sz w:val="22"/>
          <w:szCs w:val="22"/>
        </w:rPr>
        <w:t xml:space="preserve"> na základě faktury vyst</w:t>
      </w:r>
      <w:r w:rsidR="00501C8A">
        <w:rPr>
          <w:rFonts w:ascii="Times New Roman" w:eastAsia="Times New Roman" w:hAnsi="Times New Roman" w:cs="Times New Roman"/>
          <w:sz w:val="22"/>
          <w:szCs w:val="22"/>
        </w:rPr>
        <w:t>avené Zhotovitelem viz bod V.</w:t>
      </w:r>
      <w:r w:rsidR="001A54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01C8A">
        <w:rPr>
          <w:rFonts w:ascii="Times New Roman" w:eastAsia="Times New Roman" w:hAnsi="Times New Roman" w:cs="Times New Roman"/>
          <w:sz w:val="22"/>
          <w:szCs w:val="22"/>
        </w:rPr>
        <w:t xml:space="preserve">2. </w:t>
      </w:r>
      <w:r w:rsidR="00C57558">
        <w:rPr>
          <w:rFonts w:ascii="Times New Roman" w:eastAsia="Times New Roman" w:hAnsi="Times New Roman" w:cs="Times New Roman"/>
          <w:sz w:val="22"/>
          <w:szCs w:val="22"/>
        </w:rPr>
        <w:t xml:space="preserve">a II. 2. </w:t>
      </w:r>
    </w:p>
    <w:p w:rsidR="00C57558" w:rsidRDefault="00C57558" w:rsidP="00C57558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57558" w:rsidRDefault="00C57558" w:rsidP="00CF258F">
      <w:pPr>
        <w:pStyle w:val="Odstavecseseznamem"/>
        <w:widowControl w:val="0"/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Od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měna nebo její částí jsou splat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né na základě faktury vystavené Zhotovitelem dle bodu V. 1. Se splatností minimálně 10 dní od předá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ní. Faktura bude zaslána na adr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esu sídla Objednatele nebo ele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k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tronicky na emailovou adresu uvedenou v záhlaví.</w:t>
      </w:r>
    </w:p>
    <w:p w:rsidR="00C57558" w:rsidRPr="00C57558" w:rsidRDefault="00C57558" w:rsidP="00CF258F">
      <w:pPr>
        <w:pStyle w:val="Odstavecseseznamem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C57558" w:rsidRDefault="00C57558" w:rsidP="00CF258F">
      <w:pPr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Zhotovitel daňovým rezidentem ČR, Objednatel je povinen zdanit honorář (odměnu) podle platných právních předpisů (především zákona č. 586/1992 Sb., o daních z příjmů). Na základě písemné žádosti vystaví Objednatel Zhotoviteli potvrzení o zaplacení daně.</w:t>
      </w:r>
    </w:p>
    <w:p w:rsidR="00C57558" w:rsidRDefault="00C57558" w:rsidP="00CF258F">
      <w:pPr>
        <w:pStyle w:val="Odstavecseseznamem"/>
        <w:widowControl w:val="0"/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C57558" w:rsidRDefault="00C57558" w:rsidP="00CF258F">
      <w:pPr>
        <w:widowControl w:val="0"/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Zhotovitel plátcem DPH, Odměnou dle odst. 1 tohoto článku se rozumí celková částka včetně daně z přidané hodnoty.</w:t>
      </w:r>
    </w:p>
    <w:p w:rsidR="00C57558" w:rsidRDefault="00C57558" w:rsidP="00CF258F">
      <w:pPr>
        <w:widowControl w:val="0"/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57558" w:rsidRDefault="00C57558" w:rsidP="00CF258F">
      <w:pPr>
        <w:widowControl w:val="0"/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Objednatel. </w:t>
      </w:r>
    </w:p>
    <w:p w:rsidR="00A535EF" w:rsidRDefault="00A535EF" w:rsidP="0006553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A535EF" w:rsidP="0006553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 w:rsidP="0006553A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s7ya19xrz7a3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F258F">
        <w:rPr>
          <w:rFonts w:ascii="Times New Roman" w:eastAsia="Times New Roman" w:hAnsi="Times New Roman" w:cs="Times New Roman"/>
          <w:sz w:val="22"/>
          <w:szCs w:val="22"/>
        </w:rPr>
        <w:t>Odstoupení od smlouvy</w:t>
      </w:r>
    </w:p>
    <w:p w:rsidR="00CF258F" w:rsidRDefault="00CF258F" w:rsidP="00CF258F"/>
    <w:p w:rsidR="00CF258F" w:rsidRPr="00CF258F" w:rsidRDefault="00CF258F" w:rsidP="00CF258F">
      <w:pPr>
        <w:pStyle w:val="Odstavecseseznamem"/>
        <w:numPr>
          <w:ilvl w:val="3"/>
          <w:numId w:val="1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>Změna podmínek, postavení, oprávnění aj. na straně kterékoli Smluvní strany nevede bez dalšího k zániku práv a povinností z této Smlouvy. Zásadní změny podmínek Smlo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uvy budou předmětem vzájemné a </w:t>
      </w: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>řádně zdokumentované dohody obou stran.</w:t>
      </w:r>
    </w:p>
    <w:p w:rsidR="00CF258F" w:rsidRPr="00CF258F" w:rsidRDefault="00CF258F" w:rsidP="00CF258F">
      <w:p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</w:p>
    <w:p w:rsidR="00CF258F" w:rsidRDefault="00CF258F" w:rsidP="00CF258F">
      <w:pPr>
        <w:pStyle w:val="Odstavecseseznamem"/>
        <w:numPr>
          <w:ilvl w:val="3"/>
          <w:numId w:val="1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Objednatel má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právo</w:t>
      </w: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od smlouvy odstoupit, pakliže shledá Dílo neúplné nebo nesplňující všechny specifikace dle této Smlouvy. </w:t>
      </w:r>
    </w:p>
    <w:p w:rsidR="00CF258F" w:rsidRDefault="00CF258F" w:rsidP="00CF258F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58F" w:rsidRDefault="00CF258F" w:rsidP="00CF258F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Obě smluvní strany tímto zaručují, že mají plné právo uzavřít závazky vyplývající z této smlouvy a že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nebudou přijímat žádné závazky, které by mohly ohrozit jejich řádné provádění.</w:t>
      </w:r>
    </w:p>
    <w:p w:rsidR="00FD51CE" w:rsidRDefault="00FD51CE" w:rsidP="00FD51CE">
      <w:pPr>
        <w:widowControl w:val="0"/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51CE" w:rsidRDefault="00FD51CE" w:rsidP="00E67EED">
      <w:pPr>
        <w:pStyle w:val="Odstavecseseznamem"/>
        <w:widowControl w:val="0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FD51C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Objednatel tímto ručí Zhotoviteli, že má plné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práv</w:t>
      </w:r>
      <w:r w:rsidRPr="00FD51C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 vstoupit do závazků vyplývajících z této Smlouvy a že nevstoupí do žádného závazku, který by mohl ohrozit jejich náležité uskutečnění. </w:t>
      </w:r>
    </w:p>
    <w:p w:rsidR="00E67EED" w:rsidRPr="00E67EED" w:rsidRDefault="00E67EED" w:rsidP="00E67EED">
      <w:pPr>
        <w:pStyle w:val="Odstavecseseznamem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E67EED" w:rsidRPr="00E67EED" w:rsidRDefault="00E67EED" w:rsidP="00E67EED">
      <w:pPr>
        <w:pStyle w:val="Odstavecseseznamem"/>
        <w:widowControl w:val="0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E67EED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Zhotovitel tímto ručí Objednateli, že má plné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</w:t>
      </w:r>
      <w:r w:rsidRPr="00E67EED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vo vstoupit do závazků vyplývajících z této Smlouvy a že nevstoupí do žádného závazku, který by mohl ohrozit jejich náležité uskutečnění. </w:t>
      </w:r>
    </w:p>
    <w:p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E67EE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Objednatel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E67EE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Zhotovitel</w:t>
            </w:r>
          </w:p>
        </w:tc>
      </w:tr>
      <w:tr w:rsidR="00A535E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A535EF" w:rsidRDefault="00A535E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A535EF" w:rsidRDefault="00A535E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535EF" w:rsidRDefault="00A535E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A53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82" w:rsidRDefault="000C4182">
      <w:r>
        <w:separator/>
      </w:r>
    </w:p>
  </w:endnote>
  <w:endnote w:type="continuationSeparator" w:id="0">
    <w:p w:rsidR="000C4182" w:rsidRDefault="000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82" w:rsidRDefault="000C4182">
      <w:r>
        <w:separator/>
      </w:r>
    </w:p>
  </w:footnote>
  <w:footnote w:type="continuationSeparator" w:id="0">
    <w:p w:rsidR="000C4182" w:rsidRDefault="000C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54E"/>
    <w:multiLevelType w:val="multilevel"/>
    <w:tmpl w:val="C4B61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910527"/>
    <w:multiLevelType w:val="multilevel"/>
    <w:tmpl w:val="04B00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C01AC0"/>
    <w:multiLevelType w:val="multilevel"/>
    <w:tmpl w:val="CFEAE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412BDD"/>
    <w:multiLevelType w:val="multilevel"/>
    <w:tmpl w:val="D19E2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AC152A"/>
    <w:multiLevelType w:val="multilevel"/>
    <w:tmpl w:val="30D83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873CDC"/>
    <w:multiLevelType w:val="multilevel"/>
    <w:tmpl w:val="2012C0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7146A9F"/>
    <w:multiLevelType w:val="multilevel"/>
    <w:tmpl w:val="33DE1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F813C6"/>
    <w:multiLevelType w:val="hybridMultilevel"/>
    <w:tmpl w:val="B0DA1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7D66"/>
    <w:multiLevelType w:val="hybridMultilevel"/>
    <w:tmpl w:val="58760A0E"/>
    <w:lvl w:ilvl="0" w:tplc="5C4405E4">
      <w:start w:val="2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5D346B45"/>
    <w:multiLevelType w:val="multilevel"/>
    <w:tmpl w:val="E98C2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B154EFF"/>
    <w:multiLevelType w:val="hybridMultilevel"/>
    <w:tmpl w:val="483211AE"/>
    <w:lvl w:ilvl="0" w:tplc="B1FED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EF"/>
    <w:rsid w:val="0006553A"/>
    <w:rsid w:val="000C4182"/>
    <w:rsid w:val="00195FDC"/>
    <w:rsid w:val="001A54D6"/>
    <w:rsid w:val="00323BA8"/>
    <w:rsid w:val="00501C8A"/>
    <w:rsid w:val="00504A7F"/>
    <w:rsid w:val="006B27B9"/>
    <w:rsid w:val="007F58C2"/>
    <w:rsid w:val="008570F9"/>
    <w:rsid w:val="008C26B2"/>
    <w:rsid w:val="00A535EF"/>
    <w:rsid w:val="00BC2A6B"/>
    <w:rsid w:val="00BF5C45"/>
    <w:rsid w:val="00C5055E"/>
    <w:rsid w:val="00C57558"/>
    <w:rsid w:val="00CF258F"/>
    <w:rsid w:val="00D52ABB"/>
    <w:rsid w:val="00DC34DE"/>
    <w:rsid w:val="00E67EED"/>
    <w:rsid w:val="00F56428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D5735-D0D1-4C2C-91D5-9A271382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06553A"/>
    <w:pPr>
      <w:ind w:left="720"/>
      <w:contextualSpacing/>
    </w:pPr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F5642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A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B9C5-1AED-47FA-9DDE-A0A4217A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Dudková</dc:creator>
  <cp:lastModifiedBy>Markéta Szabová</cp:lastModifiedBy>
  <cp:revision>2</cp:revision>
  <cp:lastPrinted>2021-12-28T12:49:00Z</cp:lastPrinted>
  <dcterms:created xsi:type="dcterms:W3CDTF">2021-12-28T13:02:00Z</dcterms:created>
  <dcterms:modified xsi:type="dcterms:W3CDTF">2021-12-28T13:02:00Z</dcterms:modified>
</cp:coreProperties>
</file>