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2" w:name="bookmark2"/>
      <w:r>
        <w:rPr>
          <w:rStyle w:val="CharStyle22"/>
        </w:rPr>
        <w:t>■■IIIH</w:t>
      </w:r>
      <w:bookmarkEnd w:id="2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27"/>
        </w:rPr>
        <w:t>2021008176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KUPNÍ SMLOUVA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rStyle w:val="CharStyle3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3245"/>
        <w:gridCol w:w="5933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rStyle w:val="CharStyle3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</w:rPr>
              <w:t>Kamenice 798/1 d, 625 00 Brno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</w:rPr>
              <w:t>MUDr. Hana Albrechtová, ředitelka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  <w:shd w:val="clear" w:color="auto" w:fill="000000"/>
              </w:rPr>
              <w:t>.......​...........​</w:t>
            </w:r>
            <w:r>
              <w:rPr>
                <w:rStyle w:val="CharStyle33"/>
                <w:spacing w:val="1"/>
                <w:shd w:val="clear" w:color="auto" w:fill="000000"/>
              </w:rPr>
              <w:t>.......</w:t>
            </w:r>
            <w:r>
              <w:rPr>
                <w:rStyle w:val="CharStyle33"/>
                <w:spacing w:val="2"/>
                <w:shd w:val="clear" w:color="auto" w:fill="000000"/>
              </w:rPr>
              <w:t>...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  <w:spacing w:val="4"/>
                <w:shd w:val="clear" w:color="auto" w:fill="000000"/>
              </w:rPr>
              <w:t>...</w:t>
            </w:r>
            <w:r>
              <w:rPr>
                <w:rStyle w:val="CharStyle33"/>
                <w:shd w:val="clear" w:color="auto" w:fill="000000"/>
              </w:rPr>
              <w:t>​</w:t>
            </w:r>
            <w:r>
              <w:rPr>
                <w:rStyle w:val="CharStyle33"/>
                <w:spacing w:val="4"/>
                <w:shd w:val="clear" w:color="auto" w:fill="000000"/>
              </w:rPr>
              <w:t>...</w:t>
            </w:r>
            <w:r>
              <w:rPr>
                <w:rStyle w:val="CharStyle33"/>
                <w:spacing w:val="5"/>
                <w:shd w:val="clear" w:color="auto" w:fill="000000"/>
              </w:rPr>
              <w:t>.....</w:t>
            </w:r>
            <w:r>
              <w:rPr>
                <w:rStyle w:val="CharStyle33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3"/>
                <w:spacing w:val="1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CharStyle33"/>
                <w:spacing w:val="2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33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3"/>
                <w:shd w:val="clear" w:color="auto" w:fill="000000"/>
              </w:rPr>
              <w:t>​</w:t>
            </w:r>
            <w:r>
              <w:rPr>
                <w:rStyle w:val="CharStyle33"/>
                <w:spacing w:val="8"/>
                <w:shd w:val="clear" w:color="auto" w:fill="000000"/>
              </w:rPr>
              <w:t>.....</w:t>
            </w:r>
            <w:r>
              <w:rPr>
                <w:rStyle w:val="CharStyle33"/>
                <w:spacing w:val="9"/>
                <w:shd w:val="clear" w:color="auto" w:fill="000000"/>
              </w:rPr>
              <w:t>.</w:t>
            </w:r>
            <w:r>
              <w:rPr>
                <w:rStyle w:val="CharStyle33"/>
                <w:shd w:val="clear" w:color="auto" w:fill="000000"/>
              </w:rPr>
              <w:t>​.......​</w:t>
            </w:r>
            <w:r>
              <w:rPr>
                <w:rStyle w:val="CharStyle33"/>
                <w:spacing w:val="7"/>
                <w:shd w:val="clear" w:color="auto" w:fill="000000"/>
              </w:rPr>
              <w:t>...</w:t>
            </w:r>
            <w:r>
              <w:rPr>
                <w:rStyle w:val="CharStyle33"/>
                <w:spacing w:val="8"/>
                <w:shd w:val="clear" w:color="auto" w:fill="000000"/>
              </w:rPr>
              <w:t>...</w:t>
            </w:r>
            <w:r>
              <w:rPr>
                <w:rStyle w:val="CharStyle33"/>
                <w:shd w:val="clear" w:color="auto" w:fill="000000"/>
              </w:rPr>
              <w:t>​......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IČ: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</w:rPr>
              <w:t>00346292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</w:rPr>
              <w:t>CZ00346292</w:t>
            </w:r>
          </w:p>
        </w:tc>
      </w:tr>
      <w:tr>
        <w:trPr>
          <w:trHeight w:val="66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Zápis v OR: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</w:rPr>
              <w:t>Krajský soud v Brně sp. zn. Pr 1245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3"/>
              </w:rPr>
              <w:t xml:space="preserve">MONETA Money Bank, a.s., č. ú. </w:t>
            </w:r>
            <w:r>
              <w:rPr>
                <w:rStyle w:val="CharStyle33"/>
                <w:spacing w:val="1"/>
                <w:shd w:val="clear" w:color="auto" w:fill="000000"/>
              </w:rPr>
              <w:t>.......</w:t>
            </w:r>
            <w:r>
              <w:rPr>
                <w:rStyle w:val="CharStyle33"/>
                <w:spacing w:val="2"/>
                <w:shd w:val="clear" w:color="auto" w:fill="000000"/>
              </w:rPr>
              <w:t>...................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22"/>
          <w:szCs w:val="22"/>
        </w:rPr>
      </w:pPr>
      <w:r>
        <w:rPr>
          <w:rStyle w:val="CharStyle30"/>
          <w:sz w:val="22"/>
          <w:szCs w:val="22"/>
        </w:rPr>
        <w:t>(dále jen ,,kupující“)</w:t>
      </w:r>
    </w:p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25400</wp:posOffset>
                </wp:positionV>
                <wp:extent cx="3017520" cy="11188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7520" cy="1118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PER4MANCE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Fišova 399/3, 602 00 Brno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Ing. Petr Maleňák, jednatel společnosti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60749024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CZ60749024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u Krajského soudu v Brně, spisová značka 19044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KB,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1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6.65000000000001pt;margin-top:2.pt;width:237.59999999999999pt;height:88.10000000000000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PER4MANCE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Fišova 399/3, 602 00 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Ing. Petr Maleňák, jednatel společnosti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60749024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CZ60749024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u Krajského soudu v Brně, spisová značka 19044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KB,</w:t>
                      </w: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3"/>
                          <w:b/>
                          <w:bCs/>
                          <w:spacing w:val="1"/>
                          <w:sz w:val="20"/>
                          <w:szCs w:val="20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3"/>
                          <w:b/>
                          <w:bCs/>
                          <w:spacing w:val="2"/>
                          <w:sz w:val="20"/>
                          <w:szCs w:val="20"/>
                          <w:shd w:val="clear" w:color="auto" w:fill="000000"/>
                        </w:rPr>
                        <w:t>..............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Jméno: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left"/>
      </w:pPr>
      <w:r>
        <w:rPr>
          <w:rStyle w:val="CharStyle3"/>
        </w:rPr>
        <w:t>Bankovní spojení (číslo účtu): (dále jen „prodávající“)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340"/>
        <w:jc w:val="both"/>
      </w:pPr>
      <w:r>
        <w:rPr>
          <w:rStyle w:val="CharStyle3"/>
        </w:rPr>
        <w:t>Prodávající je oprávněn na základě svého vlastnického práva nakládat s tímto zbožím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62" w:val="left"/>
        </w:tabs>
        <w:bidi w:val="0"/>
        <w:spacing w:before="0" w:line="240" w:lineRule="auto"/>
        <w:ind w:left="1080" w:right="0" w:firstLine="0"/>
        <w:jc w:val="both"/>
      </w:pPr>
      <w:r>
        <w:rPr>
          <w:rStyle w:val="CharStyle3"/>
          <w:b/>
          <w:bCs/>
        </w:rPr>
        <w:t>1 ks datové úložiště typu NAS,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67" w:val="left"/>
        </w:tabs>
        <w:bidi w:val="0"/>
        <w:spacing w:before="0" w:line="240" w:lineRule="auto"/>
        <w:ind w:left="1080" w:right="0" w:firstLine="0"/>
        <w:jc w:val="both"/>
      </w:pPr>
      <w:r>
        <w:rPr>
          <w:rStyle w:val="CharStyle3"/>
          <w:b/>
          <w:bCs/>
        </w:rPr>
        <w:t>1 ks server pro aplikaci operačního řízení.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0"/>
        <w:jc w:val="both"/>
      </w:pP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line="240" w:lineRule="auto"/>
        <w:ind w:left="700" w:right="600" w:hanging="36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 v tištěné nebo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line="240" w:lineRule="auto"/>
        <w:ind w:left="700" w:right="600" w:hanging="360"/>
        <w:jc w:val="both"/>
      </w:pPr>
      <w:r>
        <w:rPr>
          <w:rStyle w:val="CharStyle3"/>
        </w:rPr>
        <w:t xml:space="preserve">Prodávající se zavazuje splnit svůj závazek k dodání zboží podle čl. 1 této smlouvy nejpozději </w:t>
      </w:r>
      <w:r>
        <w:rPr>
          <w:rStyle w:val="CharStyle3"/>
          <w:b/>
          <w:bCs/>
        </w:rPr>
        <w:t xml:space="preserve">do 30 dnů </w:t>
      </w:r>
      <w:r>
        <w:rPr>
          <w:rStyle w:val="CharStyle3"/>
        </w:rPr>
        <w:t>ode dne účinnosti této smlouvy, a to v místě splnění tohoto závazku, kterým je v případě zboží dle čl. 1 písm. a) této smlouvy sídlo kupujícího Kamenice 798/1 d, 625 00 Brno a v případě zboží dle čl. 1 písm. b) této smlouvy pracoviště kupujícího v prostorách hasičské stanice HZS ČR, Lidická 61, 602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3" w:val="left"/>
        </w:tabs>
        <w:bidi w:val="0"/>
        <w:spacing w:before="0" w:line="233" w:lineRule="auto"/>
        <w:ind w:left="700" w:right="600" w:hanging="360"/>
        <w:jc w:val="both"/>
      </w:pPr>
      <w:r>
        <w:rPr>
          <w:rStyle w:val="CharStyle3"/>
        </w:rPr>
        <w:t xml:space="preserve">Závazek prodávajícího ke splnění jeho závazku k dodání zboží podle čl. 1 této smlouvy se pak považuje za splněný po faktickém předání a převzetí zboží prostého </w:t>
      </w:r>
      <w:r>
        <w:rPr>
          <w:rStyle w:val="CharStyle3"/>
        </w:rPr>
        <w:t>všech vad, po jeho instalaci a konfiguraci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680"/>
        <w:jc w:val="both"/>
      </w:pPr>
      <w:r>
        <w:rPr>
          <w:rStyle w:val="CharStyle3"/>
          <w:b/>
          <w:bCs/>
          <w:sz w:val="20"/>
          <w:szCs w:val="20"/>
        </w:rPr>
        <w:t xml:space="preserve">574 620,- </w:t>
      </w:r>
      <w:r>
        <w:rPr>
          <w:rStyle w:val="CharStyle3"/>
        </w:rPr>
        <w:t>Kč bez DPH, tj. 695 290,20 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8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  <w:sz w:val="20"/>
          <w:szCs w:val="20"/>
        </w:rPr>
        <w:t xml:space="preserve">P21V00002631.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Prodávající odpovídá kupujícímu za to, že zboží podle čl. 1 této smlouvy bude odpovídat tuzemským právním předpisům, technickým a jiným normám, a že bude mít vymíněné vlastnosti kupujícím. S převodem zboží podle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0" w:val="left"/>
        </w:tabs>
        <w:bidi w:val="0"/>
        <w:spacing w:before="0" w:line="240" w:lineRule="auto"/>
        <w:ind w:left="1060" w:right="0" w:hanging="360"/>
        <w:jc w:val="both"/>
      </w:pPr>
      <w:r>
        <w:rPr>
          <w:rStyle w:val="CharStyle3"/>
        </w:rPr>
        <w:t>čl. 1 písm. a) této smlouvy je spojena záruka za jeho jakost v trvání 5 let ode dne splnění závazku prodávajícího k dodání tohoto zboží. V rámci této záruky se prodávající zavazuje odstraňovat vady na tomto zboží ve lhůtě do 5 dnů od doručení příslušné reklamace kupujícího,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0" w:val="left"/>
        </w:tabs>
        <w:bidi w:val="0"/>
        <w:spacing w:before="0" w:line="240" w:lineRule="auto"/>
        <w:ind w:left="1060" w:right="0" w:hanging="360"/>
        <w:jc w:val="both"/>
      </w:pPr>
      <w:r>
        <w:rPr>
          <w:rStyle w:val="CharStyle3"/>
        </w:rPr>
        <w:t>čl. 1 písm. b) této smlouvy je spojena záruka za jeho jakost v trvání 7 let ode dne splnění závazku prodávajícího k dodání tohoto zboží. V rámci této záruky se prodávající zavazuje poskytovat kupujícímu proaktivní dohled typu 24x7 s odstraněním vady do 4 hodin od nahlášení závady na tomto zboží ze strany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se.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9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9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line="240" w:lineRule="auto"/>
        <w:ind w:left="680" w:right="0" w:hanging="32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9" w:val="left"/>
        </w:tabs>
        <w:bidi w:val="0"/>
        <w:spacing w:before="0" w:line="233" w:lineRule="auto"/>
        <w:ind w:left="680" w:right="0" w:hanging="32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9" w:val="left"/>
        </w:tabs>
        <w:bidi w:val="0"/>
        <w:spacing w:before="0" w:after="120" w:line="240" w:lineRule="auto"/>
        <w:ind w:left="860" w:right="0" w:hanging="34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9" w:val="left"/>
        </w:tabs>
        <w:bidi w:val="0"/>
        <w:spacing w:before="0" w:after="120" w:line="233" w:lineRule="auto"/>
        <w:ind w:left="860" w:right="0" w:hanging="34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120" w:line="240" w:lineRule="auto"/>
        <w:ind w:left="860" w:right="0" w:hanging="34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120" w:line="240" w:lineRule="auto"/>
        <w:ind w:left="0" w:right="0" w:firstLine="520"/>
        <w:jc w:val="left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9" w:val="left"/>
        </w:tabs>
        <w:bidi w:val="0"/>
        <w:spacing w:before="0" w:after="120" w:line="228" w:lineRule="auto"/>
        <w:ind w:left="860" w:right="0" w:hanging="34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4" w:val="left"/>
        </w:tabs>
        <w:bidi w:val="0"/>
        <w:spacing w:before="0" w:after="1120" w:line="230" w:lineRule="auto"/>
        <w:ind w:left="860" w:right="0" w:hanging="34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050" w:val="left"/>
        </w:tabs>
        <w:bidi w:val="0"/>
        <w:spacing w:before="0" w:after="0" w:line="240" w:lineRule="auto"/>
        <w:ind w:left="0" w:right="0" w:firstLine="14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72" w:right="684" w:bottom="1321" w:left="1372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25400</wp:posOffset>
                </wp:positionV>
                <wp:extent cx="1456690" cy="17399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09/12/2021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7.69999999999999pt;margin-top:2.pt;width:114.7pt;height:13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09/12/2021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1346835" distL="114300" distR="5226050" simplePos="0" relativeHeight="125829382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margin">
                  <wp:posOffset>5073650</wp:posOffset>
                </wp:positionV>
                <wp:extent cx="1624330" cy="5670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9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</w:rPr>
                              <w:br/>
                            </w: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​..................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​......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.................​..........​....​.......​.....​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9"/>
                                <w:color w:val="000000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9"/>
                                <w:color w:val="000000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.550000000000004pt;margin-top:399.5pt;width:127.90000000000001pt;height:44.649999999999999pt;z-index:-125829371;mso-wrap-distance-left:9.pt;mso-wrap-distance-top:9.pt;mso-wrap-distance-right:411.5pt;mso-wrap-distance-bottom:106.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9"/>
                          <w:color w:val="000000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9"/>
                          <w:color w:val="000000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color w:val="000000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9"/>
                          <w:color w:val="00000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color w:val="000000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</w:rPr>
                        <w:br/>
                      </w: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​..................</w:t>
                      </w:r>
                      <w:r>
                        <w:rPr>
                          <w:rStyle w:val="CharStyle9"/>
                          <w:color w:val="000000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color w:val="000000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9"/>
                          <w:color w:val="000000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​......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.................​..........​....​.......​.....​</w:t>
                      </w:r>
                      <w:r>
                        <w:rPr>
                          <w:rStyle w:val="CharStyle9"/>
                          <w:color w:val="000000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9"/>
                          <w:color w:val="000000"/>
                          <w:spacing w:val="5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9"/>
                          <w:color w:val="000000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376555" distB="974725" distL="1348740" distR="4265930" simplePos="0" relativeHeight="125829384" behindDoc="0" locked="0" layoutInCell="1" allowOverlap="1">
            <wp:simplePos x="0" y="0"/>
            <wp:positionH relativeFrom="page">
              <wp:posOffset>1736725</wp:posOffset>
            </wp:positionH>
            <wp:positionV relativeFrom="margin">
              <wp:posOffset>5335905</wp:posOffset>
            </wp:positionV>
            <wp:extent cx="1353185" cy="67691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353185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75590" distB="1036320" distL="4049395" distR="1110615" simplePos="0" relativeHeight="125829385" behindDoc="0" locked="0" layoutInCell="1" allowOverlap="1">
            <wp:simplePos x="0" y="0"/>
            <wp:positionH relativeFrom="page">
              <wp:posOffset>4437380</wp:posOffset>
            </wp:positionH>
            <wp:positionV relativeFrom="margin">
              <wp:posOffset>5234940</wp:posOffset>
            </wp:positionV>
            <wp:extent cx="1804670" cy="71945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804670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37590" distB="667385" distL="559435" distR="4826635" simplePos="0" relativeHeight="125829386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margin">
                  <wp:posOffset>5996940</wp:posOffset>
                </wp:positionV>
                <wp:extent cx="1578610" cy="32321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86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4.600000000000009pt;margin-top:472.19999999999999pt;width:124.3pt;height:25.449999999999999pt;z-index:-125829367;mso-wrap-distance-left:44.050000000000004pt;mso-wrap-distance-top:81.700000000000003pt;mso-wrap-distance-right:380.05000000000001pt;mso-wrap-distance-bottom:52.5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16380" distB="24130" distL="556260" distR="3978910" simplePos="0" relativeHeight="125829388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margin">
                  <wp:posOffset>6475730</wp:posOffset>
                </wp:positionV>
                <wp:extent cx="2429510" cy="4876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951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Petr Maleňák, jednatel společnosti PER4MANCE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4.350000000000009pt;margin-top:509.90000000000003pt;width:191.30000000000001pt;height:38.399999999999999pt;z-index:-125829365;mso-wrap-distance-left:43.800000000000004pt;mso-wrap-distance-top:119.40000000000001pt;mso-wrap-distance-right:313.30000000000001pt;mso-wrap-distance-bottom:1.9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Petr Maleňák, jednatel společnosti PER4MANCE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56005" distB="478155" distL="3856990" distR="1830705" simplePos="0" relativeHeight="125829390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margin">
                  <wp:posOffset>6015355</wp:posOffset>
                </wp:positionV>
                <wp:extent cx="1276985" cy="4940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698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Petr Maleňák, jednatel společnosti PER4MANCE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4.25pt;margin-top:473.65000000000003pt;width:100.55pt;height:38.899999999999999pt;z-index:-125829363;mso-wrap-distance-left:303.69999999999999pt;mso-wrap-distance-top:83.150000000000006pt;mso-wrap-distance-right:144.15000000000001pt;mso-wrap-distance-bottom:37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Petr Maleňák, jednatel společnosti PER4MANCE s.r.o.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0765" distB="350520" distL="5207635" distR="114300" simplePos="0" relativeHeight="125829392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margin">
                  <wp:posOffset>6000115</wp:posOffset>
                </wp:positionV>
                <wp:extent cx="1642745" cy="63690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17"/>
                              </w:rPr>
                              <w:t>PER^-MANCE®</w:t>
                            </w:r>
                            <w:bookmarkEnd w:id="0"/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>PEŘ4MANCE s.r.o.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37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 xml:space="preserve">Fišova 3, 602 00 </w:t>
                            </w:r>
                            <w:r>
                              <w:rPr>
                                <w:rStyle w:val="CharStyle19"/>
                                <w:color w:val="A2A7B7"/>
                              </w:rPr>
                              <w:t xml:space="preserve">Brno </w:t>
                            </w:r>
                            <w:r>
                              <w:rPr>
                                <w:rStyle w:val="CharStyle19"/>
                              </w:rPr>
                              <w:t xml:space="preserve">lC; §0748024, PlO, </w:t>
                            </w:r>
                            <w:r>
                              <w:rPr>
                                <w:rStyle w:val="CharStyle19"/>
                                <w:color w:val="A2A7B7"/>
                              </w:rPr>
                              <w:t>CZC0749024</w:t>
                              <w:tab/>
                            </w:r>
                            <w:r>
                              <w:rPr>
                                <w:rStyle w:val="CharStyle19"/>
                              </w:rPr>
                              <w:t>@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0.60000000000002pt;margin-top:472.44999999999999pt;width:129.34999999999999pt;height:50.149999999999999pt;z-index:-125829361;mso-wrap-distance-left:410.05000000000001pt;mso-wrap-distance-top:81.950000000000003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7"/>
                        </w:rPr>
                        <w:t>PER^-MANCE®</w:t>
                      </w:r>
                      <w:bookmarkEnd w:id="0"/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rStyle w:val="CharStyle19"/>
                        </w:rPr>
                        <w:t>PEŘ4MANCE s.r.o.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7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rStyle w:val="CharStyle19"/>
                        </w:rPr>
                        <w:t xml:space="preserve">Fišova 3, 602 00 </w:t>
                      </w:r>
                      <w:r>
                        <w:rPr>
                          <w:rStyle w:val="CharStyle19"/>
                          <w:color w:val="A2A7B7"/>
                        </w:rPr>
                        <w:t xml:space="preserve">Brno </w:t>
                      </w:r>
                      <w:r>
                        <w:rPr>
                          <w:rStyle w:val="CharStyle19"/>
                        </w:rPr>
                        <w:t xml:space="preserve">lC; §0748024, PlO, </w:t>
                      </w:r>
                      <w:r>
                        <w:rPr>
                          <w:rStyle w:val="CharStyle19"/>
                          <w:color w:val="A2A7B7"/>
                        </w:rPr>
                        <w:t>CZC0749024</w:t>
                        <w:tab/>
                      </w:r>
                      <w:r>
                        <w:rPr>
                          <w:rStyle w:val="CharStyle19"/>
                        </w:rPr>
                        <w:t>@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51660" distB="0" distL="4018915" distR="2168525" simplePos="0" relativeHeight="125829394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margin">
                  <wp:posOffset>6811010</wp:posOffset>
                </wp:positionV>
                <wp:extent cx="777240" cy="1765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Prodávající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7.pt;margin-top:536.29999999999995pt;width:61.200000000000003pt;height:13.9pt;z-index:-125829359;mso-wrap-distance-left:316.44999999999999pt;mso-wrap-distance-top:145.80000000000001pt;mso-wrap-distance-right:17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  <w:i/>
          <w:iCs/>
        </w:rPr>
        <w:t>V</w:t>
      </w:r>
      <w:r>
        <w:rPr>
          <w:rStyle w:val="CharStyle3"/>
        </w:rPr>
        <w:t xml:space="preserve"> Brně dne</w:t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0" w:right="0" w:bottom="14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Příloha č. 1 Technická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0" w:right="1258" w:bottom="1410" w:left="1450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2 Ceník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  <w:color w:val="000000"/>
        </w:rPr>
        <w:t>Příloha kupní smlouvy č. 1 - Technická specifikace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19"/>
          <w:b/>
          <w:bCs/>
          <w:color w:val="000000"/>
        </w:rPr>
        <w:t>Technická specifikace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61" w:right="0" w:firstLine="0"/>
        <w:jc w:val="left"/>
      </w:pPr>
      <w:r>
        <w:rPr>
          <w:rStyle w:val="CharStyle30"/>
          <w:b/>
          <w:bCs/>
        </w:rPr>
        <w:t>datové úložiště NAŠ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0"/>
          <w:b/>
          <w:bCs/>
        </w:rPr>
        <w:t>Synology RS4021xs+</w:t>
      </w:r>
    </w:p>
    <w:tbl>
      <w:tblPr>
        <w:tblOverlap w:val="never"/>
        <w:jc w:val="center"/>
        <w:tblLayout w:type="fixed"/>
      </w:tblPr>
      <w:tblGrid>
        <w:gridCol w:w="9456"/>
        <w:gridCol w:w="509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b/>
                <w:bCs/>
                <w:sz w:val="13"/>
                <w:szCs w:val="13"/>
              </w:rPr>
              <w:t>Specifikace - minimální 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b/>
                <w:bCs/>
                <w:sz w:val="13"/>
                <w:szCs w:val="13"/>
              </w:rPr>
              <w:t xml:space="preserve">Dodavatel doplní splněni parametru </w:t>
            </w:r>
            <w:r>
              <w:rPr>
                <w:rStyle w:val="CharStyle33"/>
                <w:b/>
                <w:bCs/>
                <w:color w:val="443912"/>
                <w:sz w:val="13"/>
                <w:szCs w:val="13"/>
              </w:rPr>
              <w:t xml:space="preserve">- </w:t>
            </w:r>
            <w:r>
              <w:rPr>
                <w:rStyle w:val="CharStyle33"/>
                <w:b/>
                <w:bCs/>
                <w:sz w:val="13"/>
                <w:szCs w:val="13"/>
              </w:rPr>
              <w:t>uvede: "ANO'7hodnotu parametru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Úložiště typu NAS - min. 80TB úložného prostoru v RAID6 s min. 1ks hot spáre disku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RS4021xs+ 8ks HAT5300-16T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Úložiště s možností instalace min 16 disků, přičemž nabízená konfigurace obsadí maximálně polovinu pozic. Možnost rozšířit úložiště až 32 disků pomocí rozšiřovacích jednotek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Mezipaměť SSD - ReadWrite Cache - M.2 NVMe o velikosti min. 2x 800GB.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M2D20 + 2ks SNV3500-800G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Souborový systém Btrfs a ext4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Připojeni do šitě minimálně 2x 10 Gbps SFP+, včetně modulů SFP+ 10G SR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E25G21-F2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• Podpora Jumbo rámců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Rozšiřitelnost o další disky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• Systémová paměť min 16GB s možnosti rozšířt na 64GB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• Procesor minimálně 8 jader/16 vláken 2 GHz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• Podpora NFS a iSCSI - LUN pro VMWare, HyperV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• Redundantní napájecí zdroj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Plná kompatibilita s VMWare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Výkon náhodného čtení až 234 000 IOPS a sekvenční propustnost při čtení 6200 MB/s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Podpora RAID 0, 1, 5, 6,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Systém hardwarového šifrování AES-256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Správa systému pomocí šifrované komunikace https, ssh a implementovaný Firewall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Integrace do monitorovacích nástrojů snmp, syslog a notifikace nestandardních stavů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Montáž do standardního RACKu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 1ks RS4021XS+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Instalace a konfigurace na místě včetně aktualizací všech firmware na poslední aktuální a stabilní verze a součinnost při zařazeni do stávajícího prostředí.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80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sz w:val="13"/>
                <w:szCs w:val="13"/>
              </w:rPr>
              <w:t>Záruka 5 let.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EFD80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3"/>
                <w:color w:val="443912"/>
                <w:sz w:val="13"/>
                <w:szCs w:val="13"/>
              </w:rPr>
              <w:t>ANO</w:t>
            </w:r>
          </w:p>
        </w:tc>
      </w:tr>
    </w:tbl>
    <w:p>
      <w:pPr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1200" w:right="1256" w:bottom="840" w:left="1035" w:header="772" w:footer="41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7731760</wp:posOffset>
                </wp:positionH>
                <wp:positionV relativeFrom="paragraph">
                  <wp:posOffset>222250</wp:posOffset>
                </wp:positionV>
                <wp:extent cx="2423160" cy="55753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316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b/>
                                <w:bCs/>
                                <w:color w:val="443912"/>
                              </w:rPr>
                              <w:t>Dodavatel doplní splnění parametru - uvede: "ANO"/hodnotu parametru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Intel Xeon Gold 6208U 2.9G, 16C/32T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12ks 16GB RDIMM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PERC H750 + 4x 1,6TB SSD SAS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PERC H750 Adapter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08.80000000000007pt;margin-top:17.5pt;width:190.80000000000001pt;height:43.899999999999999pt;z-index:-1258293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b/>
                          <w:bCs/>
                          <w:color w:val="443912"/>
                        </w:rPr>
                        <w:t>Dodavatel doplní splnění parametru - uvede: "ANO"/hodnotu parametru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Intel Xeon Gold 6208U 2.9G, 16C/32T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12ks 16GB RDIMM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PERC H750 + 4x 1,6TB SSD SAS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PERC H750 Adapter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2700" distR="12700" simplePos="0" relativeHeight="125829398" behindDoc="0" locked="0" layoutInCell="1" allowOverlap="1">
                <wp:simplePos x="0" y="0"/>
                <wp:positionH relativeFrom="page">
                  <wp:posOffset>7725410</wp:posOffset>
                </wp:positionH>
                <wp:positionV relativeFrom="paragraph">
                  <wp:posOffset>1771015</wp:posOffset>
                </wp:positionV>
                <wp:extent cx="1837690" cy="1298575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1298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iDRAC9,Enterprise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ÍDRAC9, Enterprise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ÍDRAC9,Enterprise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1ks ÍDRAC9, Enterprise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splňuje licenční podmínky stávající licence ORACLE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5"/>
                                <w:color w:val="443912"/>
                              </w:rPr>
                              <w:t>ANO ProSupport and 4Hr Mission Critical Extension 7Y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08.30000000000007pt;margin-top:139.45000000000002pt;width:144.70000000000002pt;height:102.25pt;z-index:-125829355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iDRAC9,Enterprise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ÍDRAC9, Enterprise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ÍDRAC9,Enterprise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1ks ÍDRAC9, Enterprise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splňuje licenční podmínky stávající licence ORACLE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5"/>
                          <w:color w:val="443912"/>
                        </w:rPr>
                        <w:t>ANO ProSupport and 4Hr Mission Critical Extension 7Y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4"/>
        <w:keepNext w:val="0"/>
        <w:keepLines w:val="0"/>
        <w:widowControl w:val="0"/>
        <w:shd w:val="clear" w:color="auto" w:fill="auto"/>
        <w:tabs>
          <w:tab w:pos="4882" w:val="left"/>
        </w:tabs>
        <w:bidi w:val="0"/>
        <w:spacing w:before="0" w:after="0"/>
        <w:ind w:left="0" w:right="0" w:firstLine="360"/>
        <w:jc w:val="left"/>
      </w:pPr>
      <w:r>
        <w:rPr>
          <w:rStyle w:val="CharStyle55"/>
          <w:b/>
          <w:bCs/>
        </w:rPr>
        <w:t>~</w:t>
        <w:tab/>
        <w:t>Server pro aplikaci operačního řízení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5080" w:right="0" w:firstLine="0"/>
        <w:jc w:val="left"/>
      </w:pPr>
      <w:r>
        <w:rPr>
          <w:rStyle w:val="CharStyle55"/>
          <w:b/>
          <w:bCs/>
          <w:color w:val="443912"/>
          <w:u w:val="single"/>
        </w:rPr>
        <w:t>DELL PowerEdge R640 Server</w:t>
      </w:r>
    </w:p>
    <w:p>
      <w:pPr>
        <w:pStyle w:val="Style54"/>
        <w:keepNext w:val="0"/>
        <w:keepLines w:val="0"/>
        <w:widowControl w:val="0"/>
        <w:shd w:val="clear" w:color="auto" w:fill="auto"/>
        <w:tabs>
          <w:tab w:pos="11731" w:val="left"/>
        </w:tabs>
        <w:bidi w:val="0"/>
        <w:spacing w:before="0" w:after="0"/>
        <w:ind w:left="0" w:right="0" w:firstLine="0"/>
        <w:jc w:val="left"/>
      </w:pPr>
      <w:r>
        <w:rPr>
          <w:rStyle w:val="CharStyle55"/>
          <w:b/>
          <w:bCs/>
          <w:color w:val="443912"/>
          <w:u w:val="single"/>
        </w:rPr>
        <w:t>Specifikace - minimální požadavky zadavatele</w:t>
        <w:tab/>
        <w:t>|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 xml:space="preserve">• Provedení RACK mount 1U včetně ližin s ramenem pro vedení kabelů do racku, pro přístup ke všem komponentám serveru není nutné nářadí, barevné značené hot-plug vnitřní komponenty. Požadujeme LCD display pro základní Systém osazený 1x CPU min. 16 fyzických jader při frekvenci min. 2.9Ghz na jádro. Výkon celého systému odpovídá hodnotě Base = 113 získané z měření </w:t>
      </w:r>
      <w:r>
        <w:fldChar w:fldCharType="begin"/>
      </w:r>
      <w:r>
        <w:rPr/>
        <w:instrText> HYPERLINK "https://www.spec.org/cpu2017/results/rint2017.html" </w:instrText>
      </w:r>
      <w:r>
        <w:fldChar w:fldCharType="separate"/>
      </w:r>
      <w:r>
        <w:rPr>
          <w:rStyle w:val="CharStyle55"/>
          <w:lang w:val="en-US" w:eastAsia="en-US" w:bidi="en-US"/>
        </w:rPr>
        <w:t>https://www.spec.org/cpu2017/results/rint2017.html</w:t>
      </w:r>
      <w:r>
        <w:fldChar w:fldCharType="end"/>
      </w:r>
      <w:r>
        <w:rPr>
          <w:rStyle w:val="CharStyle55"/>
          <w:lang w:val="en-US" w:eastAsia="en-US" w:bidi="en-US"/>
        </w:rPr>
        <w:t xml:space="preserve"> </w:t>
      </w:r>
      <w:r>
        <w:rPr>
          <w:rStyle w:val="CharStyle55"/>
        </w:rPr>
        <w:t>Min. 192 GB na frekvenci 2933MHz, požadujeme ideální rozložení paměťových modulů v návaznosti na technické požadavky paměťových kanálů, paměť rozšiřitelná min. na 1TB typu DDR4.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Server musí podporovat min. 8 x 2,5 palcových disků SAS, SSD nebo ŠATA, požadujeme server osazený hot-plug disky: 4x 1 6TB SSD SAS při splnění hodnoty DWPD 3s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Diskový HW řadič: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typu SAS, PCI Express 4 kompatibilní, jednokanálový (8 interních portů)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RAID 0, 1, 5, 6, 10, 50, 60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12Gbps technologie rozhraní disků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Non-RAID (Pass-through)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Online Capacity Expansion (OCE)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Online RAID Level Migration (RLM)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4K native sector velikosti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SED disků a SSD disků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rStyle w:val="CharStyle55"/>
        </w:rPr>
        <w:t>o podpora globálního i dedikovaného hot-spare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780"/>
        <w:jc w:val="left"/>
      </w:pPr>
      <w:r>
        <w:rPr>
          <w:rStyle w:val="CharStyle55"/>
        </w:rPr>
        <w:t>o minimálně 8GB cache typu NV (cache to flash)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Síťové rozhranní Min. 2 x 1GbE ethemet port a Min. 4x 10Gb SFP+ port včetně DAC kabelů pro přímé připojení, délka min. 5m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Redundantní síťové napájecí zdroje s možností nastavení limitů výkonu a spotřeby v BIOSu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Interface min 3 x USB (1 vpředu, 2 vzadu) a sériový port RS232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Rozšiřující sloty Min 2x PCIe Gen3 x16, podpora karet s duálními M.2 disky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Kompatibilita pro aktuální verze VMware ESX, Microsoft® Windows Server® with Hyper-V a Red Hat Enterprise Linux (Oracle Linux)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Management serveru nezávislý na operačním systému poskytující management funkce a vlastnosti: webové rozhraní HTML5 a dedikovaná IP adresa, sledování hardwarových senzorů (teplota, napětí, stav, chybové senzory) error alerty (server reset, kritické sensorové hodnoty, atd.) za použití email traps, paging, IPv6,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Vyžadována je schopnost monitorovat a spravovat server (hardwarová konfigurace, RAID konfigurace .server reset, reboot, power-on/off/cyde, virtuální vzdálená konsole serveru atd.)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Management musí podporovat dvou faktorovou autentifikaci a AD/LDAP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Záložní BIOS v dedikované ROM s možností manuální/automatické obnovy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Požadujeme vestavěné GUI s podporou HTML5 a dedikovaná IP adresa IPv4, IPv6 a nezávislý management je s dedikovaným ethemet portem, který není součástí požadovaných ethemet portů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5"/>
        </w:rPr>
        <w:t>Instalace a konfigurace na místě včetně aktualizací všech firmware na poslední aktuální a stabilní verze. V případě že dodávané servery nebudou splňovat licenční podmínky stávajících licencí ORACLE DB (1x ORACLE Database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55"/>
        </w:rPr>
        <w:t>Server Standard Edition One) musí být součásti nabídky i rozšířeni licencí ORACLE DB včetně podpory na 5let.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31" w:right="1890" w:bottom="1431" w:left="402" w:header="1003" w:footer="1003" w:gutter="0"/>
          <w:cols w:space="720"/>
          <w:noEndnote/>
          <w:rtlGutter w:val="0"/>
          <w:docGrid w:linePitch="360"/>
        </w:sectPr>
      </w:pPr>
      <w:r>
        <w:rPr>
          <w:rStyle w:val="CharStyle55"/>
        </w:rPr>
        <w:t>Podpora na 7 let typu 24x7 s proaktivním dohledem a odstraněním problému do 4h po nahlášení závady. Automatické zakládání servisních požadavků v případě poruchy, oprava v místě instalace, servis je poskytován výrobcem, jediné kontaktní místo pro nahlášení poruch pro všechny komponenty dodávaného systému, možnost stažení ovladačů a management software na webových stránkách po celou dobu platné podpory.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19"/>
          <w:szCs w:val="19"/>
        </w:rPr>
      </w:pPr>
      <w:r>
        <w:rPr>
          <w:rStyle w:val="CharStyle30"/>
          <w:sz w:val="19"/>
          <w:szCs w:val="19"/>
        </w:rPr>
        <w:t>Příloha Kupní smlouvy č. 2 - Ceník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22"/>
          <w:szCs w:val="22"/>
        </w:rPr>
      </w:pPr>
      <w:r>
        <w:rPr>
          <w:rStyle w:val="CharStyle30"/>
          <w:b/>
          <w:bCs/>
          <w:sz w:val="22"/>
          <w:szCs w:val="22"/>
        </w:rPr>
        <w:t>Ceník</w:t>
      </w:r>
    </w:p>
    <w:tbl>
      <w:tblPr>
        <w:tblOverlap w:val="never"/>
        <w:jc w:val="center"/>
        <w:tblLayout w:type="fixed"/>
      </w:tblPr>
      <w:tblGrid>
        <w:gridCol w:w="1037"/>
        <w:gridCol w:w="1742"/>
        <w:gridCol w:w="1877"/>
        <w:gridCol w:w="1032"/>
        <w:gridCol w:w="1618"/>
        <w:gridCol w:w="1930"/>
      </w:tblGrid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Nabízené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Jednotková cena vč. DPH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33"/>
                <w:rFonts w:ascii="Calibri" w:eastAsia="Calibri" w:hAnsi="Calibri" w:cs="Calibri"/>
                <w:sz w:val="22"/>
                <w:szCs w:val="22"/>
              </w:rPr>
              <w:t>Datové úložiště typu NAS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rStyle w:val="CharStyle33"/>
                <w:i/>
                <w:iCs/>
              </w:rPr>
              <w:t>Synology RS4021xs+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259 400,00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313 874,00 Kč</w:t>
            </w:r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33"/>
                <w:rFonts w:ascii="Calibri" w:eastAsia="Calibri" w:hAnsi="Calibri" w:cs="Calibri"/>
                <w:sz w:val="22"/>
                <w:szCs w:val="22"/>
              </w:rPr>
              <w:t>Server pro aplikaci operačního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rStyle w:val="CharStyle33"/>
                <w:i/>
                <w:iCs/>
              </w:rPr>
              <w:t>DELL PowerEdge R640 Server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315 220,00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381 416,20 Kč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574 620,00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3"/>
                <w:b/>
                <w:bCs/>
              </w:rPr>
              <w:t>695 290,20 Kč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72" w:right="1559" w:bottom="812" w:left="1106" w:header="744" w:footer="38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10148570</wp:posOffset>
              </wp:positionV>
              <wp:extent cx="1557655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76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4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42-21 Datové úložiště a server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9.049999999999997pt;margin-top:799.10000000000002pt;width:122.65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4"/>
                        <w:rFonts w:ascii="Arial" w:eastAsia="Arial" w:hAnsi="Arial" w:cs="Arial"/>
                        <w:sz w:val="18"/>
                        <w:szCs w:val="18"/>
                      </w:rPr>
                      <w:t>42-21 Datové úložiště a server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53A2E4"/>
      <w:sz w:val="18"/>
      <w:szCs w:val="18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7F8390"/>
      <w:sz w:val="28"/>
      <w:szCs w:val="28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7F8390"/>
      <w:sz w:val="13"/>
      <w:szCs w:val="13"/>
      <w:u w:val="none"/>
    </w:rPr>
  </w:style>
  <w:style w:type="character" w:customStyle="1" w:styleId="CharStyle22">
    <w:name w:val="Nadpis #1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CharStyle24">
    <w:name w:val="Záhlaví nebo zápatí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Základní text (5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Titulek tabulky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3">
    <w:name w:val="Jiné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5">
    <w:name w:val="Základní text (2)_"/>
    <w:basedOn w:val="DefaultParagraphFont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3A2E4"/>
      <w:sz w:val="18"/>
      <w:szCs w:val="18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F8390"/>
      <w:sz w:val="28"/>
      <w:szCs w:val="28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auto"/>
      <w:ind w:firstLine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F8390"/>
      <w:sz w:val="13"/>
      <w:szCs w:val="13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auto"/>
      <w:spacing w:after="10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Style23">
    <w:name w:val="Záhlaví nebo zápatí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Základní text (5)"/>
    <w:basedOn w:val="Normal"/>
    <w:link w:val="CharStyle27"/>
    <w:pPr>
      <w:widowControl w:val="0"/>
      <w:shd w:val="clear" w:color="auto" w:fill="auto"/>
      <w:spacing w:after="22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9">
    <w:name w:val="Titulek tabulky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32">
    <w:name w:val="Jiné"/>
    <w:basedOn w:val="Normal"/>
    <w:link w:val="CharStyle33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4">
    <w:name w:val="Základní text (2)"/>
    <w:basedOn w:val="Normal"/>
    <w:link w:val="CharStyle55"/>
    <w:pPr>
      <w:widowControl w:val="0"/>
      <w:shd w:val="clear" w:color="auto" w:fill="auto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