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FB" w:rsidRDefault="0049760C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</w:rPr>
        <w:t>Illllllllllllllllllllllll</w:t>
      </w:r>
      <w:bookmarkEnd w:id="0"/>
      <w:proofErr w:type="spellEnd"/>
    </w:p>
    <w:p w:rsidR="00157CFB" w:rsidRDefault="0049760C">
      <w:pPr>
        <w:pStyle w:val="Zkladntext30"/>
      </w:pPr>
      <w:r>
        <w:rPr>
          <w:rStyle w:val="Zkladntext3"/>
        </w:rPr>
        <w:t>2021008177</w:t>
      </w:r>
    </w:p>
    <w:p w:rsidR="00157CFB" w:rsidRDefault="0049760C">
      <w:pPr>
        <w:pStyle w:val="Zkladntext1"/>
        <w:tabs>
          <w:tab w:val="left" w:pos="3950"/>
          <w:tab w:val="left" w:leader="hyphen" w:pos="4891"/>
        </w:tabs>
        <w:spacing w:after="0"/>
        <w:ind w:right="520"/>
        <w:jc w:val="right"/>
      </w:pPr>
      <w:r>
        <w:rPr>
          <w:rStyle w:val="Zkladntext"/>
          <w:b/>
          <w:bCs/>
        </w:rPr>
        <w:t>KUPNÍ SMLOUVA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:rsidR="00157CFB" w:rsidRDefault="0049760C">
      <w:pPr>
        <w:pStyle w:val="Zkladntext1"/>
        <w:spacing w:after="500"/>
        <w:jc w:val="center"/>
      </w:pPr>
      <w:r>
        <w:rPr>
          <w:rStyle w:val="Zkladntext"/>
        </w:rPr>
        <w:t>uzavřená v souladu s ustanovením § 2079 a násl. zákona č. 89/2012 Sb., občanský zákoník,</w:t>
      </w:r>
      <w:r>
        <w:rPr>
          <w:rStyle w:val="Zkladntext"/>
        </w:rPr>
        <w:br/>
        <w:t>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5861"/>
      </w:tblGrid>
      <w:tr w:rsidR="00157CF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211" w:type="dxa"/>
            <w:shd w:val="clear" w:color="auto" w:fill="auto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5861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ind w:left="320"/>
            </w:pPr>
            <w:r>
              <w:rPr>
                <w:rStyle w:val="Jin"/>
                <w:b/>
                <w:bCs/>
              </w:rPr>
              <w:t xml:space="preserve">Zdravotnická záchranná služba Jihomoravského kraje, příspěvková </w:t>
            </w:r>
            <w:r>
              <w:rPr>
                <w:rStyle w:val="Jin"/>
                <w:b/>
                <w:bCs/>
              </w:rPr>
              <w:t>organizace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11" w:type="dxa"/>
            <w:shd w:val="clear" w:color="auto" w:fill="auto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5861" w:type="dxa"/>
            <w:shd w:val="clear" w:color="auto" w:fill="auto"/>
          </w:tcPr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</w:rPr>
              <w:t>Kamenice 798/1 d, 625 00 Brno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11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5861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</w:rPr>
              <w:t>MUDr. Hana Albrechtová, ředitelka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11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861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ind w:firstLine="320"/>
            </w:pPr>
            <w:proofErr w:type="gramStart"/>
            <w:r>
              <w:rPr>
                <w:rStyle w:val="Jin"/>
                <w:shd w:val="clear" w:color="auto" w:fill="000000"/>
              </w:rPr>
              <w:t>.......​...........​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</w:rPr>
              <w:t>,</w:t>
            </w:r>
            <w:proofErr w:type="gramEnd"/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11" w:type="dxa"/>
            <w:shd w:val="clear" w:color="auto" w:fill="auto"/>
          </w:tcPr>
          <w:p w:rsidR="00157CFB" w:rsidRDefault="00157CFB">
            <w:pPr>
              <w:rPr>
                <w:sz w:val="10"/>
                <w:szCs w:val="10"/>
              </w:rPr>
            </w:pPr>
          </w:p>
        </w:tc>
        <w:tc>
          <w:tcPr>
            <w:tcW w:w="5861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ind w:firstLine="320"/>
            </w:pPr>
            <w:proofErr w:type="gramStart"/>
            <w:r>
              <w:rPr>
                <w:rStyle w:val="Jin"/>
                <w:spacing w:val="4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hd w:val="clear" w:color="auto" w:fill="000000"/>
              </w:rPr>
              <w:t>...</w:t>
            </w:r>
            <w:r>
              <w:rPr>
                <w:rStyle w:val="Jin"/>
                <w:spacing w:val="5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...................</w:t>
            </w:r>
            <w:r>
              <w:rPr>
                <w:rStyle w:val="Jin"/>
                <w:spacing w:val="2"/>
                <w:shd w:val="clear" w:color="auto" w:fill="000000"/>
                <w:lang w:val="en-US" w:eastAsia="en-US" w:bidi="en-US"/>
              </w:rPr>
              <w:t>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.....</w:t>
            </w:r>
            <w:r>
              <w:rPr>
                <w:rStyle w:val="Jin"/>
                <w:spacing w:val="9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211" w:type="dxa"/>
            <w:shd w:val="clear" w:color="auto" w:fill="auto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IČ:</w:t>
            </w:r>
          </w:p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5861" w:type="dxa"/>
            <w:shd w:val="clear" w:color="auto" w:fill="auto"/>
          </w:tcPr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</w:rPr>
              <w:t>00346292</w:t>
            </w:r>
          </w:p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</w:rPr>
              <w:t>CZ00346292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11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5861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211" w:type="dxa"/>
            <w:shd w:val="clear" w:color="auto" w:fill="auto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861" w:type="dxa"/>
            <w:shd w:val="clear" w:color="auto" w:fill="auto"/>
          </w:tcPr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</w:rPr>
              <w:t xml:space="preserve">MONETA Money Bank, a.s., </w:t>
            </w:r>
            <w:proofErr w:type="gramStart"/>
            <w:r>
              <w:rPr>
                <w:rStyle w:val="Jin"/>
              </w:rPr>
              <w:t xml:space="preserve">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  <w:shd w:val="clear" w:color="auto" w:fill="000000"/>
              </w:rPr>
              <w:t>.​</w:t>
            </w:r>
            <w:r>
              <w:rPr>
                <w:rStyle w:val="Jin"/>
                <w:spacing w:val="1"/>
                <w:shd w:val="clear" w:color="auto" w:fill="000000"/>
              </w:rPr>
              <w:t>.......</w:t>
            </w:r>
            <w:r>
              <w:rPr>
                <w:rStyle w:val="Jin"/>
                <w:spacing w:val="2"/>
                <w:shd w:val="clear" w:color="auto" w:fill="000000"/>
              </w:rPr>
              <w:t>...................</w:t>
            </w:r>
            <w:proofErr w:type="gramEnd"/>
          </w:p>
        </w:tc>
      </w:tr>
    </w:tbl>
    <w:p w:rsidR="00157CFB" w:rsidRDefault="0049760C">
      <w:pPr>
        <w:pStyle w:val="Titulektabulky0"/>
      </w:pPr>
      <w:r>
        <w:rPr>
          <w:rStyle w:val="Titulektabulky"/>
        </w:rPr>
        <w:t>(dále jen „kupující“</w:t>
      </w:r>
    </w:p>
    <w:p w:rsidR="00157CFB" w:rsidRDefault="00157CFB">
      <w:pPr>
        <w:spacing w:after="219" w:line="1" w:lineRule="exact"/>
      </w:pPr>
    </w:p>
    <w:p w:rsidR="00157CFB" w:rsidRDefault="0049760C">
      <w:pPr>
        <w:pStyle w:val="Titulektabulky0"/>
      </w:pPr>
      <w:r>
        <w:rPr>
          <w:rStyle w:val="Titulektabulky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2"/>
        <w:gridCol w:w="5026"/>
      </w:tblGrid>
      <w:tr w:rsidR="00157CF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202" w:type="dxa"/>
            <w:shd w:val="clear" w:color="auto" w:fill="auto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5026" w:type="dxa"/>
            <w:shd w:val="clear" w:color="auto" w:fill="auto"/>
          </w:tcPr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  <w:b/>
                <w:bCs/>
              </w:rPr>
              <w:t>PER4MANCE s.r.o.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02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5026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  <w:b/>
                <w:bCs/>
              </w:rPr>
              <w:t>Fišova 399/3, 602 00 Brno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3202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Zápis v OR.</w:t>
            </w:r>
          </w:p>
        </w:tc>
        <w:tc>
          <w:tcPr>
            <w:tcW w:w="5026" w:type="dxa"/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ind w:left="320"/>
            </w:pPr>
            <w:r>
              <w:rPr>
                <w:rStyle w:val="Jin"/>
                <w:b/>
                <w:bCs/>
              </w:rPr>
              <w:t xml:space="preserve">Ing. Petr </w:t>
            </w:r>
            <w:proofErr w:type="spellStart"/>
            <w:r>
              <w:rPr>
                <w:rStyle w:val="Jin"/>
                <w:b/>
                <w:bCs/>
              </w:rPr>
              <w:t>Maleňák</w:t>
            </w:r>
            <w:proofErr w:type="spellEnd"/>
            <w:r>
              <w:rPr>
                <w:rStyle w:val="Jin"/>
                <w:b/>
                <w:bCs/>
              </w:rPr>
              <w:t>, jednatel společnosti 60749024</w:t>
            </w:r>
          </w:p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  <w:b/>
                <w:bCs/>
              </w:rPr>
              <w:t>CZ60749024</w:t>
            </w:r>
          </w:p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  <w:b/>
                <w:bCs/>
              </w:rPr>
              <w:t>u Krajského soudu v Brně, spisová značka 19044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02" w:type="dxa"/>
            <w:shd w:val="clear" w:color="auto" w:fill="auto"/>
          </w:tcPr>
          <w:p w:rsidR="00157CFB" w:rsidRDefault="0049760C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026" w:type="dxa"/>
            <w:shd w:val="clear" w:color="auto" w:fill="auto"/>
          </w:tcPr>
          <w:p w:rsidR="00157CFB" w:rsidRDefault="0049760C">
            <w:pPr>
              <w:pStyle w:val="Jin0"/>
              <w:spacing w:after="0"/>
              <w:ind w:firstLine="320"/>
            </w:pPr>
            <w:r>
              <w:rPr>
                <w:rStyle w:val="Jin"/>
                <w:b/>
                <w:bCs/>
              </w:rPr>
              <w:t xml:space="preserve">Komerční banka </w:t>
            </w:r>
            <w:proofErr w:type="gramStart"/>
            <w:r>
              <w:rPr>
                <w:rStyle w:val="Jin"/>
                <w:b/>
                <w:bCs/>
              </w:rPr>
              <w:t xml:space="preserve">Brno, </w:t>
            </w:r>
            <w:r>
              <w:rPr>
                <w:rStyle w:val="Jin"/>
                <w:b/>
                <w:bCs/>
                <w:shd w:val="clear" w:color="auto" w:fill="000000"/>
              </w:rPr>
              <w:t>.............................</w:t>
            </w:r>
            <w:proofErr w:type="gramEnd"/>
          </w:p>
        </w:tc>
      </w:tr>
    </w:tbl>
    <w:p w:rsidR="00157CFB" w:rsidRDefault="0049760C">
      <w:pPr>
        <w:pStyle w:val="Titulektabulky0"/>
      </w:pPr>
      <w:r>
        <w:rPr>
          <w:rStyle w:val="Titulektabulky"/>
        </w:rPr>
        <w:t>(dále jen „prodávající“)</w:t>
      </w:r>
    </w:p>
    <w:p w:rsidR="00157CFB" w:rsidRDefault="00157CFB">
      <w:pPr>
        <w:spacing w:after="1099" w:line="1" w:lineRule="exact"/>
      </w:pPr>
    </w:p>
    <w:p w:rsidR="00157CFB" w:rsidRDefault="0049760C">
      <w:pPr>
        <w:pStyle w:val="Zkladntext1"/>
        <w:numPr>
          <w:ilvl w:val="0"/>
          <w:numId w:val="1"/>
        </w:numPr>
        <w:tabs>
          <w:tab w:val="left" w:pos="681"/>
        </w:tabs>
        <w:ind w:left="700" w:hanging="360"/>
        <w:jc w:val="both"/>
      </w:pPr>
      <w:r>
        <w:rPr>
          <w:rStyle w:val="Zkladntext"/>
        </w:rPr>
        <w:t xml:space="preserve">Prodávající je oprávněn na základě svého vlastnického práva nakládat se zbožím v podobě </w:t>
      </w:r>
      <w:r>
        <w:rPr>
          <w:rStyle w:val="Zkladntext"/>
          <w:b/>
          <w:bCs/>
        </w:rPr>
        <w:t xml:space="preserve">Server 3 ks (2 ks určeny pro </w:t>
      </w:r>
      <w:proofErr w:type="spellStart"/>
      <w:r>
        <w:rPr>
          <w:rStyle w:val="Zkladntext"/>
          <w:b/>
          <w:bCs/>
        </w:rPr>
        <w:t>virtualizaci</w:t>
      </w:r>
      <w:proofErr w:type="spellEnd"/>
      <w:r>
        <w:rPr>
          <w:rStyle w:val="Zkladntext"/>
          <w:b/>
          <w:bCs/>
        </w:rPr>
        <w:t xml:space="preserve"> a 1 ks určen pro Exchange </w:t>
      </w:r>
      <w:proofErr w:type="spellStart"/>
      <w:r>
        <w:rPr>
          <w:rStyle w:val="Zkladntext"/>
          <w:b/>
          <w:bCs/>
        </w:rPr>
        <w:t>Enterprise</w:t>
      </w:r>
      <w:proofErr w:type="spellEnd"/>
      <w:r>
        <w:rPr>
          <w:rStyle w:val="Zkladntext"/>
          <w:b/>
          <w:bCs/>
        </w:rPr>
        <w:t xml:space="preserve">). </w:t>
      </w:r>
      <w:r>
        <w:rPr>
          <w:rStyle w:val="Zkladntext"/>
        </w:rPr>
        <w:t>Podrobná specifikace tohoto zboží je uvedena v příloze č. 1, která je nedílnou součástí</w:t>
      </w:r>
      <w:r>
        <w:rPr>
          <w:rStyle w:val="Zkladntext"/>
        </w:rPr>
        <w:t xml:space="preserve"> této kupní smlouvy.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681"/>
        </w:tabs>
        <w:ind w:left="700" w:hanging="360"/>
        <w:jc w:val="both"/>
      </w:pPr>
      <w:r>
        <w:rPr>
          <w:rStyle w:val="Zkladntext"/>
        </w:rPr>
        <w:t xml:space="preserve">Prodávající prodává zboží podle čl. 1 této smlouvy se všemi jeho součástmi a příslušenstvím kupujícímu, a kupující kupuje toto zboží do vlastnictví Jihomoravského kraje jako svého zřizovatele za kupní cenu podle čl. 6 této smlouvy. </w:t>
      </w:r>
      <w:r>
        <w:rPr>
          <w:rStyle w:val="Zkladntext"/>
        </w:rPr>
        <w:t>Součástí tohoto závazku prodávajícího je také dodání technické dokumentace příslušného zboží a návodu k jeho obsluze, a dokladů prokazujících shodu, to vše v českém jazyce v tištěné nebo elektronické podobě.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681"/>
        </w:tabs>
        <w:ind w:left="700" w:hanging="360"/>
        <w:jc w:val="both"/>
      </w:pPr>
      <w:r>
        <w:rPr>
          <w:rStyle w:val="Zkladntext"/>
        </w:rPr>
        <w:t>Prodávající se zavazuje splnit svůj závazek k do</w:t>
      </w:r>
      <w:r>
        <w:rPr>
          <w:rStyle w:val="Zkladntext"/>
        </w:rPr>
        <w:t xml:space="preserve">dání zboží podle čl. 1 této smlouvy nejpozději </w:t>
      </w:r>
      <w:r>
        <w:rPr>
          <w:rStyle w:val="Zkladntext"/>
          <w:b/>
          <w:bCs/>
        </w:rPr>
        <w:t xml:space="preserve">do 30 dnů </w:t>
      </w:r>
      <w:r>
        <w:rPr>
          <w:rStyle w:val="Zkladntext"/>
        </w:rPr>
        <w:t>ode dne účinnosti této smlouvy, a to v místě splnění tohoto závazku, kterým je sídlo kupujícího Kamenice 798/1d, 625 00 Brno.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681"/>
        </w:tabs>
        <w:ind w:left="700" w:hanging="360"/>
        <w:jc w:val="both"/>
      </w:pPr>
      <w:r>
        <w:rPr>
          <w:rStyle w:val="Zkladntext"/>
        </w:rPr>
        <w:t xml:space="preserve">Závazek prodávajícího ke splnění jeho závazku k dodání zboží podle čl. 1 </w:t>
      </w:r>
      <w:r>
        <w:rPr>
          <w:rStyle w:val="Zkladntext"/>
        </w:rPr>
        <w:t>této smlouvy se pak považuje za splněný po faktickém předání a převzetí zboží prostého všech vad, po jeho instalaci a konfiguraci na základě písemného předávacího protokolu, podepsaného oběma stranami.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681"/>
        </w:tabs>
        <w:spacing w:after="160"/>
        <w:ind w:left="700" w:hanging="360"/>
        <w:jc w:val="both"/>
      </w:pPr>
      <w:r>
        <w:rPr>
          <w:rStyle w:val="Zkladntext"/>
        </w:rPr>
        <w:t>Nebezpečí škody na převáděném zboží a vlastnické právo</w:t>
      </w:r>
      <w:r>
        <w:rPr>
          <w:rStyle w:val="Zkladntext"/>
        </w:rPr>
        <w:t xml:space="preserve"> k tomuto zboží přechází z prodávajícího na kupujícího dnem splnění závazku prodávajícího k dodání zboží podle čl. 1 této smlouvy způsobem podle čl. 4 této smlouvy.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01"/>
        </w:tabs>
        <w:ind w:left="700" w:hanging="340"/>
        <w:jc w:val="both"/>
      </w:pPr>
      <w:r>
        <w:rPr>
          <w:rStyle w:val="Zkladntext"/>
        </w:rPr>
        <w:t>Kupující se zavazuje zaplatit prodávajícímu za předmět koupě a prodeje podle čl. 1 této sml</w:t>
      </w:r>
      <w:r>
        <w:rPr>
          <w:rStyle w:val="Zkladntext"/>
        </w:rPr>
        <w:t>ouvy celkovou kupní cenu ve výši:</w:t>
      </w:r>
    </w:p>
    <w:p w:rsidR="00157CFB" w:rsidRDefault="0049760C">
      <w:pPr>
        <w:pStyle w:val="Zkladntext1"/>
        <w:numPr>
          <w:ilvl w:val="0"/>
          <w:numId w:val="2"/>
        </w:numPr>
        <w:tabs>
          <w:tab w:val="left" w:pos="907"/>
        </w:tabs>
        <w:ind w:firstLine="700"/>
        <w:jc w:val="both"/>
      </w:pPr>
      <w:r>
        <w:rPr>
          <w:rStyle w:val="Zkladntext"/>
          <w:b/>
          <w:bCs/>
        </w:rPr>
        <w:lastRenderedPageBreak/>
        <w:t xml:space="preserve">233 570,- </w:t>
      </w:r>
      <w:r>
        <w:rPr>
          <w:rStyle w:val="Zkladntext"/>
        </w:rPr>
        <w:t xml:space="preserve">Kč bez DPH, tj. </w:t>
      </w:r>
      <w:r>
        <w:rPr>
          <w:rStyle w:val="Zkladntext"/>
          <w:b/>
          <w:bCs/>
        </w:rPr>
        <w:t xml:space="preserve">1 492 619,70 </w:t>
      </w:r>
      <w:r>
        <w:rPr>
          <w:rStyle w:val="Zkladntext"/>
        </w:rPr>
        <w:t>Kč včetně DPH.</w:t>
      </w:r>
    </w:p>
    <w:p w:rsidR="00157CFB" w:rsidRDefault="0049760C">
      <w:pPr>
        <w:pStyle w:val="Zkladntext1"/>
        <w:ind w:left="700" w:firstLine="20"/>
        <w:jc w:val="both"/>
      </w:pPr>
      <w:r>
        <w:rPr>
          <w:rStyle w:val="Zkladntext"/>
        </w:rPr>
        <w:t xml:space="preserve">Součástí této ceny jsou veškeré náklady prodávajícího na splnění jeho závazku k </w:t>
      </w:r>
      <w:proofErr w:type="gramStart"/>
      <w:r>
        <w:rPr>
          <w:rStyle w:val="Zkladntext"/>
        </w:rPr>
        <w:t>dodáni</w:t>
      </w:r>
      <w:proofErr w:type="gramEnd"/>
      <w:r>
        <w:rPr>
          <w:rStyle w:val="Zkladntext"/>
        </w:rPr>
        <w:t xml:space="preserve"> zboží podle této smlouvy.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01"/>
        </w:tabs>
        <w:ind w:left="700" w:hanging="340"/>
        <w:jc w:val="both"/>
      </w:pPr>
      <w:r>
        <w:rPr>
          <w:rStyle w:val="Zkladntext"/>
        </w:rPr>
        <w:t>Kupní cena podle čl. 6 této smlouvy je splatná na účet prodávajícího po splnění závazku prodávajícího k dodání zboží podle čl. 1 této smlouvy způsobem podle čl. 4 této smlouvy ve lhůtě do 30 dnů ode dne doručení jejího písemného vyúčtování (daňového doklad</w:t>
      </w:r>
      <w:r>
        <w:rPr>
          <w:rStyle w:val="Zkladntext"/>
        </w:rPr>
        <w:t xml:space="preserve">u/faktury).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rFonts w:ascii="Times New Roman" w:eastAsia="Times New Roman" w:hAnsi="Times New Roman" w:cs="Times New Roman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rFonts w:ascii="Times New Roman" w:eastAsia="Times New Roman" w:hAnsi="Times New Roman" w:cs="Times New Roman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rFonts w:ascii="Times New Roman" w:eastAsia="Times New Roman" w:hAnsi="Times New Roman" w:cs="Times New Roman"/>
          <w:spacing w:val="2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"/>
          <w:rFonts w:ascii="Times New Roman" w:eastAsia="Times New Roman" w:hAnsi="Times New Roman" w:cs="Times New Roman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rFonts w:ascii="Times New Roman" w:eastAsia="Times New Roman" w:hAnsi="Times New Roman" w:cs="Times New Roman"/>
          <w:u w:val="single"/>
          <w:shd w:val="clear" w:color="auto" w:fill="000000"/>
          <w:lang w:val="en-US" w:eastAsia="en-US" w:bidi="en-US"/>
        </w:rPr>
        <w:t>​..........................</w:t>
      </w:r>
      <w:r>
        <w:rPr>
          <w:rStyle w:val="Zkladntext"/>
          <w:rFonts w:ascii="Times New Roman" w:eastAsia="Times New Roman" w:hAnsi="Times New Roman" w:cs="Times New Roman"/>
          <w:spacing w:val="1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rFonts w:ascii="Times New Roman" w:eastAsia="Times New Roman" w:hAnsi="Times New Roman" w:cs="Times New Roman"/>
          <w:color w:val="4E81B6"/>
          <w:lang w:val="en-US" w:eastAsia="en-US" w:bidi="en-US"/>
        </w:rPr>
        <w:t xml:space="preserve"> </w:t>
      </w:r>
      <w:r>
        <w:rPr>
          <w:rStyle w:val="Zkladntext"/>
        </w:rPr>
        <w:t>a musí</w:t>
      </w:r>
      <w:proofErr w:type="gramEnd"/>
      <w:r>
        <w:rPr>
          <w:rStyle w:val="Zkladntext"/>
        </w:rPr>
        <w:t xml:space="preserve"> obsahovat mimo jiné toto číslo veřejné zakázky: </w:t>
      </w:r>
      <w:r>
        <w:rPr>
          <w:rStyle w:val="Zkladntext"/>
          <w:b/>
          <w:bCs/>
        </w:rPr>
        <w:t xml:space="preserve">P21V00002526. </w:t>
      </w:r>
      <w:r>
        <w:rPr>
          <w:rStyle w:val="Zkladntext"/>
        </w:rPr>
        <w:t xml:space="preserve">Nebude-li faktura splňovat veškeré náležitosti daňového </w:t>
      </w:r>
      <w:r>
        <w:rPr>
          <w:rStyle w:val="Zkladntext"/>
        </w:rPr>
        <w:t>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01"/>
        </w:tabs>
        <w:ind w:left="700" w:hanging="340"/>
        <w:jc w:val="both"/>
      </w:pPr>
      <w:r>
        <w:rPr>
          <w:rStyle w:val="Zkladntext"/>
        </w:rPr>
        <w:t>Prodávající odpovídá kupující</w:t>
      </w:r>
      <w:r>
        <w:rPr>
          <w:rStyle w:val="Zkladntext"/>
        </w:rPr>
        <w:t>mu za to, že zboží podle čl. 1 této smlouvy bude odpovídat tuzemským právním předpisům, technickým a jiným normám, a že bude mít vymíněné vlastnosti kupujícím. S převodem zboží podle čl. 1 této smlouvy je spojena záruka za jeho jakost v trvání 7 let ode dn</w:t>
      </w:r>
      <w:r>
        <w:rPr>
          <w:rStyle w:val="Zkladntext"/>
        </w:rPr>
        <w:t>e splnění závazku prodávajícího k dodání tohoto zboží. V rámci této záruky se prodávající zavazuje poskytovat kupujícímu proaktivní dohled typu 24x7 s odstraněním vady následující pracovní den od nahlášení závady na tomto zboží ze strany kupujícího.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01"/>
        </w:tabs>
        <w:ind w:left="700" w:hanging="340"/>
        <w:jc w:val="both"/>
      </w:pPr>
      <w:r>
        <w:rPr>
          <w:rStyle w:val="Zkladntext"/>
        </w:rPr>
        <w:t>Pro př</w:t>
      </w:r>
      <w:r>
        <w:rPr>
          <w:rStyle w:val="Zkladntext"/>
        </w:rPr>
        <w:t>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</w:t>
      </w:r>
      <w:r>
        <w:rPr>
          <w:rStyle w:val="Zkladntext"/>
        </w:rPr>
        <w:t xml:space="preserve"> tohoto sporu, kterému tento posudek nedal zapravdu.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59"/>
        </w:tabs>
        <w:ind w:left="700" w:hanging="340"/>
        <w:jc w:val="both"/>
      </w:pPr>
      <w:r>
        <w:rPr>
          <w:rStyle w:val="Zkladntext"/>
        </w:rPr>
        <w:t xml:space="preserve">Pro případ prodlení se splněním jeho závazku k dodání zboží ve lhůtě podle čl. 3 této smlouvy a pro případ jeho </w:t>
      </w:r>
      <w:proofErr w:type="gramStart"/>
      <w:r>
        <w:rPr>
          <w:rStyle w:val="Zkladntext"/>
        </w:rPr>
        <w:t>prodleni</w:t>
      </w:r>
      <w:proofErr w:type="gramEnd"/>
      <w:r>
        <w:rPr>
          <w:rStyle w:val="Zkladntext"/>
        </w:rPr>
        <w:t xml:space="preserve"> s odstraněním vady ve lhůtě podle čl. 8 této smlouvy se prodávající zavazuje plati</w:t>
      </w:r>
      <w:r>
        <w:rPr>
          <w:rStyle w:val="Zkladntext"/>
        </w:rPr>
        <w:t>t kupujícímu smluvní pokutu ve výši 0,1 % z kupní ceny podle čl. 6 této smlouvy za každý započatý den tohoto prodlení.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59"/>
        </w:tabs>
        <w:ind w:left="700" w:hanging="340"/>
        <w:jc w:val="both"/>
      </w:pPr>
      <w:r>
        <w:rPr>
          <w:rStyle w:val="Zkladntext"/>
        </w:rPr>
        <w:t>Pro případ prodlení se splněním jeho závazku k dodání zboží ve lhůtě podle čl. 3 této smlouvy o více než dva týdny nebo pro případ výskyt</w:t>
      </w:r>
      <w:r>
        <w:rPr>
          <w:rStyle w:val="Zkladntext"/>
        </w:rPr>
        <w:t xml:space="preserve">u neodstranitelné vady resp. výskytu tří a více vad, a to i postupně, je kupující oprávněn odstoupit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59"/>
        </w:tabs>
        <w:ind w:left="700" w:hanging="340"/>
        <w:jc w:val="both"/>
      </w:pPr>
      <w:r>
        <w:rPr>
          <w:rStyle w:val="Zkladntext"/>
        </w:rPr>
        <w:t>Pro případ prodlení kupujícího se zaplacením kupní ceny nebo její části ve lhůtě podle čl. 7 této smlouvy o více než 2 tý</w:t>
      </w:r>
      <w:r>
        <w:rPr>
          <w:rStyle w:val="Zkladntext"/>
        </w:rPr>
        <w:t xml:space="preserve">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59"/>
        </w:tabs>
        <w:ind w:left="700" w:hanging="34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ustanovení § 2079 a násl. občanského zákoníku.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54"/>
        </w:tabs>
        <w:ind w:left="700" w:hanging="340"/>
        <w:jc w:val="both"/>
      </w:pPr>
      <w:r>
        <w:rPr>
          <w:rStyle w:val="Zkladntext"/>
        </w:rPr>
        <w:t xml:space="preserve">Tato </w:t>
      </w:r>
      <w:r>
        <w:rPr>
          <w:rStyle w:val="Zkladntext"/>
        </w:rPr>
        <w:t>smlouva se uzavírá na základě návrhu na její uzavření ze strany kupujícího. Předpokladem uzavření této smlouvy je její písemná forma a dohoda o jejích podstatných náležitostech, čímž se rozumí celý obsah této smlouvy, jak je uveden v čl. 1 až 19 této smlou</w:t>
      </w:r>
      <w:r>
        <w:rPr>
          <w:rStyle w:val="Zkladntext"/>
        </w:rPr>
        <w:t xml:space="preserve">vy. Kupující přitom předem vylučuje přijetí tohoto návrhu s dodatkem nebo odchylkou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1740 odst. 3 občanského zákoníku.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54"/>
        </w:tabs>
        <w:ind w:left="700" w:hanging="340"/>
        <w:jc w:val="both"/>
      </w:pPr>
      <w:r>
        <w:rPr>
          <w:rStyle w:val="Zkladntext"/>
        </w:rPr>
        <w:t>Tuto smlouvu lze změnit nebo zrušit pouze jinou písemnou dohodou obou smluvních stran.</w:t>
      </w:r>
    </w:p>
    <w:p w:rsidR="00157CFB" w:rsidRDefault="0049760C">
      <w:pPr>
        <w:pStyle w:val="Zkladntext1"/>
        <w:numPr>
          <w:ilvl w:val="0"/>
          <w:numId w:val="1"/>
        </w:numPr>
        <w:tabs>
          <w:tab w:val="left" w:pos="754"/>
        </w:tabs>
        <w:ind w:left="700" w:hanging="340"/>
        <w:jc w:val="both"/>
        <w:sectPr w:rsidR="00157CFB">
          <w:footerReference w:type="default" r:id="rId7"/>
          <w:pgSz w:w="11900" w:h="16840"/>
          <w:pgMar w:top="258" w:right="1358" w:bottom="1364" w:left="1445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Tato smlouva bude uveřejněna prostřednictvím registru smluv postupem dle zákona č. 340/2015 Sb., o zvláštních podmínkách účinnosti některých smluv, </w:t>
      </w:r>
      <w:r>
        <w:rPr>
          <w:rStyle w:val="Zkladntext"/>
        </w:rPr>
        <w:t>uveřejňování těchto smluv a o registru smluv (zákon o registru smluv), v platném znění. Smluvní</w:t>
      </w:r>
    </w:p>
    <w:p w:rsidR="00157CFB" w:rsidRDefault="0049760C">
      <w:pPr>
        <w:pStyle w:val="Zkladntext1"/>
        <w:framePr w:w="8731" w:h="2645" w:wrap="none" w:hAnchor="page" w:x="1836" w:y="1"/>
        <w:ind w:left="340"/>
        <w:jc w:val="both"/>
      </w:pPr>
      <w:r>
        <w:rPr>
          <w:rStyle w:val="Zkladntext"/>
        </w:rPr>
        <w:lastRenderedPageBreak/>
        <w:t xml:space="preserve">strany se dohodly, že uveřejnění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kupující.</w:t>
      </w:r>
    </w:p>
    <w:p w:rsidR="00157CFB" w:rsidRDefault="0049760C">
      <w:pPr>
        <w:pStyle w:val="Zkladntext1"/>
        <w:framePr w:w="8731" w:h="2645" w:wrap="none" w:hAnchor="page" w:x="1836" w:y="1"/>
        <w:numPr>
          <w:ilvl w:val="0"/>
          <w:numId w:val="3"/>
        </w:numPr>
        <w:tabs>
          <w:tab w:val="left" w:pos="331"/>
        </w:tabs>
        <w:jc w:val="both"/>
      </w:pPr>
      <w:r>
        <w:rPr>
          <w:rStyle w:val="Zkladntext"/>
        </w:rPr>
        <w:t>Tato smlouva nabývá účinnosti dnem jejího uveřejnění v registr</w:t>
      </w:r>
      <w:r>
        <w:rPr>
          <w:rStyle w:val="Zkladntext"/>
        </w:rPr>
        <w:t>u smluv dle čl. 16.</w:t>
      </w:r>
    </w:p>
    <w:p w:rsidR="00157CFB" w:rsidRDefault="0049760C">
      <w:pPr>
        <w:pStyle w:val="Zkladntext1"/>
        <w:framePr w:w="8731" w:h="2645" w:wrap="none" w:hAnchor="page" w:x="1836" w:y="1"/>
        <w:numPr>
          <w:ilvl w:val="0"/>
          <w:numId w:val="3"/>
        </w:numPr>
        <w:tabs>
          <w:tab w:val="left" w:pos="331"/>
        </w:tabs>
        <w:ind w:left="340" w:hanging="340"/>
        <w:jc w:val="both"/>
      </w:pPr>
      <w:r>
        <w:rPr>
          <w:rStyle w:val="Zkladntext"/>
        </w:rPr>
        <w:t>Dáno ve dvou originálních písemných vyhotoveních, z nichž každá ze smluvních stran obdrží po jednom.</w:t>
      </w:r>
    </w:p>
    <w:p w:rsidR="00157CFB" w:rsidRDefault="0049760C">
      <w:pPr>
        <w:pStyle w:val="Zkladntext1"/>
        <w:framePr w:w="8731" w:h="2645" w:wrap="none" w:hAnchor="page" w:x="1836" w:y="1"/>
        <w:numPr>
          <w:ilvl w:val="0"/>
          <w:numId w:val="3"/>
        </w:numPr>
        <w:tabs>
          <w:tab w:val="left" w:pos="331"/>
        </w:tabs>
        <w:ind w:left="340" w:hanging="340"/>
        <w:jc w:val="both"/>
      </w:pPr>
      <w:r>
        <w:rPr>
          <w:rStyle w:val="Zkladntext"/>
        </w:rPr>
        <w:t>Prodávající uděluje kupujícímu svůj výslovný souhlas se zveřejněním podmínek této smlouvy v rozsahu a za podmínek vyplývajících z přísl</w:t>
      </w:r>
      <w:r>
        <w:rPr>
          <w:rStyle w:val="Zkladntext"/>
        </w:rPr>
        <w:t>ušných právních předpisů (zejména zák. č. 106/1999 Sb., o svobodném přístupu k informacím, v platném znění).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9"/>
        <w:gridCol w:w="4224"/>
      </w:tblGrid>
      <w:tr w:rsidR="00157CFB">
        <w:tblPrEx>
          <w:tblCellMar>
            <w:top w:w="0" w:type="dxa"/>
            <w:bottom w:w="0" w:type="dxa"/>
          </w:tblCellMar>
        </w:tblPrEx>
        <w:trPr>
          <w:trHeight w:hRule="exact" w:val="5285"/>
        </w:trPr>
        <w:tc>
          <w:tcPr>
            <w:tcW w:w="4699" w:type="dxa"/>
            <w:shd w:val="clear" w:color="auto" w:fill="auto"/>
            <w:vAlign w:val="bottom"/>
          </w:tcPr>
          <w:p w:rsidR="00157CFB" w:rsidRDefault="0049760C">
            <w:pPr>
              <w:pStyle w:val="Jin0"/>
              <w:framePr w:w="8923" w:h="5285" w:wrap="none" w:hAnchor="page" w:x="1044" w:y="3294"/>
              <w:spacing w:after="600"/>
              <w:ind w:firstLine="360"/>
            </w:pPr>
            <w:proofErr w:type="spellStart"/>
            <w:r>
              <w:rPr>
                <w:rStyle w:val="Jin"/>
                <w:color w:val="2F4588"/>
              </w:rPr>
              <w:t>VBmédne</w:t>
            </w:r>
            <w:proofErr w:type="spellEnd"/>
            <w:r>
              <w:rPr>
                <w:rStyle w:val="Jin"/>
                <w:color w:val="2F4588"/>
              </w:rPr>
              <w:t>^'^</w:t>
            </w:r>
          </w:p>
          <w:p w:rsidR="00157CFB" w:rsidRDefault="0049760C">
            <w:pPr>
              <w:pStyle w:val="Jin0"/>
              <w:framePr w:w="8923" w:h="5285" w:wrap="none" w:hAnchor="page" w:x="1044" w:y="3294"/>
              <w:tabs>
                <w:tab w:val="left" w:pos="3312"/>
              </w:tabs>
              <w:spacing w:after="0"/>
              <w:ind w:firstLine="36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b/>
                <w:bCs/>
                <w:color w:val="5AA2E1"/>
                <w:w w:val="70"/>
                <w:sz w:val="20"/>
                <w:szCs w:val="20"/>
              </w:rPr>
              <w:t>v</w:t>
            </w:r>
            <w:r>
              <w:rPr>
                <w:rStyle w:val="Jin"/>
                <w:b/>
                <w:bCs/>
                <w:spacing w:val="1"/>
                <w:w w:val="7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Jin"/>
                <w:b/>
                <w:bCs/>
                <w:spacing w:val="2"/>
                <w:w w:val="70"/>
                <w:sz w:val="20"/>
                <w:szCs w:val="20"/>
                <w:shd w:val="clear" w:color="auto" w:fill="000000"/>
              </w:rPr>
              <w:t>...........</w:t>
            </w:r>
            <w:r>
              <w:rPr>
                <w:rStyle w:val="Jin"/>
                <w:b/>
                <w:bCs/>
                <w:w w:val="70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b/>
                <w:bCs/>
                <w:spacing w:val="1"/>
                <w:w w:val="70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Jin"/>
                <w:b/>
                <w:bCs/>
                <w:spacing w:val="2"/>
                <w:w w:val="70"/>
                <w:sz w:val="20"/>
                <w:szCs w:val="20"/>
                <w:shd w:val="clear" w:color="auto" w:fill="000000"/>
              </w:rPr>
              <w:t>.............</w:t>
            </w:r>
            <w:r>
              <w:rPr>
                <w:rStyle w:val="Jin"/>
                <w:b/>
                <w:bCs/>
                <w:w w:val="70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b/>
                <w:bCs/>
                <w:w w:val="70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Jin"/>
                <w:b/>
                <w:bCs/>
                <w:spacing w:val="1"/>
                <w:w w:val="70"/>
                <w:sz w:val="20"/>
                <w:szCs w:val="20"/>
                <w:shd w:val="clear" w:color="auto" w:fill="000000"/>
              </w:rPr>
              <w:t>........</w:t>
            </w:r>
            <w:r>
              <w:rPr>
                <w:rStyle w:val="Jin"/>
                <w:b/>
                <w:bCs/>
                <w:w w:val="70"/>
                <w:sz w:val="20"/>
                <w:szCs w:val="20"/>
                <w:shd w:val="clear" w:color="auto" w:fill="000000"/>
              </w:rPr>
              <w:t>...........................</w:t>
            </w:r>
            <w:r>
              <w:rPr>
                <w:rStyle w:val="Jin"/>
                <w:b/>
                <w:bCs/>
                <w:spacing w:val="1"/>
                <w:w w:val="70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Jin"/>
                <w:b/>
                <w:bCs/>
                <w:spacing w:val="4"/>
                <w:w w:val="70"/>
                <w:sz w:val="20"/>
                <w:szCs w:val="20"/>
                <w:shd w:val="clear" w:color="auto" w:fill="000000"/>
              </w:rPr>
              <w:t>..</w:t>
            </w:r>
            <w:proofErr w:type="gramEnd"/>
          </w:p>
          <w:p w:rsidR="00157CFB" w:rsidRDefault="0049760C">
            <w:pPr>
              <w:pStyle w:val="Jin0"/>
              <w:framePr w:w="8923" w:h="5285" w:wrap="none" w:hAnchor="page" w:x="1044" w:y="3294"/>
              <w:tabs>
                <w:tab w:val="left" w:pos="3222"/>
              </w:tabs>
              <w:spacing w:after="0"/>
              <w:ind w:firstLine="140"/>
              <w:rPr>
                <w:sz w:val="17"/>
                <w:szCs w:val="17"/>
              </w:rPr>
            </w:pPr>
            <w:proofErr w:type="gramStart"/>
            <w:r>
              <w:rPr>
                <w:rStyle w:val="Jin"/>
                <w:sz w:val="17"/>
                <w:szCs w:val="17"/>
                <w:shd w:val="clear" w:color="auto" w:fill="000000"/>
              </w:rPr>
              <w:t>.......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....................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z w:val="17"/>
                <w:szCs w:val="17"/>
                <w:shd w:val="clear" w:color="auto" w:fill="000000"/>
              </w:rPr>
              <w:t>.....</w:t>
            </w:r>
            <w:r>
              <w:rPr>
                <w:rStyle w:val="Jin"/>
                <w:spacing w:val="5"/>
                <w:sz w:val="17"/>
                <w:szCs w:val="17"/>
                <w:shd w:val="clear" w:color="auto" w:fill="000000"/>
              </w:rPr>
              <w:t>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..........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............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...</w:t>
            </w:r>
            <w:proofErr w:type="gramEnd"/>
          </w:p>
          <w:p w:rsidR="00157CFB" w:rsidRDefault="0049760C">
            <w:pPr>
              <w:pStyle w:val="Jin0"/>
              <w:framePr w:w="8923" w:h="5285" w:wrap="none" w:hAnchor="page" w:x="1044" w:y="3294"/>
              <w:tabs>
                <w:tab w:val="left" w:pos="3173"/>
              </w:tabs>
              <w:spacing w:after="0"/>
              <w:rPr>
                <w:sz w:val="17"/>
                <w:szCs w:val="17"/>
              </w:rPr>
            </w:pPr>
            <w:proofErr w:type="gramStart"/>
            <w:r>
              <w:rPr>
                <w:rStyle w:val="Jin"/>
                <w:sz w:val="17"/>
                <w:szCs w:val="17"/>
                <w:shd w:val="clear" w:color="auto" w:fill="000000"/>
              </w:rPr>
              <w:t>...........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.....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.​...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​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.​</w:t>
            </w:r>
            <w:r>
              <w:rPr>
                <w:rStyle w:val="Jin"/>
                <w:spacing w:val="2"/>
                <w:sz w:val="17"/>
                <w:szCs w:val="17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z w:val="17"/>
                <w:szCs w:val="17"/>
                <w:shd w:val="clear" w:color="auto" w:fill="000000"/>
              </w:rPr>
              <w:t>.........</w:t>
            </w:r>
            <w:r>
              <w:rPr>
                <w:rStyle w:val="Jin"/>
                <w:spacing w:val="1"/>
                <w:sz w:val="17"/>
                <w:szCs w:val="17"/>
                <w:shd w:val="clear" w:color="auto" w:fill="000000"/>
              </w:rPr>
              <w:t>........</w:t>
            </w:r>
            <w:r>
              <w:rPr>
                <w:rStyle w:val="Jin"/>
                <w:spacing w:val="2"/>
                <w:sz w:val="17"/>
                <w:szCs w:val="17"/>
                <w:shd w:val="clear" w:color="auto" w:fill="000000"/>
              </w:rPr>
              <w:t>.</w:t>
            </w:r>
            <w:r>
              <w:rPr>
                <w:rStyle w:val="Jin"/>
                <w:spacing w:val="2"/>
                <w:sz w:val="17"/>
                <w:szCs w:val="17"/>
                <w:shd w:val="clear" w:color="auto" w:fill="000000"/>
              </w:rPr>
              <w:t>......</w:t>
            </w:r>
            <w:r>
              <w:rPr>
                <w:rStyle w:val="Jin"/>
                <w:sz w:val="17"/>
                <w:szCs w:val="17"/>
                <w:shd w:val="clear" w:color="auto" w:fill="000000"/>
              </w:rPr>
              <w:t>...</w:t>
            </w:r>
            <w:proofErr w:type="gramEnd"/>
          </w:p>
          <w:p w:rsidR="00157CFB" w:rsidRDefault="0049760C" w:rsidP="00E24809">
            <w:pPr>
              <w:pStyle w:val="Jin0"/>
              <w:framePr w:w="8923" w:h="5285" w:wrap="none" w:hAnchor="page" w:x="1044" w:y="3294"/>
              <w:spacing w:after="280" w:line="223" w:lineRule="auto"/>
              <w:ind w:left="1140"/>
            </w:pPr>
            <w:r>
              <w:rPr>
                <w:rStyle w:val="Jin"/>
                <w:shd w:val="clear" w:color="auto" w:fill="000000"/>
                <w:vertAlign w:val="superscript"/>
              </w:rPr>
              <w:t>....</w:t>
            </w:r>
            <w:bookmarkStart w:id="1" w:name="_GoBack"/>
            <w:bookmarkEnd w:id="1"/>
          </w:p>
          <w:p w:rsidR="00157CFB" w:rsidRDefault="0049760C">
            <w:pPr>
              <w:pStyle w:val="Jin0"/>
              <w:framePr w:w="8923" w:h="5285" w:wrap="none" w:hAnchor="page" w:x="1044" w:y="3294"/>
              <w:spacing w:after="740"/>
              <w:ind w:firstLine="360"/>
            </w:pPr>
            <w:r>
              <w:rPr>
                <w:rStyle w:val="Jin"/>
              </w:rPr>
              <w:t>ř</w:t>
            </w:r>
            <w:r>
              <w:rPr>
                <w:rStyle w:val="Jin"/>
              </w:rPr>
              <w:t>editelka</w:t>
            </w:r>
          </w:p>
          <w:p w:rsidR="00157CFB" w:rsidRDefault="0049760C">
            <w:pPr>
              <w:pStyle w:val="Jin0"/>
              <w:framePr w:w="8923" w:h="5285" w:wrap="none" w:hAnchor="page" w:x="1044" w:y="3294"/>
              <w:spacing w:after="780"/>
              <w:ind w:firstLine="360"/>
            </w:pPr>
            <w:r>
              <w:rPr>
                <w:rStyle w:val="Jin"/>
                <w:b/>
                <w:bCs/>
              </w:rPr>
              <w:t>Kupující</w:t>
            </w:r>
          </w:p>
          <w:p w:rsidR="00157CFB" w:rsidRDefault="0049760C">
            <w:pPr>
              <w:pStyle w:val="Jin0"/>
              <w:framePr w:w="8923" w:h="5285" w:wrap="none" w:hAnchor="page" w:x="1044" w:y="3294"/>
              <w:spacing w:after="0"/>
              <w:ind w:firstLine="360"/>
            </w:pPr>
            <w:r>
              <w:rPr>
                <w:rStyle w:val="Jin"/>
              </w:rPr>
              <w:t>Příloha č. 1 Technická specifikace</w:t>
            </w:r>
          </w:p>
          <w:p w:rsidR="00157CFB" w:rsidRDefault="0049760C">
            <w:pPr>
              <w:pStyle w:val="Jin0"/>
              <w:framePr w:w="8923" w:h="5285" w:wrap="none" w:hAnchor="page" w:x="1044" w:y="3294"/>
              <w:spacing w:after="0"/>
              <w:ind w:firstLine="360"/>
            </w:pPr>
            <w:r>
              <w:rPr>
                <w:rStyle w:val="Jin"/>
              </w:rPr>
              <w:t>Příloha č. 2 Ceník</w:t>
            </w:r>
          </w:p>
        </w:tc>
        <w:tc>
          <w:tcPr>
            <w:tcW w:w="4224" w:type="dxa"/>
            <w:shd w:val="clear" w:color="auto" w:fill="auto"/>
          </w:tcPr>
          <w:p w:rsidR="00157CFB" w:rsidRDefault="0049760C">
            <w:pPr>
              <w:pStyle w:val="Jin0"/>
              <w:framePr w:w="8923" w:h="5285" w:wrap="none" w:hAnchor="page" w:x="1044" w:y="3294"/>
              <w:tabs>
                <w:tab w:val="left" w:leader="dot" w:pos="2898"/>
              </w:tabs>
              <w:spacing w:before="460" w:after="200"/>
              <w:ind w:left="1040"/>
            </w:pPr>
            <w:r>
              <w:rPr>
                <w:rStyle w:val="Jin"/>
              </w:rPr>
              <w:t>V Brně dne</w:t>
            </w:r>
            <w:r>
              <w:rPr>
                <w:rStyle w:val="Jin"/>
              </w:rPr>
              <w:tab/>
            </w:r>
          </w:p>
          <w:p w:rsidR="00157CFB" w:rsidRDefault="0049760C">
            <w:pPr>
              <w:pStyle w:val="Jin0"/>
              <w:framePr w:w="8923" w:h="5285" w:wrap="none" w:hAnchor="page" w:x="1044" w:y="3294"/>
              <w:spacing w:after="0"/>
              <w:jc w:val="center"/>
              <w:rPr>
                <w:sz w:val="32"/>
                <w:szCs w:val="32"/>
              </w:rPr>
            </w:pPr>
            <w:r>
              <w:rPr>
                <w:rStyle w:val="Jin"/>
                <w:spacing w:val="3"/>
                <w:sz w:val="32"/>
                <w:szCs w:val="32"/>
                <w:shd w:val="clear" w:color="auto" w:fill="000000"/>
              </w:rPr>
              <w:t>....</w:t>
            </w:r>
            <w:r>
              <w:rPr>
                <w:rStyle w:val="Jin"/>
                <w:spacing w:val="4"/>
                <w:sz w:val="32"/>
                <w:szCs w:val="32"/>
                <w:shd w:val="clear" w:color="auto" w:fill="000000"/>
              </w:rPr>
              <w:t>................</w:t>
            </w:r>
          </w:p>
          <w:p w:rsidR="00157CFB" w:rsidRDefault="0049760C">
            <w:pPr>
              <w:pStyle w:val="Jin0"/>
              <w:framePr w:w="8923" w:h="5285" w:wrap="none" w:hAnchor="page" w:x="1044" w:y="3294"/>
              <w:spacing w:after="0"/>
              <w:ind w:left="202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  <w:shd w:val="clear" w:color="auto" w:fill="000000"/>
              </w:rPr>
              <w:t>...............................</w:t>
            </w:r>
            <w:r>
              <w:rPr>
                <w:rStyle w:val="Jin"/>
                <w:b/>
                <w:bCs/>
                <w:spacing w:val="1"/>
                <w:sz w:val="13"/>
                <w:szCs w:val="13"/>
                <w:shd w:val="clear" w:color="auto" w:fill="000000"/>
              </w:rPr>
              <w:t>.</w:t>
            </w:r>
            <w:r>
              <w:rPr>
                <w:rStyle w:val="Jin"/>
                <w:b/>
                <w:bCs/>
                <w:sz w:val="13"/>
                <w:szCs w:val="13"/>
                <w:shd w:val="clear" w:color="auto" w:fill="000000"/>
              </w:rPr>
              <w:t>.</w:t>
            </w:r>
          </w:p>
          <w:p w:rsidR="00157CFB" w:rsidRDefault="0049760C">
            <w:pPr>
              <w:pStyle w:val="Jin0"/>
              <w:framePr w:w="8923" w:h="5285" w:wrap="none" w:hAnchor="page" w:x="1044" w:y="3294"/>
              <w:spacing w:after="0" w:line="180" w:lineRule="auto"/>
              <w:ind w:right="140"/>
              <w:jc w:val="right"/>
            </w:pPr>
            <w:proofErr w:type="gramStart"/>
            <w:r>
              <w:rPr>
                <w:rStyle w:val="Jin"/>
                <w:b/>
                <w:bCs/>
                <w:sz w:val="13"/>
                <w:szCs w:val="13"/>
                <w:shd w:val="clear" w:color="auto" w:fill="000000"/>
              </w:rPr>
              <w:t>.....</w:t>
            </w:r>
            <w:r>
              <w:rPr>
                <w:rStyle w:val="Jin"/>
                <w:b/>
                <w:bCs/>
                <w:spacing w:val="1"/>
                <w:sz w:val="13"/>
                <w:szCs w:val="13"/>
                <w:shd w:val="clear" w:color="auto" w:fill="000000"/>
              </w:rPr>
              <w:t>.......</w:t>
            </w:r>
            <w:r>
              <w:rPr>
                <w:rStyle w:val="Jin"/>
                <w:b/>
                <w:bCs/>
                <w:sz w:val="13"/>
                <w:szCs w:val="13"/>
                <w:shd w:val="clear" w:color="auto" w:fill="000000"/>
              </w:rPr>
              <w:t>​</w:t>
            </w:r>
            <w:r>
              <w:rPr>
                <w:rStyle w:val="Jin"/>
                <w:b/>
                <w:bCs/>
                <w:sz w:val="13"/>
                <w:szCs w:val="13"/>
                <w:shd w:val="clear" w:color="auto" w:fill="000000"/>
              </w:rPr>
              <w:t>....​</w:t>
            </w:r>
            <w:r>
              <w:rPr>
                <w:rStyle w:val="Jin"/>
                <w:b/>
                <w:bCs/>
                <w:spacing w:val="1"/>
                <w:sz w:val="13"/>
                <w:szCs w:val="13"/>
                <w:shd w:val="clear" w:color="auto" w:fill="000000"/>
              </w:rPr>
              <w:t>........</w:t>
            </w:r>
            <w:r>
              <w:rPr>
                <w:rStyle w:val="Jin"/>
                <w:b/>
                <w:bCs/>
                <w:spacing w:val="2"/>
                <w:sz w:val="13"/>
                <w:szCs w:val="13"/>
                <w:shd w:val="clear" w:color="auto" w:fill="000000"/>
              </w:rPr>
              <w:t>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</w:t>
            </w:r>
            <w:proofErr w:type="gramEnd"/>
          </w:p>
          <w:p w:rsidR="00157CFB" w:rsidRDefault="0049760C">
            <w:pPr>
              <w:pStyle w:val="Jin0"/>
              <w:framePr w:w="8923" w:h="5285" w:wrap="none" w:hAnchor="page" w:x="1044" w:y="3294"/>
              <w:spacing w:after="0"/>
              <w:ind w:left="1040" w:firstLine="20"/>
            </w:pPr>
            <w:r>
              <w:rPr>
                <w:rStyle w:val="Jin"/>
                <w:b/>
                <w:bCs/>
              </w:rPr>
              <w:t>P</w:t>
            </w:r>
            <w:r>
              <w:rPr>
                <w:rStyle w:val="Jin"/>
                <w:b/>
                <w:bCs/>
              </w:rPr>
              <w:t>rodávající</w:t>
            </w:r>
          </w:p>
        </w:tc>
      </w:tr>
    </w:tbl>
    <w:p w:rsidR="00157CFB" w:rsidRDefault="00157CFB">
      <w:pPr>
        <w:framePr w:w="8923" w:h="5285" w:wrap="none" w:hAnchor="page" w:x="1044" w:y="3294"/>
        <w:spacing w:line="1" w:lineRule="exact"/>
      </w:pPr>
    </w:p>
    <w:p w:rsidR="00157CFB" w:rsidRDefault="0049760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1564640</wp:posOffset>
            </wp:positionH>
            <wp:positionV relativeFrom="margin">
              <wp:posOffset>2109470</wp:posOffset>
            </wp:positionV>
            <wp:extent cx="951230" cy="3962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5123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1564640</wp:posOffset>
            </wp:positionH>
            <wp:positionV relativeFrom="margin">
              <wp:posOffset>2819400</wp:posOffset>
            </wp:positionV>
            <wp:extent cx="1426210" cy="8718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621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line="360" w:lineRule="exact"/>
      </w:pPr>
    </w:p>
    <w:p w:rsidR="00157CFB" w:rsidRDefault="00157CFB">
      <w:pPr>
        <w:spacing w:after="657" w:line="1" w:lineRule="exact"/>
      </w:pPr>
    </w:p>
    <w:p w:rsidR="00157CFB" w:rsidRDefault="00157CFB">
      <w:pPr>
        <w:spacing w:line="1" w:lineRule="exact"/>
        <w:sectPr w:rsidR="00157CFB">
          <w:pgSz w:w="11900" w:h="16840"/>
          <w:pgMar w:top="1486" w:right="1333" w:bottom="906" w:left="1043" w:header="0" w:footer="3" w:gutter="0"/>
          <w:cols w:space="720"/>
          <w:noEndnote/>
          <w:docGrid w:linePitch="360"/>
        </w:sectPr>
      </w:pPr>
    </w:p>
    <w:p w:rsidR="00157CFB" w:rsidRDefault="0049760C">
      <w:pPr>
        <w:pStyle w:val="Zkladntext20"/>
        <w:spacing w:after="0"/>
      </w:pPr>
      <w:r>
        <w:rPr>
          <w:rStyle w:val="Zkladntext2"/>
        </w:rPr>
        <w:lastRenderedPageBreak/>
        <w:t>Příloha kupní smlouvy č. 1 - Technická specifikace</w:t>
      </w:r>
    </w:p>
    <w:p w:rsidR="00157CFB" w:rsidRDefault="0049760C">
      <w:pPr>
        <w:pStyle w:val="Zkladntext20"/>
        <w:spacing w:after="160"/>
      </w:pPr>
      <w:r>
        <w:rPr>
          <w:rStyle w:val="Zkladntext2"/>
          <w:b/>
          <w:bCs/>
        </w:rPr>
        <w:t>Technická specifikace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4"/>
        <w:gridCol w:w="5088"/>
      </w:tblGrid>
      <w:tr w:rsidR="00157CF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D4EDFA"/>
          </w:tcPr>
          <w:p w:rsidR="00157CFB" w:rsidRDefault="0049760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Server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CFB" w:rsidRDefault="00157CFB">
            <w:pPr>
              <w:rPr>
                <w:sz w:val="10"/>
                <w:szCs w:val="10"/>
              </w:rPr>
            </w:pP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color w:val="323005"/>
                <w:sz w:val="13"/>
                <w:szCs w:val="13"/>
              </w:rPr>
              <w:t xml:space="preserve">DELL </w:t>
            </w:r>
            <w:proofErr w:type="spellStart"/>
            <w:r>
              <w:rPr>
                <w:rStyle w:val="Jin"/>
                <w:b/>
                <w:bCs/>
                <w:color w:val="323005"/>
                <w:sz w:val="13"/>
                <w:szCs w:val="13"/>
              </w:rPr>
              <w:t>PowerEdge</w:t>
            </w:r>
            <w:proofErr w:type="spellEnd"/>
            <w:r>
              <w:rPr>
                <w:rStyle w:val="Jin"/>
                <w:b/>
                <w:bCs/>
                <w:color w:val="323005"/>
                <w:sz w:val="13"/>
                <w:szCs w:val="13"/>
              </w:rPr>
              <w:t xml:space="preserve"> R6515 - AMD EPYC 7413 2.65GHz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CFB" w:rsidRDefault="00157CFB">
            <w:pPr>
              <w:rPr>
                <w:sz w:val="10"/>
                <w:szCs w:val="10"/>
              </w:rPr>
            </w:pP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Specifikace - minimální požadavky zadavatele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color w:val="323005"/>
                <w:sz w:val="13"/>
                <w:szCs w:val="13"/>
              </w:rPr>
              <w:t>Dodavatel doplní splnění parametru - uvede: "ANO'7hodnotu parametru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 w:line="262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Provedení RACK </w:t>
            </w:r>
            <w:proofErr w:type="spellStart"/>
            <w:r>
              <w:rPr>
                <w:rStyle w:val="Jin"/>
                <w:sz w:val="13"/>
                <w:szCs w:val="13"/>
              </w:rPr>
              <w:t>mount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1U včetně ližin s ramenem pro </w:t>
            </w:r>
            <w:proofErr w:type="gramStart"/>
            <w:r>
              <w:rPr>
                <w:rStyle w:val="Jin"/>
                <w:sz w:val="13"/>
                <w:szCs w:val="13"/>
              </w:rPr>
              <w:t>vedeni</w:t>
            </w:r>
            <w:proofErr w:type="gramEnd"/>
            <w:r>
              <w:rPr>
                <w:rStyle w:val="Jin"/>
                <w:sz w:val="13"/>
                <w:szCs w:val="13"/>
              </w:rPr>
              <w:t xml:space="preserve"> kabelů do racku, pro přístup ke </w:t>
            </w:r>
            <w:r>
              <w:rPr>
                <w:rStyle w:val="Jin"/>
                <w:sz w:val="13"/>
                <w:szCs w:val="13"/>
              </w:rPr>
              <w:t>všem komponentám serveru není nutné nářadí, barevně značené hot-</w:t>
            </w:r>
            <w:proofErr w:type="spellStart"/>
            <w:r>
              <w:rPr>
                <w:rStyle w:val="Jin"/>
                <w:sz w:val="13"/>
                <w:szCs w:val="13"/>
              </w:rPr>
              <w:t>plug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vnitřní komponenty. LCD display pro základní diagnostiku serveru.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 w:line="259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Systém osazený 1x CPU min. 24 fyzickými jádry při frekvenci min. 2.65Ghz na jádro. Požadovaná </w:t>
            </w:r>
            <w:proofErr w:type="spellStart"/>
            <w:r>
              <w:rPr>
                <w:rStyle w:val="Jin"/>
                <w:sz w:val="13"/>
                <w:szCs w:val="13"/>
              </w:rPr>
              <w:t>cache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CPU min. 128M a maximální výkon 180W. V případě nedostupnosti odpovídajícího modelu lze nabídnout parametrově srovnatelný nebo lepší. Výkon celého systému o</w:t>
            </w:r>
            <w:r>
              <w:rPr>
                <w:rStyle w:val="Jin"/>
                <w:sz w:val="13"/>
                <w:szCs w:val="13"/>
              </w:rPr>
              <w:t xml:space="preserve">dpovídá minimálně hodnotě Base = 210 získané z měření </w:t>
            </w:r>
            <w:hyperlink r:id="rId10" w:history="1">
              <w:r>
                <w:rPr>
                  <w:rStyle w:val="Jin"/>
                  <w:sz w:val="13"/>
                  <w:szCs w:val="13"/>
                  <w:lang w:val="en-US" w:eastAsia="en-US" w:bidi="en-US"/>
                </w:rPr>
                <w:t>https://www.spec.org/cpu2017/results/rint2017.html</w:t>
              </w:r>
            </w:hyperlink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 1ks AMD EPYC 7413 2.65GHz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 w:line="254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Min. 256 GB na frekvenci 3200MHz, ideální rozloženi pam</w:t>
            </w:r>
            <w:r>
              <w:rPr>
                <w:rStyle w:val="Jin"/>
                <w:sz w:val="13"/>
                <w:szCs w:val="13"/>
              </w:rPr>
              <w:t>ěťových modulů v návaznosti na technické požadavky paměťových kanálů, paměť rozšiřitelná min. na 1TB typu DDR4.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 8ks 32GB RDIMM, 3200MT/S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Server bez disků a řadiče, osazený pouze SSD </w:t>
            </w:r>
            <w:proofErr w:type="gramStart"/>
            <w:r>
              <w:rPr>
                <w:rStyle w:val="Jin"/>
                <w:sz w:val="13"/>
                <w:szCs w:val="13"/>
              </w:rPr>
              <w:t>M.2disky</w:t>
            </w:r>
            <w:proofErr w:type="gramEnd"/>
            <w:r>
              <w:rPr>
                <w:rStyle w:val="Jin"/>
                <w:sz w:val="13"/>
                <w:szCs w:val="13"/>
              </w:rPr>
              <w:t xml:space="preserve"> v RAID1 pro běh OS: min.2x 240GB SSD ŠATA při splněni </w:t>
            </w:r>
            <w:r>
              <w:rPr>
                <w:rStyle w:val="Jin"/>
                <w:sz w:val="13"/>
                <w:szCs w:val="13"/>
              </w:rPr>
              <w:t>hodnoty DWPD 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 xml:space="preserve">ANO 1ks BOSS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controller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card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+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with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2ks </w:t>
            </w:r>
            <w:proofErr w:type="gramStart"/>
            <w:r>
              <w:rPr>
                <w:rStyle w:val="Jin"/>
                <w:color w:val="323005"/>
                <w:sz w:val="13"/>
                <w:szCs w:val="13"/>
              </w:rPr>
              <w:t xml:space="preserve">M.2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Sticks</w:t>
            </w:r>
            <w:proofErr w:type="spellEnd"/>
            <w:proofErr w:type="gramEnd"/>
            <w:r>
              <w:rPr>
                <w:rStyle w:val="Jin"/>
                <w:color w:val="323005"/>
                <w:sz w:val="13"/>
                <w:szCs w:val="13"/>
              </w:rPr>
              <w:t xml:space="preserve"> 240G (RAID 1),LP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Licence Windows Server 2019 </w:t>
            </w:r>
            <w:proofErr w:type="spellStart"/>
            <w:r>
              <w:rPr>
                <w:rStyle w:val="Jin"/>
                <w:sz w:val="13"/>
                <w:szCs w:val="13"/>
              </w:rPr>
              <w:t>Datacenter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pro pokrytí všech jader a včetně medií pro obnovení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 xml:space="preserve">ANO 1ks Windows Server 2019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Datacenter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, 16CORE + 4x2CORE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Add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Lic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Síťové </w:t>
            </w:r>
            <w:proofErr w:type="spellStart"/>
            <w:r>
              <w:rPr>
                <w:rStyle w:val="Jin"/>
                <w:sz w:val="13"/>
                <w:szCs w:val="13"/>
              </w:rPr>
              <w:t>rozhranní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Min. 2 x 1GbE </w:t>
            </w:r>
            <w:proofErr w:type="spellStart"/>
            <w:r>
              <w:rPr>
                <w:rStyle w:val="Jin"/>
                <w:sz w:val="13"/>
                <w:szCs w:val="13"/>
              </w:rPr>
              <w:t>ethernet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port a Min. 4x 10Gb SFP + port včetně 4ks SFP+ SR modulů do serveru (Dell </w:t>
            </w:r>
            <w:proofErr w:type="spellStart"/>
            <w:r>
              <w:rPr>
                <w:rStyle w:val="Jin"/>
                <w:sz w:val="13"/>
                <w:szCs w:val="13"/>
              </w:rPr>
              <w:t>Networking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N4032F)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Redundantní síťové napájecí zdroje s možností nastavení limitů výkonu a spotřeby v </w:t>
            </w:r>
            <w:proofErr w:type="spellStart"/>
            <w:r>
              <w:rPr>
                <w:rStyle w:val="Jin"/>
                <w:sz w:val="13"/>
                <w:szCs w:val="13"/>
              </w:rPr>
              <w:t>BIOSu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Interface min 3 x USB (1 vpředu</w:t>
            </w:r>
            <w:r>
              <w:rPr>
                <w:rStyle w:val="Jin"/>
                <w:sz w:val="13"/>
                <w:szCs w:val="13"/>
              </w:rPr>
              <w:t>, 2 vzadu) a sériový port RS232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Rozšiřující sloty Min 1x </w:t>
            </w:r>
            <w:proofErr w:type="spellStart"/>
            <w:r>
              <w:rPr>
                <w:rStyle w:val="Jin"/>
                <w:sz w:val="13"/>
                <w:szCs w:val="13"/>
              </w:rPr>
              <w:t>PCIe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Gen4 x16 a Min. 1x </w:t>
            </w:r>
            <w:proofErr w:type="spellStart"/>
            <w:r>
              <w:rPr>
                <w:rStyle w:val="Jin"/>
                <w:sz w:val="13"/>
                <w:szCs w:val="13"/>
              </w:rPr>
              <w:t>PCIe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Gen3 x16, podpora karet s duálními </w:t>
            </w:r>
            <w:proofErr w:type="gramStart"/>
            <w:r>
              <w:rPr>
                <w:rStyle w:val="Jin"/>
                <w:sz w:val="13"/>
                <w:szCs w:val="13"/>
              </w:rPr>
              <w:t>M.2 disky</w:t>
            </w:r>
            <w:proofErr w:type="gramEnd"/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Kompatibilita pro aktuální verze </w:t>
            </w:r>
            <w:proofErr w:type="spellStart"/>
            <w:r>
              <w:rPr>
                <w:rStyle w:val="Jin"/>
                <w:sz w:val="13"/>
                <w:szCs w:val="13"/>
              </w:rPr>
              <w:t>VMware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ESX, Microsoft® Windows Server® </w:t>
            </w:r>
            <w:proofErr w:type="spellStart"/>
            <w:r>
              <w:rPr>
                <w:rStyle w:val="Jin"/>
                <w:sz w:val="13"/>
                <w:szCs w:val="13"/>
              </w:rPr>
              <w:t>with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Hyper-V a </w:t>
            </w:r>
            <w:proofErr w:type="spellStart"/>
            <w:r>
              <w:rPr>
                <w:rStyle w:val="Jin"/>
                <w:sz w:val="13"/>
                <w:szCs w:val="13"/>
              </w:rPr>
              <w:t>Red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sz w:val="13"/>
                <w:szCs w:val="13"/>
              </w:rPr>
              <w:t>Hat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sz w:val="13"/>
                <w:szCs w:val="13"/>
              </w:rPr>
              <w:t>Enterprise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Linux.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 w:line="259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Management serveru nezávislý na operačním systému poskytující management funkce a vlastnosti: webové rozhraní HTML5 a dedikovaná IP adresa, sledováni hardwarových senzorů (teplota, napětí, stav, chybové senzory) </w:t>
            </w:r>
            <w:proofErr w:type="spellStart"/>
            <w:r>
              <w:rPr>
                <w:rStyle w:val="Jin"/>
                <w:sz w:val="13"/>
                <w:szCs w:val="13"/>
              </w:rPr>
              <w:t>error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sz w:val="13"/>
                <w:szCs w:val="13"/>
              </w:rPr>
              <w:t>alerty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(server reset, kritické </w:t>
            </w:r>
            <w:proofErr w:type="spellStart"/>
            <w:r>
              <w:rPr>
                <w:rStyle w:val="Jin"/>
                <w:sz w:val="13"/>
                <w:szCs w:val="13"/>
              </w:rPr>
              <w:t>sensorové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hodnoty, atd.) za </w:t>
            </w:r>
            <w:proofErr w:type="gramStart"/>
            <w:r>
              <w:rPr>
                <w:rStyle w:val="Jin"/>
                <w:sz w:val="13"/>
                <w:szCs w:val="13"/>
              </w:rPr>
              <w:t>použiti</w:t>
            </w:r>
            <w:proofErr w:type="gramEnd"/>
            <w:r>
              <w:rPr>
                <w:rStyle w:val="Jin"/>
                <w:sz w:val="13"/>
                <w:szCs w:val="13"/>
              </w:rPr>
              <w:t xml:space="preserve"> email </w:t>
            </w:r>
            <w:proofErr w:type="spellStart"/>
            <w:r>
              <w:rPr>
                <w:rStyle w:val="Jin"/>
                <w:sz w:val="13"/>
                <w:szCs w:val="13"/>
              </w:rPr>
              <w:t>traps</w:t>
            </w:r>
            <w:proofErr w:type="spellEnd"/>
            <w:r>
              <w:rPr>
                <w:rStyle w:val="Jin"/>
                <w:sz w:val="13"/>
                <w:szCs w:val="13"/>
              </w:rPr>
              <w:t>, paging, IPv6,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 xml:space="preserve">ANO 1ks ÍDRAC9,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Enterprise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15G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Schopnost monitorovat a spravovat server (hardwarová konfigurace, RAID </w:t>
            </w:r>
            <w:proofErr w:type="gramStart"/>
            <w:r>
              <w:rPr>
                <w:rStyle w:val="Jin"/>
                <w:sz w:val="13"/>
                <w:szCs w:val="13"/>
              </w:rPr>
              <w:t>konfigurace</w:t>
            </w:r>
            <w:proofErr w:type="gramEnd"/>
            <w:r>
              <w:rPr>
                <w:rStyle w:val="Jin"/>
                <w:sz w:val="13"/>
                <w:szCs w:val="13"/>
              </w:rPr>
              <w:t xml:space="preserve"> .</w:t>
            </w:r>
            <w:proofErr w:type="gramStart"/>
            <w:r>
              <w:rPr>
                <w:rStyle w:val="Jin"/>
                <w:sz w:val="13"/>
                <w:szCs w:val="13"/>
              </w:rPr>
              <w:t>server</w:t>
            </w:r>
            <w:proofErr w:type="gramEnd"/>
            <w:r>
              <w:rPr>
                <w:rStyle w:val="Jin"/>
                <w:sz w:val="13"/>
                <w:szCs w:val="13"/>
              </w:rPr>
              <w:t xml:space="preserve"> reset, </w:t>
            </w:r>
            <w:proofErr w:type="spellStart"/>
            <w:r>
              <w:rPr>
                <w:rStyle w:val="Jin"/>
                <w:sz w:val="13"/>
                <w:szCs w:val="13"/>
              </w:rPr>
              <w:t>reboot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, </w:t>
            </w:r>
            <w:proofErr w:type="spellStart"/>
            <w:r>
              <w:rPr>
                <w:rStyle w:val="Jin"/>
                <w:sz w:val="13"/>
                <w:szCs w:val="13"/>
              </w:rPr>
              <w:t>power</w:t>
            </w:r>
            <w:proofErr w:type="spellEnd"/>
            <w:r>
              <w:rPr>
                <w:rStyle w:val="Jin"/>
                <w:sz w:val="13"/>
                <w:szCs w:val="13"/>
              </w:rPr>
              <w:t>-on/</w:t>
            </w:r>
            <w:proofErr w:type="spellStart"/>
            <w:r>
              <w:rPr>
                <w:rStyle w:val="Jin"/>
                <w:sz w:val="13"/>
                <w:szCs w:val="13"/>
              </w:rPr>
              <w:t>off</w:t>
            </w:r>
            <w:proofErr w:type="spellEnd"/>
            <w:r>
              <w:rPr>
                <w:rStyle w:val="Jin"/>
                <w:sz w:val="13"/>
                <w:szCs w:val="13"/>
              </w:rPr>
              <w:t>/</w:t>
            </w:r>
            <w:proofErr w:type="spellStart"/>
            <w:r>
              <w:rPr>
                <w:rStyle w:val="Jin"/>
                <w:sz w:val="13"/>
                <w:szCs w:val="13"/>
              </w:rPr>
              <w:t>cycle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atd.)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 1ks ÍDRAC9,Enterprise 15G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Management musí podporovat dvou faktorovou autentifikaci a AD/LDAP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 1ks ÍDRAC9,Enterprise 15G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Záložní BIOS v dedikované ROM s možností manuální/automatické obnovy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 w:line="254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Vestavěné GUI s podporou HTML5 a dedikovaná IP adresa IPv4, IPv6 a nezávislý </w:t>
            </w:r>
            <w:r>
              <w:rPr>
                <w:rStyle w:val="Jin"/>
                <w:sz w:val="13"/>
                <w:szCs w:val="13"/>
              </w:rPr>
              <w:t xml:space="preserve">management je s dedikovaným </w:t>
            </w:r>
            <w:proofErr w:type="spellStart"/>
            <w:r>
              <w:rPr>
                <w:rStyle w:val="Jin"/>
                <w:sz w:val="13"/>
                <w:szCs w:val="13"/>
              </w:rPr>
              <w:t>ethernet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portem, který není součástí požadovaných </w:t>
            </w:r>
            <w:proofErr w:type="spellStart"/>
            <w:r>
              <w:rPr>
                <w:rStyle w:val="Jin"/>
                <w:sz w:val="13"/>
                <w:szCs w:val="13"/>
              </w:rPr>
              <w:t>ethernet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portů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 w:line="254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Instalace a konfigurace na místě včetně aktualizací všech firmware na poslední aktuální a stabilní verze, instalace konfigurace </w:t>
            </w:r>
            <w:proofErr w:type="spellStart"/>
            <w:r>
              <w:rPr>
                <w:rStyle w:val="Jin"/>
                <w:sz w:val="13"/>
                <w:szCs w:val="13"/>
              </w:rPr>
              <w:t>virtualizační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platformy a </w:t>
            </w:r>
            <w:r>
              <w:rPr>
                <w:rStyle w:val="Jin"/>
                <w:sz w:val="13"/>
                <w:szCs w:val="13"/>
              </w:rPr>
              <w:t>součinnost při zařazeni do stávajícího prostředí.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>ANO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CFB" w:rsidRDefault="0049760C">
            <w:pPr>
              <w:pStyle w:val="Jin0"/>
              <w:spacing w:after="0" w:line="262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Podpora na 7 let typu 24x7 s </w:t>
            </w:r>
            <w:proofErr w:type="spellStart"/>
            <w:r>
              <w:rPr>
                <w:rStyle w:val="Jin"/>
                <w:sz w:val="13"/>
                <w:szCs w:val="13"/>
              </w:rPr>
              <w:t>proaktivnim</w:t>
            </w:r>
            <w:proofErr w:type="spellEnd"/>
            <w:r>
              <w:rPr>
                <w:rStyle w:val="Jin"/>
                <w:sz w:val="13"/>
                <w:szCs w:val="13"/>
              </w:rPr>
              <w:t xml:space="preserve"> dohledem a odstraněním problému následující pracovní den (NBD) po nahlášení závady. Automatické zakládání servisních požadavků v případě poruchy, oprava v místě</w:t>
            </w:r>
            <w:r>
              <w:rPr>
                <w:rStyle w:val="Jin"/>
                <w:sz w:val="13"/>
                <w:szCs w:val="13"/>
              </w:rPr>
              <w:t xml:space="preserve"> instalace, servis je poskytován výrobcem, jediné kontaktní místo pro nahlášení poruch pro všechny komponenty dodávaného systému, možnost staženi ovladačů a management software na webových stránkách po celou dobu platné podpory.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83"/>
          </w:tcPr>
          <w:p w:rsidR="00157CFB" w:rsidRDefault="0049760C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color w:val="323005"/>
                <w:sz w:val="13"/>
                <w:szCs w:val="13"/>
              </w:rPr>
              <w:t xml:space="preserve">ANO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ProSupport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and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Next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</w:t>
            </w:r>
            <w:r>
              <w:rPr>
                <w:rStyle w:val="Jin"/>
                <w:color w:val="323005"/>
                <w:sz w:val="13"/>
                <w:szCs w:val="13"/>
              </w:rPr>
              <w:t xml:space="preserve">Business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Day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Onsite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Jin"/>
                <w:color w:val="323005"/>
                <w:sz w:val="13"/>
                <w:szCs w:val="13"/>
              </w:rPr>
              <w:t>Service</w:t>
            </w:r>
            <w:proofErr w:type="spellEnd"/>
            <w:r>
              <w:rPr>
                <w:rStyle w:val="Jin"/>
                <w:color w:val="323005"/>
                <w:sz w:val="13"/>
                <w:szCs w:val="13"/>
              </w:rPr>
              <w:t xml:space="preserve"> 7Y</w:t>
            </w:r>
          </w:p>
        </w:tc>
      </w:tr>
    </w:tbl>
    <w:p w:rsidR="00157CFB" w:rsidRDefault="00157CFB">
      <w:pPr>
        <w:sectPr w:rsidR="00157CFB">
          <w:footerReference w:type="default" r:id="rId11"/>
          <w:pgSz w:w="16840" w:h="11900" w:orient="landscape"/>
          <w:pgMar w:top="1200" w:right="1289" w:bottom="840" w:left="1078" w:header="772" w:footer="412" w:gutter="0"/>
          <w:cols w:space="720"/>
          <w:noEndnote/>
          <w:docGrid w:linePitch="360"/>
        </w:sectPr>
      </w:pPr>
    </w:p>
    <w:p w:rsidR="00157CFB" w:rsidRDefault="0049760C">
      <w:pPr>
        <w:pStyle w:val="Titulektabulky0"/>
        <w:spacing w:after="60"/>
        <w:ind w:left="19"/>
        <w:rPr>
          <w:sz w:val="15"/>
          <w:szCs w:val="15"/>
        </w:rPr>
      </w:pPr>
      <w:r>
        <w:rPr>
          <w:rStyle w:val="Titulektabulky"/>
          <w:sz w:val="15"/>
          <w:szCs w:val="15"/>
        </w:rPr>
        <w:lastRenderedPageBreak/>
        <w:t>Příloha Kupní smlouvy č. 2 - Ceník</w:t>
      </w:r>
    </w:p>
    <w:p w:rsidR="00157CFB" w:rsidRDefault="0049760C">
      <w:pPr>
        <w:pStyle w:val="Titulektabulky0"/>
        <w:ind w:left="19"/>
        <w:rPr>
          <w:sz w:val="17"/>
          <w:szCs w:val="17"/>
        </w:rPr>
      </w:pPr>
      <w:r>
        <w:rPr>
          <w:rStyle w:val="Titulektabulky"/>
          <w:b/>
          <w:bCs/>
          <w:sz w:val="17"/>
          <w:szCs w:val="17"/>
        </w:rPr>
        <w:t>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3485"/>
        <w:gridCol w:w="3341"/>
        <w:gridCol w:w="720"/>
        <w:gridCol w:w="1426"/>
        <w:gridCol w:w="1430"/>
        <w:gridCol w:w="1718"/>
        <w:gridCol w:w="1848"/>
      </w:tblGrid>
      <w:tr w:rsidR="00157CF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rStyle w:val="Jin"/>
                <w:b/>
                <w:bCs/>
                <w:sz w:val="17"/>
                <w:szCs w:val="17"/>
              </w:rPr>
              <w:t>P.č</w:t>
            </w:r>
            <w:proofErr w:type="spellEnd"/>
            <w:r>
              <w:rPr>
                <w:rStyle w:val="Jin"/>
                <w:b/>
                <w:bCs/>
                <w:sz w:val="17"/>
                <w:szCs w:val="17"/>
              </w:rPr>
              <w:t>.</w:t>
            </w:r>
            <w:proofErr w:type="gram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Název položky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Nabízené zboží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 w:line="276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Počet 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 w:line="271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Jednotková cena bez DPH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 w:line="271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Jednotková cena vč. DPH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 w:line="276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Celková cena bez DPH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D83"/>
            <w:vAlign w:val="bottom"/>
          </w:tcPr>
          <w:p w:rsidR="00157CFB" w:rsidRDefault="0049760C">
            <w:pPr>
              <w:pStyle w:val="Jin0"/>
              <w:spacing w:after="0" w:line="271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Celková cena vč. DPH</w:t>
            </w:r>
          </w:p>
        </w:tc>
      </w:tr>
      <w:tr w:rsidR="00157CFB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3B714D"/>
                <w:sz w:val="18"/>
                <w:szCs w:val="18"/>
              </w:rPr>
              <w:t>Server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color w:val="D13E58"/>
                <w:sz w:val="18"/>
                <w:szCs w:val="18"/>
              </w:rPr>
              <w:t xml:space="preserve">DELL </w:t>
            </w:r>
            <w:proofErr w:type="spellStart"/>
            <w:r>
              <w:rPr>
                <w:rStyle w:val="Jin"/>
                <w:i/>
                <w:iCs/>
                <w:color w:val="D13E58"/>
                <w:sz w:val="18"/>
                <w:szCs w:val="18"/>
              </w:rPr>
              <w:t>PowerEdge</w:t>
            </w:r>
            <w:proofErr w:type="spellEnd"/>
            <w:r>
              <w:rPr>
                <w:rStyle w:val="Jin"/>
                <w:i/>
                <w:iCs/>
                <w:color w:val="D13E58"/>
                <w:sz w:val="18"/>
                <w:szCs w:val="18"/>
              </w:rPr>
              <w:t xml:space="preserve"> R6515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411 190,00 Kč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497 539,90 Kč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3B714D"/>
                <w:sz w:val="18"/>
                <w:szCs w:val="18"/>
              </w:rPr>
              <w:t>1 233 570,00 Kč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CFB" w:rsidRDefault="0049760C">
            <w:pPr>
              <w:pStyle w:val="Jin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color w:val="3B714D"/>
                <w:sz w:val="18"/>
                <w:szCs w:val="18"/>
              </w:rPr>
              <w:t>1 492 619,70 Kč</w:t>
            </w:r>
          </w:p>
        </w:tc>
      </w:tr>
    </w:tbl>
    <w:p w:rsidR="0049760C" w:rsidRDefault="0049760C"/>
    <w:sectPr w:rsidR="0049760C">
      <w:pgSz w:w="16840" w:h="11900" w:orient="landscape"/>
      <w:pgMar w:top="1244" w:right="1218" w:bottom="884" w:left="1021" w:header="816" w:footer="4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0C" w:rsidRDefault="0049760C">
      <w:r>
        <w:separator/>
      </w:r>
    </w:p>
  </w:endnote>
  <w:endnote w:type="continuationSeparator" w:id="0">
    <w:p w:rsidR="0049760C" w:rsidRDefault="0049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FB" w:rsidRDefault="004976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927100</wp:posOffset>
              </wp:positionH>
              <wp:positionV relativeFrom="page">
                <wp:posOffset>10115550</wp:posOffset>
              </wp:positionV>
              <wp:extent cx="149669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CFB" w:rsidRDefault="0049760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029_2021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pt;margin-top:796.5pt;width:117.85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7"/>
                        <w:szCs w:val="17"/>
                      </w:rPr>
                      <w:t>029_2021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FB" w:rsidRDefault="00157C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0C" w:rsidRDefault="0049760C"/>
  </w:footnote>
  <w:footnote w:type="continuationSeparator" w:id="0">
    <w:p w:rsidR="0049760C" w:rsidRDefault="004976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4FC"/>
    <w:multiLevelType w:val="multilevel"/>
    <w:tmpl w:val="EE14FCE0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E1AA9"/>
    <w:multiLevelType w:val="multilevel"/>
    <w:tmpl w:val="183032E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CB5D9A"/>
    <w:multiLevelType w:val="multilevel"/>
    <w:tmpl w:val="500E93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B"/>
    <w:rsid w:val="00157CFB"/>
    <w:rsid w:val="0049760C"/>
    <w:rsid w:val="00E2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0F4C-91AB-4AA4-97FC-2A807CC5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pacing w:after="100"/>
      <w:jc w:val="right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300"/>
      <w:ind w:left="694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8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www.spec.org/cpu2017/results/rint2017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1563</Words>
  <Characters>9224</Characters>
  <Application>Microsoft Office Word</Application>
  <DocSecurity>0</DocSecurity>
  <Lines>76</Lines>
  <Paragraphs>21</Paragraphs>
  <ScaleCrop>false</ScaleCrop>
  <Company>HP Inc.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2021-12-28T09:26:00Z</dcterms:created>
  <dcterms:modified xsi:type="dcterms:W3CDTF">2021-12-28T09:28:00Z</dcterms:modified>
</cp:coreProperties>
</file>