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bookmarkStart w:id="0" w:name="bookmark0"/>
      <w:r>
        <w:rPr>
          <w:rStyle w:val="CharStyle6"/>
        </w:rPr>
        <w:t>Illllllllllllllllllllllll</w:t>
      </w:r>
      <w:bookmarkEnd w:id="0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r>
        <w:rPr>
          <w:rStyle w:val="CharStyle11"/>
        </w:rPr>
        <w:t>2021008386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  <w:b/>
          <w:bCs/>
        </w:rPr>
        <w:t>KUPNÍ SMLOUVA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r>
        <w:rPr>
          <w:rStyle w:val="CharStyle3"/>
        </w:rPr>
        <w:t>uzavřená v souladu s ustanovením § 2079 a násl. zákona č. 89/2012 Sb., občanský zákoník,</w:t>
        <w:br/>
        <w:t>mezi níže uvedenými smluvními stranami</w:t>
      </w:r>
    </w:p>
    <w:tbl>
      <w:tblPr>
        <w:tblOverlap w:val="never"/>
        <w:jc w:val="center"/>
        <w:tblLayout w:type="fixed"/>
      </w:tblPr>
      <w:tblGrid>
        <w:gridCol w:w="3192"/>
        <w:gridCol w:w="5890"/>
      </w:tblGrid>
      <w:tr>
        <w:trPr>
          <w:trHeight w:val="51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20" w:right="0" w:firstLine="0"/>
              <w:jc w:val="left"/>
            </w:pPr>
            <w:r>
              <w:rPr>
                <w:rStyle w:val="CharStyle15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5"/>
              </w:rPr>
              <w:t>Kamenice 798/1 d, 625 00 Brno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5"/>
              </w:rPr>
              <w:t>MUDr. Hana Albrechtová, ředitelka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5"/>
                <w:shd w:val="clear" w:color="auto" w:fill="000000"/>
              </w:rPr>
              <w:t>.......​...........​</w:t>
            </w:r>
            <w:r>
              <w:rPr>
                <w:rStyle w:val="CharStyle15"/>
                <w:spacing w:val="1"/>
                <w:shd w:val="clear" w:color="auto" w:fill="000000"/>
              </w:rPr>
              <w:t>.......</w:t>
            </w:r>
            <w:r>
              <w:rPr>
                <w:rStyle w:val="CharStyle15"/>
                <w:spacing w:val="2"/>
                <w:shd w:val="clear" w:color="auto" w:fill="000000"/>
              </w:rPr>
              <w:t>...</w:t>
            </w:r>
          </w:p>
        </w:tc>
      </w:tr>
      <w:tr>
        <w:trPr>
          <w:trHeight w:val="49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20" w:right="0" w:firstLine="0"/>
              <w:jc w:val="left"/>
            </w:pPr>
            <w:r>
              <w:rPr>
                <w:rStyle w:val="CharStyle15"/>
                <w:spacing w:val="4"/>
                <w:shd w:val="clear" w:color="auto" w:fill="000000"/>
              </w:rPr>
              <w:t>...</w:t>
            </w:r>
            <w:r>
              <w:rPr>
                <w:rStyle w:val="CharStyle15"/>
                <w:shd w:val="clear" w:color="auto" w:fill="000000"/>
              </w:rPr>
              <w:t>​</w:t>
            </w:r>
            <w:r>
              <w:rPr>
                <w:rStyle w:val="CharStyle15"/>
                <w:spacing w:val="4"/>
                <w:shd w:val="clear" w:color="auto" w:fill="000000"/>
              </w:rPr>
              <w:t>...</w:t>
            </w:r>
            <w:r>
              <w:rPr>
                <w:rStyle w:val="CharStyle15"/>
                <w:spacing w:val="5"/>
                <w:shd w:val="clear" w:color="auto" w:fill="000000"/>
              </w:rPr>
              <w:t>.....</w:t>
            </w:r>
            <w:r>
              <w:rPr>
                <w:rStyle w:val="CharStyle15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CharStyle15"/>
                <w:spacing w:val="1"/>
                <w:shd w:val="clear" w:color="auto" w:fill="000000"/>
                <w:lang w:val="en-US" w:eastAsia="en-US" w:bidi="en-US"/>
              </w:rPr>
              <w:t>...................</w:t>
            </w:r>
            <w:r>
              <w:rPr>
                <w:rStyle w:val="CharStyle15"/>
                <w:spacing w:val="2"/>
                <w:shd w:val="clear" w:color="auto" w:fill="000000"/>
                <w:lang w:val="en-US" w:eastAsia="en-US" w:bidi="en-US"/>
              </w:rPr>
              <w:t>...........</w:t>
            </w:r>
            <w:r>
              <w:rPr>
                <w:rStyle w:val="CharStyle15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15"/>
                <w:shd w:val="clear" w:color="auto" w:fill="000000"/>
              </w:rPr>
              <w:t>​</w:t>
            </w:r>
            <w:r>
              <w:rPr>
                <w:rStyle w:val="CharStyle15"/>
                <w:spacing w:val="8"/>
                <w:shd w:val="clear" w:color="auto" w:fill="000000"/>
              </w:rPr>
              <w:t>.....</w:t>
            </w:r>
            <w:r>
              <w:rPr>
                <w:rStyle w:val="CharStyle15"/>
                <w:spacing w:val="9"/>
                <w:shd w:val="clear" w:color="auto" w:fill="000000"/>
              </w:rPr>
              <w:t>.</w:t>
            </w:r>
            <w:r>
              <w:rPr>
                <w:rStyle w:val="CharStyle15"/>
                <w:shd w:val="clear" w:color="auto" w:fill="000000"/>
              </w:rPr>
              <w:t>​.......​</w:t>
            </w:r>
            <w:r>
              <w:rPr>
                <w:rStyle w:val="CharStyle15"/>
                <w:spacing w:val="7"/>
                <w:shd w:val="clear" w:color="auto" w:fill="000000"/>
              </w:rPr>
              <w:t>...</w:t>
            </w:r>
            <w:r>
              <w:rPr>
                <w:rStyle w:val="CharStyle15"/>
                <w:spacing w:val="8"/>
                <w:shd w:val="clear" w:color="auto" w:fill="000000"/>
              </w:rPr>
              <w:t>...</w:t>
            </w:r>
            <w:r>
              <w:rPr>
                <w:rStyle w:val="CharStyle15"/>
                <w:shd w:val="clear" w:color="auto" w:fill="000000"/>
              </w:rPr>
              <w:t>​......</w:t>
            </w:r>
            <w:r>
              <w:rPr>
                <w:rStyle w:val="CharStyle15"/>
              </w:rPr>
              <w:t xml:space="preserve"> 00346292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5"/>
              </w:rPr>
              <w:t>CZ00346292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5"/>
              </w:rPr>
              <w:t>Krajský soud v Brně sp. zn. Pr 1245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5"/>
              </w:rPr>
              <w:t xml:space="preserve">MONETA Money Bank, a.s„ č. ú. </w:t>
            </w:r>
            <w:r>
              <w:rPr>
                <w:rStyle w:val="CharStyle15"/>
                <w:shd w:val="clear" w:color="auto" w:fill="000000"/>
              </w:rPr>
              <w:t>...........................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3"/>
        </w:rPr>
        <w:t>(dále jen „kupující“)</w:t>
      </w:r>
    </w:p>
    <w:p>
      <w:pPr>
        <w:widowControl w:val="0"/>
        <w:spacing w:after="33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3192"/>
        <w:gridCol w:w="5885"/>
      </w:tblGrid>
      <w:tr>
        <w:trPr>
          <w:trHeight w:val="64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d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20" w:right="0" w:firstLine="0"/>
              <w:jc w:val="left"/>
            </w:pPr>
            <w:r>
              <w:rPr>
                <w:rStyle w:val="CharStyle15"/>
                <w:b/>
                <w:bCs/>
              </w:rPr>
              <w:t>PER4MANCE s.r.o.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20" w:right="0" w:firstLine="0"/>
              <w:jc w:val="left"/>
            </w:pPr>
            <w:r>
              <w:rPr>
                <w:rStyle w:val="CharStyle15"/>
                <w:b/>
                <w:bCs/>
              </w:rPr>
              <w:t>Fišova 399/3, 602 00 Brno</w:t>
            </w:r>
          </w:p>
        </w:tc>
      </w:tr>
      <w:tr>
        <w:trPr>
          <w:trHeight w:val="50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Jednající: 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20" w:right="0" w:firstLine="0"/>
              <w:jc w:val="left"/>
            </w:pPr>
            <w:r>
              <w:rPr>
                <w:rStyle w:val="CharStyle15"/>
                <w:b/>
                <w:bCs/>
              </w:rPr>
              <w:t>Ing. Petr Maleňák, jednatel společnosti 60749024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5"/>
                <w:b/>
                <w:bCs/>
              </w:rPr>
              <w:t>CZ60749024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5"/>
                <w:b/>
                <w:bCs/>
              </w:rPr>
              <w:t>u Krajského soudu v Brně, spisová značka 19044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5"/>
                <w:b/>
                <w:bCs/>
              </w:rPr>
              <w:t xml:space="preserve">Komerční banka Brno, </w:t>
            </w:r>
            <w:r>
              <w:rPr>
                <w:rStyle w:val="CharStyle15"/>
                <w:b/>
                <w:bCs/>
                <w:shd w:val="clear" w:color="auto" w:fill="000000"/>
              </w:rPr>
              <w:t>.............................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3"/>
        </w:rPr>
        <w:t>(dále jen „prodávající“</w:t>
      </w:r>
    </w:p>
    <w:p>
      <w:pPr>
        <w:widowControl w:val="0"/>
        <w:spacing w:after="109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86" w:val="left"/>
        </w:tabs>
        <w:bidi w:val="0"/>
        <w:spacing w:before="0" w:line="240" w:lineRule="auto"/>
        <w:ind w:left="700" w:right="0" w:hanging="360"/>
        <w:jc w:val="both"/>
      </w:pPr>
      <w:r>
        <w:rPr>
          <w:rStyle w:val="CharStyle3"/>
        </w:rPr>
        <w:t>Prodávající je oprávněn na základě svého vlastnického práva nakládat se zbožím v podobě monitorovacího serveru.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700" w:right="0" w:firstLine="0"/>
        <w:jc w:val="both"/>
      </w:pPr>
      <w:r>
        <w:rPr>
          <w:rStyle w:val="CharStyle3"/>
        </w:rPr>
        <w:t>Podrobná specifikace tohoto zboží je uvedena v příloze č. 1, která je nedílnou součástí této kupní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86" w:val="left"/>
        </w:tabs>
        <w:bidi w:val="0"/>
        <w:spacing w:before="0" w:line="240" w:lineRule="auto"/>
        <w:ind w:left="700" w:right="0" w:hanging="360"/>
        <w:jc w:val="both"/>
      </w:pPr>
      <w:r>
        <w:rPr>
          <w:rStyle w:val="CharStyle3"/>
        </w:rPr>
        <w:t>Prodávající prodává zboží podle čl. 1 této smlouvy se všemi jeho součástmi a příslušenstvím kupujícímu, a kupující kupuje toto zboží do vlastnictví Jihomoravského kraje jako svého zřizovatele za kupní cenu podle čl. 6 této smlouvy. Součástí tohoto závazku prodávajícího je také dodání technické dokumentace příslušného zboží a návodu k jeho obsluze, a dokladů prokazujících shodu, to vše v českém jazyce v tištěné nebo elektronické podobě.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86" w:val="left"/>
        </w:tabs>
        <w:bidi w:val="0"/>
        <w:spacing w:before="0" w:line="240" w:lineRule="auto"/>
        <w:ind w:left="700" w:right="0" w:hanging="360"/>
        <w:jc w:val="both"/>
      </w:pPr>
      <w:r>
        <w:rPr>
          <w:rStyle w:val="CharStyle3"/>
        </w:rPr>
        <w:t xml:space="preserve">Prodávající se zavazuje splnit svůj závazek k dodání zboží podle čl. 1 této smlouvy nejpozději </w:t>
      </w:r>
      <w:r>
        <w:rPr>
          <w:rStyle w:val="CharStyle3"/>
          <w:b/>
          <w:bCs/>
        </w:rPr>
        <w:t xml:space="preserve">do 60 dnů </w:t>
      </w:r>
      <w:r>
        <w:rPr>
          <w:rStyle w:val="CharStyle3"/>
        </w:rPr>
        <w:t>ode dne účinnosti této smlouvy, a to v místě splnění tohoto závazku, kterým je sídlo kupujícího Kamenice 798/1 d, 625 00 Brno.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86" w:val="left"/>
        </w:tabs>
        <w:bidi w:val="0"/>
        <w:spacing w:before="0" w:line="240" w:lineRule="auto"/>
        <w:ind w:left="700" w:right="0" w:hanging="360"/>
        <w:jc w:val="both"/>
      </w:pPr>
      <w:r>
        <w:rPr>
          <w:rStyle w:val="CharStyle3"/>
        </w:rPr>
        <w:t>Závazek prodávajícího ke splnění jeho závazku k dodání zboží podle čl. 1 této smlouvy se pak považuje za splněný po faktickém předání a převzetí zboží prostého všech vad, po jeho instalaci a konfiguraci na základě písemného předávacího protokolu, podepsaného oběma stranami.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86" w:val="left"/>
        </w:tabs>
        <w:bidi w:val="0"/>
        <w:spacing w:before="0" w:line="240" w:lineRule="auto"/>
        <w:ind w:left="700" w:right="0" w:hanging="360"/>
        <w:jc w:val="both"/>
      </w:pPr>
      <w:r>
        <w:rPr>
          <w:rStyle w:val="CharStyle3"/>
        </w:rPr>
        <w:t>Nebezpečí škody na převáděném zboží a vlastnické právo k tomuto zboží přechází z prodávajícího na kupujícího dnem splnění závazku prodávajícího k dodání zboží podle čl. 1 této smlouvy způsobem podle čl. 4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6" w:val="left"/>
        </w:tabs>
        <w:bidi w:val="0"/>
        <w:spacing w:before="0" w:line="240" w:lineRule="auto"/>
        <w:ind w:left="700" w:right="0" w:hanging="340"/>
        <w:jc w:val="both"/>
      </w:pPr>
      <w:r>
        <w:rPr>
          <w:rStyle w:val="CharStyle3"/>
        </w:rPr>
        <w:t>Kupující se zavazuje zaplatit prodávajícímu za předmět koupě a prodeje podle čl. 1 této smlouvy celkovou kupní cenu ve výši: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00"/>
        <w:jc w:val="both"/>
      </w:pPr>
      <w:r>
        <w:rPr>
          <w:rStyle w:val="CharStyle3"/>
          <w:b/>
          <w:bCs/>
        </w:rPr>
        <w:t xml:space="preserve">308 300,- </w:t>
      </w:r>
      <w:r>
        <w:rPr>
          <w:rStyle w:val="CharStyle3"/>
        </w:rPr>
        <w:t xml:space="preserve">Kč bez DPH, tj. </w:t>
      </w:r>
      <w:r>
        <w:rPr>
          <w:rStyle w:val="CharStyle3"/>
          <w:b/>
          <w:bCs/>
        </w:rPr>
        <w:t xml:space="preserve">373 043,- </w:t>
      </w:r>
      <w:r>
        <w:rPr>
          <w:rStyle w:val="CharStyle3"/>
        </w:rPr>
        <w:t>Kč včetně DPH.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700" w:right="0" w:firstLine="0"/>
        <w:jc w:val="both"/>
      </w:pPr>
      <w:r>
        <w:rPr>
          <w:rStyle w:val="CharStyle3"/>
        </w:rPr>
        <w:t>Součástí této ceny jsou veškeré náklady prodávajícího na splnění jeho závazku k dodání zboží podle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6" w:val="left"/>
        </w:tabs>
        <w:bidi w:val="0"/>
        <w:spacing w:before="0" w:line="240" w:lineRule="auto"/>
        <w:ind w:left="700" w:right="0" w:hanging="340"/>
        <w:jc w:val="both"/>
      </w:pPr>
      <w:r>
        <w:rPr>
          <w:rStyle w:val="CharStyle3"/>
        </w:rPr>
        <w:t xml:space="preserve">Kupní cena podle čl. 6 této smlouvy je splatná na účet prodávajícího po splnění závazku prodávajícího k dodání zboží podle čl. 1 této smlouvy způsobem podle čl. 4 této smlouvy ve lhůtě do 30 dnů ode dne doručení jejího písemného vyúčtování (daňového dokladu/faktury). Faktura bude doručena elektronicky na email: </w:t>
      </w:r>
      <w:r>
        <w:rPr>
          <w:rStyle w:val="CharStyle3"/>
          <w:rFonts w:ascii="Times New Roman" w:eastAsia="Times New Roman" w:hAnsi="Times New Roman" w:cs="Times New Roman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3"/>
          <w:rFonts w:ascii="Times New Roman" w:eastAsia="Times New Roman" w:hAnsi="Times New Roman" w:cs="Times New Roman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"/>
          <w:rFonts w:ascii="Times New Roman" w:eastAsia="Times New Roman" w:hAnsi="Times New Roman" w:cs="Times New Roman"/>
          <w:spacing w:val="2"/>
          <w:u w:val="single"/>
          <w:shd w:val="clear" w:color="auto" w:fill="000000"/>
          <w:lang w:val="en-US" w:eastAsia="en-US" w:bidi="en-US"/>
        </w:rPr>
        <w:t>..............</w:t>
      </w:r>
      <w:r>
        <w:rPr>
          <w:rStyle w:val="CharStyle3"/>
          <w:rFonts w:ascii="Times New Roman" w:eastAsia="Times New Roman" w:hAnsi="Times New Roman" w:cs="Times New Roman"/>
          <w:shd w:val="clear" w:color="auto" w:fill="000000"/>
          <w:lang w:val="en-US" w:eastAsia="en-US" w:bidi="en-US"/>
        </w:rPr>
        <w:t>.</w:t>
      </w:r>
      <w:r>
        <w:rPr>
          <w:rStyle w:val="CharStyle3"/>
          <w:shd w:val="clear" w:color="auto" w:fill="000000"/>
        </w:rPr>
        <w:t>​...</w:t>
      </w:r>
      <w:r>
        <w:rPr>
          <w:rStyle w:val="CharStyle3"/>
          <w:rFonts w:ascii="Times New Roman" w:eastAsia="Times New Roman" w:hAnsi="Times New Roman" w:cs="Times New Roman"/>
          <w:u w:val="single"/>
          <w:shd w:val="clear" w:color="auto" w:fill="000000"/>
          <w:lang w:val="en-US" w:eastAsia="en-US" w:bidi="en-US"/>
        </w:rPr>
        <w:t>​..........................</w:t>
      </w:r>
      <w:r>
        <w:rPr>
          <w:rStyle w:val="CharStyle3"/>
          <w:rFonts w:ascii="Times New Roman" w:eastAsia="Times New Roman" w:hAnsi="Times New Roman" w:cs="Times New Roman"/>
          <w:spacing w:val="1"/>
          <w:u w:val="single"/>
          <w:shd w:val="clear" w:color="auto" w:fill="000000"/>
          <w:lang w:val="en-US" w:eastAsia="en-US" w:bidi="en-US"/>
        </w:rPr>
        <w:t>.........</w:t>
      </w:r>
      <w:r>
        <w:rPr>
          <w:rStyle w:val="CharStyle3"/>
          <w:rFonts w:ascii="Times New Roman" w:eastAsia="Times New Roman" w:hAnsi="Times New Roman" w:cs="Times New Roman"/>
          <w:color w:val="447AB4"/>
          <w:lang w:val="en-US" w:eastAsia="en-US" w:bidi="en-US"/>
        </w:rPr>
        <w:t xml:space="preserve"> </w:t>
      </w:r>
      <w:r>
        <w:rPr>
          <w:rStyle w:val="CharStyle3"/>
        </w:rPr>
        <w:t xml:space="preserve">a musí obsahovat mimo jiné toto číslo veřejné zakázky: </w:t>
      </w:r>
      <w:r>
        <w:rPr>
          <w:rStyle w:val="CharStyle3"/>
          <w:b/>
          <w:bCs/>
        </w:rPr>
        <w:t xml:space="preserve">P21V00002837. </w:t>
      </w:r>
      <w:r>
        <w:rPr>
          <w:rStyle w:val="CharStyle3"/>
        </w:rPr>
        <w:t>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6" w:val="left"/>
        </w:tabs>
        <w:bidi w:val="0"/>
        <w:spacing w:before="0" w:line="240" w:lineRule="auto"/>
        <w:ind w:left="700" w:right="0" w:hanging="340"/>
        <w:jc w:val="both"/>
      </w:pPr>
      <w:r>
        <w:rPr>
          <w:rStyle w:val="CharStyle3"/>
        </w:rPr>
        <w:t>Prodávající odpovídá kupujícímu za to, že zboží podle čl. 1 této smlouvy bude odpovídat tuzemským právním předpisům, technickým a jiným normám, a že bude mít vymíněné vlastnosti kupujícím. S převodem zboží podle čl. 1 této smlouvy je spojena záruka za jeho jakost v trvání 7 let ode dne splnění závazku prodávajícího k dodání tohoto zboží. V rámci této záruky se prodávající zavazuje poskytovat proaktivní dohled typu 24x7 s odstraněním vady do 4 hodin po nahlášení závady na zboží ze strany kupujícího.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6" w:val="left"/>
        </w:tabs>
        <w:bidi w:val="0"/>
        <w:spacing w:before="0" w:line="240" w:lineRule="auto"/>
        <w:ind w:left="700" w:right="0" w:hanging="340"/>
        <w:jc w:val="both"/>
      </w:pPr>
      <w:r>
        <w:rPr>
          <w:rStyle w:val="CharStyle3"/>
        </w:rPr>
        <w:t>Pro případ sporu o oprávněnost reklamace se kupujícímu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59" w:val="left"/>
        </w:tabs>
        <w:bidi w:val="0"/>
        <w:spacing w:before="0" w:line="240" w:lineRule="auto"/>
        <w:ind w:left="700" w:right="0" w:hanging="340"/>
        <w:jc w:val="both"/>
      </w:pPr>
      <w:r>
        <w:rPr>
          <w:rStyle w:val="CharStyle3"/>
        </w:rPr>
        <w:t>Pro případ prodlení se splněním jeho závazku k dodání zboží ve lhůtě podle čl. 3 této smlouvy a pro případ jeho prodlení s odstraněním vady ve lhůtě podle čl. 8 této smlouvy se prodávající zavazuje platit kupujícímu smluvní pokutu ve výši 0,1 % z kupní ceny podle čl. 6 této smlouvy za každý započatý den tohoto prodlení.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59" w:val="left"/>
        </w:tabs>
        <w:bidi w:val="0"/>
        <w:spacing w:before="0" w:line="240" w:lineRule="auto"/>
        <w:ind w:left="700" w:right="0" w:hanging="340"/>
        <w:jc w:val="both"/>
      </w:pPr>
      <w:r>
        <w:rPr>
          <w:rStyle w:val="CharStyle3"/>
        </w:rPr>
        <w:t>Pro případ prodlení se splněním jeho závazku k dodání zboží ve lhůtě podle čl. 3 této smlouvy o více než dva týdny nebo pro případ výskytu neodstranitelné vady resp. výskytu tří a více vad, a to i postupně, je kupující oprávněn odstoupit od této smlouvy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54" w:val="left"/>
        </w:tabs>
        <w:bidi w:val="0"/>
        <w:spacing w:before="0" w:line="240" w:lineRule="auto"/>
        <w:ind w:left="700" w:right="0" w:hanging="340"/>
        <w:jc w:val="both"/>
      </w:pPr>
      <w:r>
        <w:rPr>
          <w:rStyle w:val="CharStyle3"/>
        </w:rPr>
        <w:t>Pro případ prodlení kupujícího se zaplacením kupní ceny nebo její části ve lhůtě podle čl. 7 této smlouvy o více než 2 týdny, je prodávající oprávněn od této smlouvy odstoupit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59" w:val="left"/>
        </w:tabs>
        <w:bidi w:val="0"/>
        <w:spacing w:before="0" w:line="240" w:lineRule="auto"/>
        <w:ind w:left="700" w:right="0" w:hanging="340"/>
        <w:jc w:val="both"/>
      </w:pPr>
      <w:r>
        <w:rPr>
          <w:rStyle w:val="CharStyle3"/>
        </w:rPr>
        <w:t>Není-li touto smlouvou ujednáno jinak, řídí se vzájemný právní vztah mezi kupujícím a prodávajícím při realizaci této smlouvy ustanovení § 2079 a násl.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54" w:val="left"/>
        </w:tabs>
        <w:bidi w:val="0"/>
        <w:spacing w:before="0" w:line="240" w:lineRule="auto"/>
        <w:ind w:left="700" w:right="0" w:hanging="340"/>
        <w:jc w:val="both"/>
      </w:pPr>
      <w:r>
        <w:rPr>
          <w:rStyle w:val="CharStyle3"/>
        </w:rPr>
        <w:t>Tato smlouva se uzavírá na základě návrhu na její uzavření ze strany kupujícího. Předpokladem uzavření této smlouvy je její písemná forma a dohoda o jejích podstatných náležitostech, čímž se rozumí celý obsah této smlouvy, jak je uveden v čl. 1 až 19 této smlouvy. Kupující přitom předem vylučuje přijetí tohoto návrhu s dodatkem nebo odchylkou ve smyslu ust. § 1740 odst. 3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59" w:val="left"/>
        </w:tabs>
        <w:bidi w:val="0"/>
        <w:spacing w:before="0" w:line="240" w:lineRule="auto"/>
        <w:ind w:left="700" w:right="0" w:hanging="340"/>
        <w:jc w:val="both"/>
      </w:pPr>
      <w:r>
        <w:rPr>
          <w:rStyle w:val="CharStyle3"/>
        </w:rPr>
        <w:t>Tuto smlouvu lze změnit nebo zrušit pouze jinou písemnou dohodou obou smluvních stran.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54" w:val="left"/>
        </w:tabs>
        <w:bidi w:val="0"/>
        <w:spacing w:before="0" w:after="120" w:line="240" w:lineRule="auto"/>
        <w:ind w:left="700" w:right="0" w:hanging="340"/>
        <w:jc w:val="both"/>
      </w:pPr>
      <w:r>
        <w:rPr>
          <w:rStyle w:val="CharStyle3"/>
        </w:rPr>
        <w:t>Tato smlouva bude uveřejněna prostřednictvím registru smluv postupem dle zákona č. 340/2015 Sb., o zvláštních podmínkách účinnosti některých smluv, uveřejňování těchto smluv a o registru smluv (zákon o registru smluv), v platném znění. Smluvní</w:t>
        <w:br w:type="page"/>
      </w:r>
      <w:r>
        <w:rPr>
          <w:rStyle w:val="CharStyle3"/>
        </w:rPr>
        <w:t>strany se dohodly, že uveřejnění v registru smluv (ISRS) včetně uvedení metadat provede kupující.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19" w:val="left"/>
        </w:tabs>
        <w:bidi w:val="0"/>
        <w:spacing w:before="0" w:after="120" w:line="240" w:lineRule="auto"/>
        <w:ind w:left="0" w:right="0" w:firstLine="360"/>
        <w:jc w:val="both"/>
      </w:pPr>
      <w:r>
        <w:rPr>
          <w:rStyle w:val="CharStyle3"/>
        </w:rPr>
        <w:t>Tato smlouva nabývá účinnosti dnem jejího uveřejnění v registru smluv dle čl. 16.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14" w:val="left"/>
        </w:tabs>
        <w:bidi w:val="0"/>
        <w:spacing w:before="0" w:after="120" w:line="240" w:lineRule="auto"/>
        <w:ind w:left="700" w:right="0" w:hanging="340"/>
        <w:jc w:val="both"/>
      </w:pPr>
      <w:r>
        <w:rPr>
          <w:rStyle w:val="CharStyle3"/>
        </w:rPr>
        <w:t>Dáno ve dvou originálních písemných vyhotoveních, z nichž každá ze smluvních stran obdrží po jednom.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14" w:val="left"/>
        </w:tabs>
        <w:bidi w:val="0"/>
        <w:spacing w:before="0" w:after="1120" w:line="240" w:lineRule="auto"/>
        <w:ind w:left="700" w:right="0" w:hanging="340"/>
        <w:jc w:val="both"/>
      </w:pPr>
      <w:r>
        <w:rPr>
          <w:rStyle w:val="CharStyle3"/>
        </w:rPr>
        <w:t>Prodávající uděluje kupujícímu svůj výslovný souhlas se zveřejněním podmínek této smlouvy v rozsahu a za podmínek vyplývajících z příslušných právních předpisů (zejména zák. č. 106/1999 Sb., o svobodném přístupu k informacím, v platném znění).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740" w:line="240" w:lineRule="auto"/>
        <w:ind w:left="0" w:right="0" w:firstLine="0"/>
        <w:jc w:val="center"/>
      </w:pPr>
      <w:r>
        <w:rPr>
          <w:rStyle w:val="CharStyle3"/>
        </w:rPr>
        <w:t>V Brně dne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left"/>
      </w:pPr>
      <w:r>
        <w:rPr>
          <w:rStyle w:val="CharStyle3"/>
        </w:rPr>
        <w:t>MUDr. Hana Albrechtová ředitelka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4328795</wp:posOffset>
                </wp:positionH>
                <wp:positionV relativeFrom="margin">
                  <wp:posOffset>4450080</wp:posOffset>
                </wp:positionV>
                <wp:extent cx="1136650" cy="338455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36650" cy="3384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Ing. Petr Maleňák jednatel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40.85000000000002pt;margin-top:350.40000000000003pt;width:89.5pt;height:26.650000000000002pt;z-index:-125829375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Ing. Petr Maleňák jednatel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951865</wp:posOffset>
                </wp:positionH>
                <wp:positionV relativeFrom="margin">
                  <wp:posOffset>5245735</wp:posOffset>
                </wp:positionV>
                <wp:extent cx="575945" cy="17653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5945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Kupující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4.950000000000003pt;margin-top:413.05000000000001pt;width:45.350000000000001pt;height:13.9pt;z-index:-125829373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Kupující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rStyle w:val="CharStyle3"/>
          <w:b/>
          <w:bCs/>
        </w:rPr>
        <w:t>Prodávající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rStyle w:val="CharStyle3"/>
        </w:rPr>
        <w:t>Příloha č. 1 Technická specifikace</w:t>
      </w:r>
    </w:p>
    <w:p>
      <w:pPr>
        <w:pStyle w:val="Style3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" w:name="bookmark2"/>
      <w:r>
        <w:rPr>
          <w:rStyle w:val="CharStyle33"/>
        </w:rPr>
        <w:t>PER^MANCE®</w:t>
      </w:r>
      <w:bookmarkEnd w:id="2"/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210" w:right="1301" w:bottom="1314" w:left="1499" w:header="0" w:footer="3" w:gutter="0"/>
          <w:pgNumType w:start="1"/>
          <w:cols w:space="720"/>
          <w:noEndnote/>
          <w:rtlGutter w:val="0"/>
          <w:docGrid w:linePitch="360"/>
        </w:sectPr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460375</wp:posOffset>
            </wp:positionH>
            <wp:positionV relativeFrom="margin">
              <wp:posOffset>3447415</wp:posOffset>
            </wp:positionV>
            <wp:extent cx="2054225" cy="124333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2054225" cy="12433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margin">
              <wp:posOffset>3459480</wp:posOffset>
            </wp:positionH>
            <wp:positionV relativeFrom="margin">
              <wp:posOffset>3505200</wp:posOffset>
            </wp:positionV>
            <wp:extent cx="2286000" cy="1024255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2286000" cy="102425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35"/>
          <w:b/>
          <w:bCs/>
        </w:rPr>
        <w:t>PER4MANCE s.r.o.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7"/>
        </w:rPr>
        <w:t>Příloha kupní smlouvy č. 1 - Technická specifikace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rStyle w:val="CharStyle37"/>
        </w:rPr>
        <w:t>Technická specifikace</w:t>
      </w:r>
    </w:p>
    <w:tbl>
      <w:tblPr>
        <w:tblOverlap w:val="never"/>
        <w:jc w:val="center"/>
        <w:tblLayout w:type="fixed"/>
      </w:tblPr>
      <w:tblGrid>
        <w:gridCol w:w="10296"/>
        <w:gridCol w:w="3730"/>
      </w:tblGrid>
      <w:tr>
        <w:trPr>
          <w:trHeight w:val="14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980" w:right="0" w:firstLine="0"/>
              <w:jc w:val="left"/>
              <w:rPr>
                <w:sz w:val="10"/>
                <w:szCs w:val="10"/>
              </w:rPr>
            </w:pPr>
            <w:r>
              <w:rPr>
                <w:rStyle w:val="CharStyle15"/>
                <w:b/>
                <w:bCs/>
                <w:color w:val="1D263B"/>
                <w:sz w:val="10"/>
                <w:szCs w:val="10"/>
              </w:rPr>
              <w:t>Server</w:t>
            </w:r>
          </w:p>
        </w:tc>
      </w:tr>
      <w:tr>
        <w:trPr>
          <w:trHeight w:val="125" w:hRule="exact"/>
        </w:trPr>
        <w:tc>
          <w:tcPr>
            <w:tcBorders>
              <w:top w:val="single" w:sz="4"/>
              <w:left w:val="single" w:sz="4"/>
            </w:tcBorders>
            <w:shd w:val="clear" w:color="auto" w:fill="FDFD7C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9"/>
                <w:szCs w:val="9"/>
              </w:rPr>
            </w:pPr>
            <w:r>
              <w:rPr>
                <w:rStyle w:val="CharStyle15"/>
                <w:color w:val="393708"/>
                <w:sz w:val="9"/>
                <w:szCs w:val="9"/>
              </w:rPr>
              <w:t>PowerEdqe R6515 - AMD EPYC 7402 24C 2.8GHz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15"/>
                <w:color w:val="393708"/>
                <w:sz w:val="9"/>
                <w:szCs w:val="9"/>
              </w:rPr>
              <w:t>Dodavatel doplní splněni parametru - uvede: "ANO"/hodnotu parametru</w:t>
            </w:r>
          </w:p>
        </w:tc>
      </w:tr>
      <w:tr>
        <w:trPr>
          <w:trHeight w:val="130" w:hRule="exact"/>
        </w:trPr>
        <w:tc>
          <w:tcPr>
            <w:tcBorders>
              <w:top w:val="single" w:sz="4"/>
              <w:left w:val="single" w:sz="4"/>
            </w:tcBorders>
            <w:shd w:val="clear" w:color="auto" w:fill="FDFD7C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15"/>
                <w:color w:val="393708"/>
                <w:sz w:val="9"/>
                <w:szCs w:val="9"/>
              </w:rPr>
              <w:t>Specifikace - minimální požadavky zadavatele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15"/>
                <w:sz w:val="9"/>
                <w:szCs w:val="9"/>
              </w:rPr>
              <w:t>Provedení RACK mount 1U včetně ližin s ramenem pro vedeni kabelů do racku, pro přístup ke všem komponentám serveru není nutné nářadí, barevně značené hot-plug vnitřní komponenty. LCD display pro základní diagnostiku serveru.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FD7C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15"/>
                <w:color w:val="393708"/>
                <w:sz w:val="9"/>
                <w:szCs w:val="9"/>
              </w:rPr>
              <w:t>ANO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15"/>
                <w:sz w:val="9"/>
                <w:szCs w:val="9"/>
              </w:rPr>
              <w:t>Systém osazený 1x CPU min. 24 fyzickými jádry při frekvenci min. 2.8Ghz na jádro. Požadovaná cache CPU min. 128M a maximální výkon 180W. Výkon celého systému odpovídá minimálně hodnotě Base = 168 získané z měřeni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fldChar w:fldCharType="begin"/>
            </w:r>
            <w:r>
              <w:rPr/>
              <w:instrText> HYPERLINK "https://www.spec.org/cpu2017/results/rint2017.html" </w:instrText>
            </w:r>
            <w:r>
              <w:fldChar w:fldCharType="separate"/>
            </w:r>
            <w:r>
              <w:rPr>
                <w:rStyle w:val="CharStyle15"/>
                <w:sz w:val="9"/>
                <w:szCs w:val="9"/>
                <w:lang w:val="en-US" w:eastAsia="en-US" w:bidi="en-US"/>
              </w:rPr>
              <w:t>https://www.spec.org/cpu2017/results/rint2017.html</w:t>
            </w:r>
            <w:r>
              <w:fldChar w:fldCharType="end"/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FD7C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Style w:val="CharStyle15"/>
                <w:color w:val="393708"/>
                <w:sz w:val="9"/>
                <w:szCs w:val="9"/>
              </w:rPr>
              <w:t>ANO 1ks AMD EPYC 7402 24C 2.8GHz</w:t>
            </w:r>
          </w:p>
        </w:tc>
      </w:tr>
      <w:tr>
        <w:trPr>
          <w:trHeight w:val="12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15"/>
                <w:sz w:val="9"/>
                <w:szCs w:val="9"/>
              </w:rPr>
              <w:t>Min. 128 GB na frekvenci 3200MHz. požadujeme ideální rozložení paměťových modulů v návaznosti na technické požadavky paměťových kanálů daného typu server, paměť rozšiřitelná min. na 1TB typu DDR4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FD7C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Style w:val="CharStyle15"/>
                <w:color w:val="393708"/>
                <w:sz w:val="9"/>
                <w:szCs w:val="9"/>
              </w:rPr>
              <w:t>ANO 8ks 16GB RDIMM, 3200MT/s</w:t>
            </w:r>
          </w:p>
        </w:tc>
      </w:tr>
      <w:tr>
        <w:trPr>
          <w:trHeight w:val="12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15"/>
                <w:sz w:val="9"/>
                <w:szCs w:val="9"/>
              </w:rPr>
              <w:t>Server musí podporovat osazení min. 4 x 3,5 palcových disků SAS, SSD nebo ŠATA, server osazený hot-plug disky min.: 2x 1.6TB SSD SAS při splnění hodnoty DWPD 3 a min. 2x 4TB 7.2K RPM NLSAS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FD7C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15"/>
                <w:color w:val="393708"/>
                <w:sz w:val="9"/>
                <w:szCs w:val="9"/>
              </w:rPr>
              <w:t>ANO 2ks 1.6TB SSD SAS a 2ks 4TB 7.2K</w:t>
            </w:r>
          </w:p>
        </w:tc>
      </w:tr>
      <w:tr>
        <w:trPr>
          <w:trHeight w:val="8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15"/>
                <w:sz w:val="9"/>
                <w:szCs w:val="9"/>
              </w:rPr>
              <w:t>Diskový HW řadič: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15"/>
                <w:sz w:val="9"/>
                <w:szCs w:val="9"/>
              </w:rPr>
              <w:t>typu SAS, PCI Express 3.0 kompatibilní, dvoukanálový (2 konektory)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15"/>
                <w:sz w:val="9"/>
                <w:szCs w:val="9"/>
              </w:rPr>
              <w:t>podpora RAID 0.1,5, 6,10, 50. 60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15"/>
                <w:sz w:val="9"/>
                <w:szCs w:val="9"/>
              </w:rPr>
              <w:t>podpora 12Gbps SAS /6Gbps ŠATA technologie rozhraní disků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15"/>
                <w:sz w:val="9"/>
                <w:szCs w:val="9"/>
              </w:rPr>
              <w:t>podpora Auto résumé po ztrátě napájení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15"/>
                <w:sz w:val="9"/>
                <w:szCs w:val="9"/>
              </w:rPr>
              <w:t>podpora SED disků a SSD disků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FD7C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15"/>
                <w:color w:val="393708"/>
                <w:sz w:val="9"/>
                <w:szCs w:val="9"/>
              </w:rPr>
              <w:t>ANO 1 ks PERC H730P RAID Controller</w:t>
            </w:r>
          </w:p>
        </w:tc>
      </w:tr>
      <w:tr>
        <w:trPr>
          <w:trHeight w:val="120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15"/>
                <w:sz w:val="9"/>
                <w:szCs w:val="9"/>
              </w:rPr>
              <w:t>Diskový HW řadič: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15"/>
                <w:sz w:val="9"/>
                <w:szCs w:val="9"/>
              </w:rPr>
              <w:t>o typu SAS, PCI Express 3.1 kompatibilní, dvoukanálový (2 konektory)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15"/>
                <w:sz w:val="9"/>
                <w:szCs w:val="9"/>
              </w:rPr>
              <w:t>o podpora RAID 0, 1,5, 6, 10, 50, 60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15"/>
                <w:sz w:val="9"/>
                <w:szCs w:val="9"/>
              </w:rPr>
              <w:t>o podpora 12Gbps technologie rozhraní disků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15"/>
                <w:sz w:val="9"/>
                <w:szCs w:val="9"/>
              </w:rPr>
              <w:t>o podpora Auto résumé po ztrátě napájení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15"/>
                <w:sz w:val="9"/>
                <w:szCs w:val="9"/>
              </w:rPr>
              <w:t>o podpora SED disků a SSD disků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15"/>
                <w:sz w:val="9"/>
                <w:szCs w:val="9"/>
              </w:rPr>
              <w:t>o podpora S.M.A.R.T.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15"/>
                <w:sz w:val="9"/>
                <w:szCs w:val="9"/>
              </w:rPr>
              <w:t>o podpora globálního i dedikovaného hot-spare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15"/>
                <w:sz w:val="9"/>
                <w:szCs w:val="9"/>
              </w:rPr>
              <w:t>o minimálně 2GB cache typu NV (cache to flash)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FD7C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15"/>
                <w:color w:val="393708"/>
                <w:sz w:val="9"/>
                <w:szCs w:val="9"/>
              </w:rPr>
              <w:t>ANO 1ks PERC H730P RAID Controller</w:t>
            </w:r>
          </w:p>
        </w:tc>
      </w:tr>
      <w:tr>
        <w:trPr>
          <w:trHeight w:val="12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15"/>
                <w:sz w:val="9"/>
                <w:szCs w:val="9"/>
              </w:rPr>
              <w:t>Windows Server 2019 Standard pro pokrytí všech jader a včetně medií pro obnoveni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FD7C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15"/>
                <w:color w:val="393708"/>
                <w:sz w:val="9"/>
                <w:szCs w:val="9"/>
              </w:rPr>
              <w:t>ANO 1ks Windows Server 2019 Standard,16CORE + 4x2CORE AddLic</w:t>
            </w:r>
          </w:p>
        </w:tc>
      </w:tr>
      <w:tr>
        <w:trPr>
          <w:trHeight w:val="1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15"/>
                <w:sz w:val="9"/>
                <w:szCs w:val="9"/>
              </w:rPr>
              <w:t>Síťové rozhranni Min. 2x 1GbE ethernet port a Min. 2x 10/25GbSFP28 port včetně 2ks SFP+ SR modulů do serveru, 2ks SFP+ SR modulů deo Swtche (Dell Networking N4032F) a FO kabelů LC/LC 5m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FD7C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15"/>
                <w:color w:val="393708"/>
                <w:sz w:val="9"/>
                <w:szCs w:val="9"/>
              </w:rPr>
              <w:t>ANO</w:t>
            </w:r>
          </w:p>
        </w:tc>
      </w:tr>
      <w:tr>
        <w:trPr>
          <w:trHeight w:val="12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15"/>
                <w:sz w:val="9"/>
                <w:szCs w:val="9"/>
              </w:rPr>
              <w:t>Redundantní síťové napájecí zdroje s možností nastavení limitů výkonu a spotřeby v BIOSu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FD7C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15"/>
                <w:color w:val="393708"/>
                <w:sz w:val="9"/>
                <w:szCs w:val="9"/>
              </w:rPr>
              <w:t>ANO</w:t>
            </w:r>
          </w:p>
        </w:tc>
      </w:tr>
      <w:tr>
        <w:trPr>
          <w:trHeight w:val="12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15"/>
                <w:sz w:val="9"/>
                <w:szCs w:val="9"/>
              </w:rPr>
              <w:t>Interface min 3 x USB (1 vpředu. 2 vzadu) a sériový port RS232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FD7C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15"/>
                <w:color w:val="393708"/>
                <w:sz w:val="9"/>
                <w:szCs w:val="9"/>
              </w:rPr>
              <w:t>ANO</w:t>
            </w:r>
          </w:p>
        </w:tc>
      </w:tr>
      <w:tr>
        <w:trPr>
          <w:trHeight w:val="12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15"/>
                <w:sz w:val="9"/>
                <w:szCs w:val="9"/>
              </w:rPr>
              <w:t>Rozšiřující sloty Min 1x PCIe Gen4 x16 a Min. 1x PCIe Gen3 x16, podpora karet s duálními M.2 disky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FD7C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15"/>
                <w:color w:val="393708"/>
                <w:sz w:val="9"/>
                <w:szCs w:val="9"/>
              </w:rPr>
              <w:t>ANO</w:t>
            </w:r>
          </w:p>
        </w:tc>
      </w:tr>
      <w:tr>
        <w:trPr>
          <w:trHeight w:val="12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15"/>
                <w:sz w:val="9"/>
                <w:szCs w:val="9"/>
              </w:rPr>
              <w:t>Kompatibilita pro aktuální verze VMware ESX. Microsoft® Windows Server® with Hyper-V a Red Hat Ente</w:t>
            </w:r>
            <w:r>
              <w:rPr>
                <w:rStyle w:val="CharStyle15"/>
                <w:sz w:val="9"/>
                <w:szCs w:val="9"/>
                <w:u w:val="single"/>
              </w:rPr>
              <w:t>rprise Linux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FD7C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15"/>
                <w:color w:val="393708"/>
                <w:sz w:val="9"/>
                <w:szCs w:val="9"/>
              </w:rPr>
              <w:t>ANO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15"/>
                <w:sz w:val="9"/>
                <w:szCs w:val="9"/>
              </w:rPr>
              <w:t>Management serveru nezávislý na operačním systému poskytující management funkce a vlastnosti: webové rozhraní HTML5 a dedikovaná IP adresa, sledování hardwarových senzorů (teplota, napětí, stav, chybové senzory) error alerty (server reset, kritické sensorové hodnoty, atd.) za použití email traps, paging, IPv6,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FD7C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15"/>
                <w:color w:val="393708"/>
                <w:sz w:val="9"/>
                <w:szCs w:val="9"/>
              </w:rPr>
              <w:t>ANO ÍDRAC9,Enterprise 15G</w:t>
            </w:r>
          </w:p>
        </w:tc>
      </w:tr>
      <w:tr>
        <w:trPr>
          <w:trHeight w:val="12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15"/>
                <w:sz w:val="9"/>
                <w:szCs w:val="9"/>
              </w:rPr>
              <w:t>Vyžadována je schopnost monitorovat a spravovat server (hardwarová konfigurace, RAID konfigurace .server reset, reboot, power-on/off/cycle atd.)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FD7C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15"/>
                <w:color w:val="393708"/>
                <w:sz w:val="9"/>
                <w:szCs w:val="9"/>
              </w:rPr>
              <w:t>ANO ÍDRAC9,Enterprise 15G</w:t>
            </w:r>
          </w:p>
        </w:tc>
      </w:tr>
      <w:tr>
        <w:trPr>
          <w:trHeight w:val="12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15"/>
                <w:sz w:val="9"/>
                <w:szCs w:val="9"/>
              </w:rPr>
              <w:t>Management musí podporovat dvou faktorovou autentifikaci a AD/LDAP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FD7C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15"/>
                <w:color w:val="393708"/>
                <w:sz w:val="9"/>
                <w:szCs w:val="9"/>
              </w:rPr>
              <w:t>ANO ÍDRAC9,Enterprise 15G</w:t>
            </w:r>
          </w:p>
        </w:tc>
      </w:tr>
      <w:tr>
        <w:trPr>
          <w:trHeight w:val="1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15"/>
                <w:sz w:val="9"/>
                <w:szCs w:val="9"/>
              </w:rPr>
              <w:t>Záložní BIOS v dedikované ROM s možností manuálni/automatické obnovy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FD7C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15"/>
                <w:color w:val="393708"/>
                <w:sz w:val="9"/>
                <w:szCs w:val="9"/>
              </w:rPr>
              <w:t>ANO</w:t>
            </w:r>
          </w:p>
        </w:tc>
      </w:tr>
      <w:tr>
        <w:trPr>
          <w:trHeight w:val="12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15"/>
                <w:sz w:val="9"/>
                <w:szCs w:val="9"/>
              </w:rPr>
              <w:t>Vestavěné GUI s podporou HTML5 a dedikovaná IP adresa IPv4, IPv6 a nezávislý management je s dedikovaným ethernet portem, který není součástí požadovaných ethernet portů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FD7C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15"/>
                <w:color w:val="393708"/>
                <w:sz w:val="9"/>
                <w:szCs w:val="9"/>
              </w:rPr>
              <w:t>ANO ÍDRAC9,Enterprise 15G</w:t>
            </w:r>
          </w:p>
        </w:tc>
      </w:tr>
      <w:tr>
        <w:trPr>
          <w:trHeight w:val="12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15"/>
                <w:sz w:val="9"/>
                <w:szCs w:val="9"/>
              </w:rPr>
              <w:t>Instalace a konfigurace na místě včetně aktualizací všech firmware na poslední aktuální a stabilní verze, instalace konfigurace virtualizační platformy a součinnost při zařazení do stávajícího prostředí.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FD7C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Style w:val="CharStyle15"/>
                <w:color w:val="393708"/>
                <w:sz w:val="9"/>
                <w:szCs w:val="9"/>
              </w:rPr>
              <w:t>ANO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15"/>
                <w:sz w:val="9"/>
                <w:szCs w:val="9"/>
              </w:rPr>
              <w:t>Podpora na 7 let typu 24x7 s proaktivním dohledem a odstraněním závady do 4 hodin po nahlášení a identifikaci závady. Automatické zakládání servisních požadavků v případě poruchy, oprava v místě instalace, servis je poskytován výrobcem, jediné kontaktní místo pro nahlášení poruch pro všechny komponenty dodávaného systému, možnost staženi ovladačů a management software na webových stránkách po celou dobu platné podpory.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DFD7C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15"/>
                <w:color w:val="393708"/>
                <w:sz w:val="9"/>
                <w:szCs w:val="9"/>
              </w:rPr>
              <w:t>ANO ProSupport and 4Hr Mission Critical 7Y</w:t>
            </w:r>
          </w:p>
        </w:tc>
      </w:tr>
    </w:tbl>
    <w:sectPr>
      <w:footerReference w:type="default" r:id="rId10"/>
      <w:footnotePr>
        <w:pos w:val="pageBottom"/>
        <w:numFmt w:val="decimal"/>
        <w:numRestart w:val="continuous"/>
      </w:footnotePr>
      <w:pgSz w:w="16840" w:h="11900" w:orient="landscape"/>
      <w:pgMar w:top="1464" w:right="1395" w:bottom="1104" w:left="1419" w:header="1036" w:footer="676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960755</wp:posOffset>
              </wp:positionH>
              <wp:positionV relativeFrom="page">
                <wp:posOffset>10069830</wp:posOffset>
              </wp:positionV>
              <wp:extent cx="1496695" cy="10985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96695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030_2021 Výpočetní technika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75.650000000000006pt;margin-top:792.89999999999998pt;width:117.85000000000001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sz w:val="17"/>
                        <w:szCs w:val="17"/>
                      </w:rPr>
                      <w:t>030_2021 Výpočetní technika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Nadpis #1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CharStyle8">
    <w:name w:val="Záhlaví nebo zápatí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Základní text (4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3">
    <w:name w:val="Titulek tabulky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Jiné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3">
    <w:name w:val="Nadpis #2_"/>
    <w:basedOn w:val="DefaultParagraphFont"/>
    <w:link w:val="Style3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35">
    <w:name w:val="Základní text (3)_"/>
    <w:basedOn w:val="DefaultParagraphFont"/>
    <w:link w:val="Style34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37">
    <w:name w:val="Základní text (2)_"/>
    <w:basedOn w:val="DefaultParagraphFont"/>
    <w:link w:val="Style36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Nadpis #1"/>
    <w:basedOn w:val="Normal"/>
    <w:link w:val="CharStyle6"/>
    <w:pPr>
      <w:widowControl w:val="0"/>
      <w:shd w:val="clear" w:color="auto" w:fill="auto"/>
      <w:spacing w:after="10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paragraph" w:customStyle="1" w:styleId="Style7">
    <w:name w:val="Záhlaví nebo zápatí (2)"/>
    <w:basedOn w:val="Normal"/>
    <w:link w:val="CharStyle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Základní text (4)"/>
    <w:basedOn w:val="Normal"/>
    <w:link w:val="CharStyle11"/>
    <w:pPr>
      <w:widowControl w:val="0"/>
      <w:shd w:val="clear" w:color="auto" w:fill="auto"/>
      <w:spacing w:after="200"/>
      <w:ind w:right="42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12">
    <w:name w:val="Titulek tabulky"/>
    <w:basedOn w:val="Normal"/>
    <w:link w:val="CharStyle1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auto"/>
      <w:spacing w:after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32">
    <w:name w:val="Nadpis #2"/>
    <w:basedOn w:val="Normal"/>
    <w:link w:val="CharStyle33"/>
    <w:pPr>
      <w:widowControl w:val="0"/>
      <w:shd w:val="clear" w:color="auto" w:fill="auto"/>
      <w:jc w:val="center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34">
    <w:name w:val="Základní text (3)"/>
    <w:basedOn w:val="Normal"/>
    <w:link w:val="CharStyle35"/>
    <w:pPr>
      <w:widowControl w:val="0"/>
      <w:shd w:val="clear" w:color="auto" w:fill="auto"/>
      <w:spacing w:after="16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Style36">
    <w:name w:val="Základní text (2)"/>
    <w:basedOn w:val="Normal"/>
    <w:link w:val="CharStyle37"/>
    <w:pPr>
      <w:widowControl w:val="0"/>
      <w:shd w:val="clear" w:color="auto" w:fill="auto"/>
      <w:spacing w:after="5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2.png" TargetMode="External"/><Relationship Id="rId10" Type="http://schemas.openxmlformats.org/officeDocument/2006/relationships/footer" Target="footer2.xml"/></Relationships>
</file>