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36ED6" w14:textId="32DA2E0B" w:rsidR="00DD6D00" w:rsidRPr="00F27A81" w:rsidRDefault="004A02F7" w:rsidP="00B70A66">
      <w:pPr>
        <w:tabs>
          <w:tab w:val="left" w:pos="2552"/>
        </w:tabs>
        <w:spacing w:before="600"/>
        <w:rPr>
          <w:rFonts w:cs="Segoe UI"/>
        </w:rPr>
      </w:pPr>
      <w:r w:rsidRPr="00F27A81">
        <w:rPr>
          <w:rFonts w:cs="Segoe UI"/>
        </w:rPr>
        <w:t xml:space="preserve">Č. </w:t>
      </w:r>
      <w:r w:rsidR="000B3C78">
        <w:rPr>
          <w:rFonts w:cs="Segoe UI"/>
        </w:rPr>
        <w:t>s</w:t>
      </w:r>
      <w:r w:rsidR="00822556">
        <w:rPr>
          <w:rFonts w:cs="Segoe UI"/>
        </w:rPr>
        <w:t>mlouv</w:t>
      </w:r>
      <w:r w:rsidRPr="00F27A81">
        <w:rPr>
          <w:rFonts w:cs="Segoe UI"/>
        </w:rPr>
        <w:t>y:</w:t>
      </w:r>
      <w:r w:rsidRPr="00F27A81">
        <w:rPr>
          <w:rFonts w:cs="Segoe UI"/>
        </w:rPr>
        <w:tab/>
      </w:r>
      <w:r w:rsidR="00AE2F81" w:rsidRPr="00AE2F81">
        <w:rPr>
          <w:rFonts w:cs="Segoe UI"/>
        </w:rPr>
        <w:t>120</w:t>
      </w:r>
      <w:r w:rsidR="00A01332" w:rsidRPr="00AE2F81">
        <w:rPr>
          <w:rFonts w:cs="Segoe UI"/>
        </w:rPr>
        <w:t>/2021</w:t>
      </w:r>
    </w:p>
    <w:p w14:paraId="57B837B6" w14:textId="5BA5B6F1" w:rsidR="006F3A2E" w:rsidRPr="00F27A81" w:rsidRDefault="006F3A2E" w:rsidP="002216B4">
      <w:pPr>
        <w:tabs>
          <w:tab w:val="left" w:pos="2552"/>
        </w:tabs>
        <w:spacing w:before="120"/>
        <w:rPr>
          <w:rFonts w:cs="Segoe UI"/>
        </w:rPr>
      </w:pPr>
      <w:r w:rsidRPr="00F27A81">
        <w:rPr>
          <w:rFonts w:cs="Segoe UI"/>
        </w:rPr>
        <w:t xml:space="preserve">Číslo veřejné zakázky: </w:t>
      </w:r>
      <w:r w:rsidRPr="00F27A81">
        <w:rPr>
          <w:rFonts w:cs="Segoe UI"/>
        </w:rPr>
        <w:tab/>
      </w:r>
      <w:r w:rsidR="000B3C78">
        <w:rPr>
          <w:rFonts w:cs="Segoe UI"/>
        </w:rPr>
        <w:t>8</w:t>
      </w:r>
      <w:r w:rsidRPr="00F27A81">
        <w:rPr>
          <w:rFonts w:cs="Segoe UI"/>
        </w:rPr>
        <w:t>/2021</w:t>
      </w:r>
    </w:p>
    <w:p w14:paraId="0F1E3565" w14:textId="16E236C1" w:rsidR="00B727F2" w:rsidRPr="00F27A81" w:rsidRDefault="00822556" w:rsidP="004F6B56">
      <w:pPr>
        <w:pStyle w:val="Nzev"/>
        <w:spacing w:after="120"/>
        <w:jc w:val="both"/>
        <w:rPr>
          <w:rFonts w:cs="Segoe UI"/>
          <w:caps w:val="0"/>
        </w:rPr>
      </w:pPr>
      <w:r>
        <w:rPr>
          <w:rFonts w:cs="Segoe UI"/>
          <w:caps w:val="0"/>
          <w:szCs w:val="36"/>
        </w:rPr>
        <w:t>SMLOUV</w:t>
      </w:r>
      <w:r w:rsidR="00607530" w:rsidRPr="00607530">
        <w:rPr>
          <w:rFonts w:cs="Segoe UI"/>
          <w:caps w:val="0"/>
          <w:szCs w:val="36"/>
        </w:rPr>
        <w:t xml:space="preserve">A O </w:t>
      </w:r>
      <w:r w:rsidR="000B3C78">
        <w:rPr>
          <w:rFonts w:cs="Segoe UI"/>
          <w:caps w:val="0"/>
          <w:szCs w:val="36"/>
        </w:rPr>
        <w:t>ÚDRŽBĚ A ÚPRAVÁCH EKONOMICKÉHO SW ŘÍZENÍ AKCÍ</w:t>
      </w:r>
    </w:p>
    <w:p w14:paraId="14F32375" w14:textId="77777777" w:rsidR="004A02F7" w:rsidRPr="00F27A81" w:rsidRDefault="004A02F7" w:rsidP="004A02F7">
      <w:pPr>
        <w:spacing w:before="360" w:after="120"/>
        <w:rPr>
          <w:rFonts w:cs="Segoe UI"/>
          <w:b/>
          <w:caps/>
        </w:rPr>
      </w:pPr>
      <w:r w:rsidRPr="00F27A81">
        <w:rPr>
          <w:rFonts w:cs="Segoe UI"/>
          <w:b/>
          <w:caps/>
        </w:rPr>
        <w:t>Smluvní strany:</w:t>
      </w:r>
    </w:p>
    <w:p w14:paraId="7CE0371E" w14:textId="36845B5C" w:rsidR="00607530" w:rsidRPr="00607530" w:rsidRDefault="00607530" w:rsidP="004F6B56">
      <w:pPr>
        <w:rPr>
          <w:rFonts w:cs="Segoe UI"/>
          <w:b/>
          <w:iCs/>
        </w:rPr>
      </w:pPr>
      <w:r w:rsidRPr="00607530">
        <w:rPr>
          <w:rFonts w:cs="Segoe UI"/>
          <w:b/>
          <w:iCs/>
        </w:rPr>
        <w:t>Státní fond životního prostředí České republiky</w:t>
      </w:r>
    </w:p>
    <w:p w14:paraId="40AF742F" w14:textId="77777777" w:rsidR="00607530" w:rsidRPr="00607530" w:rsidRDefault="00607530" w:rsidP="00607530">
      <w:pPr>
        <w:spacing w:line="276" w:lineRule="auto"/>
        <w:jc w:val="both"/>
        <w:rPr>
          <w:rFonts w:cs="Segoe UI"/>
          <w:iCs/>
        </w:rPr>
      </w:pPr>
      <w:r w:rsidRPr="00607530">
        <w:rPr>
          <w:rFonts w:cs="Segoe UI"/>
          <w:iCs/>
        </w:rPr>
        <w:t>zřízený zákonem č. 388/1991 Sb., o Státním fondu životního prostředí České republiky</w:t>
      </w:r>
    </w:p>
    <w:p w14:paraId="2608F356" w14:textId="77777777" w:rsidR="00607530" w:rsidRPr="00607530" w:rsidRDefault="00607530" w:rsidP="00607530">
      <w:pPr>
        <w:spacing w:line="276" w:lineRule="auto"/>
        <w:jc w:val="both"/>
        <w:rPr>
          <w:rFonts w:cs="Segoe UI"/>
          <w:iCs/>
        </w:rPr>
      </w:pPr>
      <w:r w:rsidRPr="00607530">
        <w:rPr>
          <w:rFonts w:cs="Segoe UI"/>
          <w:iCs/>
        </w:rPr>
        <w:t>sídlo: Kaplanova 1931/1, 148 00 Praha 11 – Chodov</w:t>
      </w:r>
    </w:p>
    <w:p w14:paraId="406BEFED" w14:textId="77777777" w:rsidR="00607530" w:rsidRPr="00607530" w:rsidRDefault="00607530" w:rsidP="00607530">
      <w:pPr>
        <w:spacing w:line="276" w:lineRule="auto"/>
        <w:jc w:val="both"/>
        <w:rPr>
          <w:rFonts w:cs="Segoe UI"/>
          <w:iCs/>
        </w:rPr>
      </w:pPr>
      <w:r w:rsidRPr="00607530">
        <w:rPr>
          <w:rFonts w:cs="Segoe UI"/>
          <w:iCs/>
        </w:rPr>
        <w:t>korespondenční adresa: Olbrachtova 2006/9, 140 00 Praha 4 – Krč</w:t>
      </w:r>
    </w:p>
    <w:p w14:paraId="07E02E18" w14:textId="77777777" w:rsidR="00607530" w:rsidRPr="00607530" w:rsidRDefault="00607530" w:rsidP="00607530">
      <w:pPr>
        <w:spacing w:line="276" w:lineRule="auto"/>
        <w:jc w:val="both"/>
        <w:rPr>
          <w:rFonts w:cs="Segoe UI"/>
          <w:iCs/>
        </w:rPr>
      </w:pPr>
      <w:r w:rsidRPr="00607530">
        <w:rPr>
          <w:rFonts w:cs="Segoe UI"/>
          <w:iCs/>
        </w:rPr>
        <w:t>zastoupený: Ing. Petrem Valdmanem, ředitelem Státního fondu životního prostředí ČR</w:t>
      </w:r>
    </w:p>
    <w:p w14:paraId="3E54FDC6" w14:textId="77777777" w:rsidR="00607530" w:rsidRPr="00607530" w:rsidRDefault="00607530" w:rsidP="00607530">
      <w:pPr>
        <w:spacing w:line="276" w:lineRule="auto"/>
        <w:jc w:val="both"/>
        <w:rPr>
          <w:rFonts w:cs="Segoe UI"/>
          <w:iCs/>
        </w:rPr>
      </w:pPr>
      <w:r w:rsidRPr="00607530">
        <w:rPr>
          <w:rFonts w:cs="Segoe UI"/>
          <w:iCs/>
        </w:rPr>
        <w:t>IČO: 00020729</w:t>
      </w:r>
    </w:p>
    <w:p w14:paraId="5D987177" w14:textId="77777777" w:rsidR="00607530" w:rsidRPr="00607530" w:rsidRDefault="00607530" w:rsidP="00607530">
      <w:pPr>
        <w:spacing w:line="276" w:lineRule="auto"/>
        <w:jc w:val="both"/>
        <w:rPr>
          <w:rFonts w:cs="Segoe UI"/>
          <w:iCs/>
        </w:rPr>
      </w:pPr>
      <w:r w:rsidRPr="00607530">
        <w:rPr>
          <w:rFonts w:cs="Segoe UI"/>
          <w:iCs/>
        </w:rPr>
        <w:t>DIČ: není plátcem DPH</w:t>
      </w:r>
    </w:p>
    <w:p w14:paraId="3C45C895" w14:textId="77777777" w:rsidR="00607530" w:rsidRPr="00607530" w:rsidRDefault="00607530" w:rsidP="00607530">
      <w:pPr>
        <w:spacing w:line="276" w:lineRule="auto"/>
        <w:jc w:val="both"/>
        <w:rPr>
          <w:rFonts w:cs="Segoe UI"/>
          <w:iCs/>
        </w:rPr>
      </w:pPr>
      <w:r w:rsidRPr="00607530">
        <w:rPr>
          <w:rFonts w:cs="Segoe UI"/>
        </w:rPr>
        <w:t>ID datové schránky: favab6q</w:t>
      </w:r>
    </w:p>
    <w:p w14:paraId="2A246B5D" w14:textId="77777777" w:rsidR="0040178F" w:rsidRDefault="00607530" w:rsidP="00607530">
      <w:pPr>
        <w:spacing w:line="276" w:lineRule="auto"/>
        <w:jc w:val="both"/>
        <w:rPr>
          <w:rFonts w:cs="Segoe UI"/>
        </w:rPr>
      </w:pPr>
      <w:r w:rsidRPr="00607530">
        <w:rPr>
          <w:rFonts w:cs="Segoe UI"/>
        </w:rPr>
        <w:t xml:space="preserve">bankovní spojení: </w:t>
      </w:r>
      <w:r w:rsidR="0040178F" w:rsidRPr="0040178F">
        <w:rPr>
          <w:rFonts w:cs="Segoe UI"/>
          <w:highlight w:val="yellow"/>
        </w:rPr>
        <w:t>xxx</w:t>
      </w:r>
      <w:r w:rsidRPr="00607530">
        <w:rPr>
          <w:rFonts w:cs="Segoe UI"/>
        </w:rPr>
        <w:t xml:space="preserve">, č. účtu: </w:t>
      </w:r>
      <w:r w:rsidR="0040178F" w:rsidRPr="0040178F">
        <w:rPr>
          <w:rFonts w:cs="Segoe UI"/>
          <w:highlight w:val="yellow"/>
        </w:rPr>
        <w:t>xxx</w:t>
      </w:r>
      <w:r w:rsidR="0040178F" w:rsidRPr="13E267F5">
        <w:rPr>
          <w:rFonts w:cs="Segoe UI"/>
        </w:rPr>
        <w:t xml:space="preserve"> </w:t>
      </w:r>
    </w:p>
    <w:p w14:paraId="3FCB94BF" w14:textId="3CABAF88" w:rsidR="00607530" w:rsidRPr="00607530" w:rsidRDefault="00607530" w:rsidP="00607530">
      <w:pPr>
        <w:spacing w:line="276" w:lineRule="auto"/>
        <w:jc w:val="both"/>
        <w:rPr>
          <w:rFonts w:cs="Segoe UI"/>
        </w:rPr>
      </w:pPr>
      <w:r w:rsidRPr="13E267F5">
        <w:rPr>
          <w:rFonts w:cs="Segoe UI"/>
        </w:rPr>
        <w:t xml:space="preserve">kontaktní osoby pro účely </w:t>
      </w:r>
      <w:r w:rsidR="00822556" w:rsidRPr="13E267F5">
        <w:rPr>
          <w:rFonts w:cs="Segoe UI"/>
        </w:rPr>
        <w:t>Smlouv</w:t>
      </w:r>
      <w:r w:rsidRPr="13E267F5">
        <w:rPr>
          <w:rFonts w:cs="Segoe UI"/>
        </w:rPr>
        <w:t xml:space="preserve">y: </w:t>
      </w:r>
      <w:r w:rsidR="0040178F" w:rsidRPr="0040178F">
        <w:rPr>
          <w:rFonts w:cs="Segoe UI"/>
          <w:highlight w:val="yellow"/>
        </w:rPr>
        <w:t>xxx</w:t>
      </w:r>
      <w:r w:rsidR="00A1225B" w:rsidRPr="13E267F5">
        <w:rPr>
          <w:rFonts w:cs="Segoe UI"/>
        </w:rPr>
        <w:t xml:space="preserve"> </w:t>
      </w:r>
    </w:p>
    <w:p w14:paraId="1638A34B" w14:textId="55B6DD6A" w:rsidR="2E2644C4" w:rsidRDefault="4091AB08" w:rsidP="7818F059">
      <w:pPr>
        <w:spacing w:line="276" w:lineRule="auto"/>
        <w:jc w:val="both"/>
        <w:rPr>
          <w:szCs w:val="20"/>
        </w:rPr>
      </w:pPr>
      <w:r w:rsidRPr="38B39342">
        <w:rPr>
          <w:rFonts w:cs="Segoe UI"/>
          <w:szCs w:val="20"/>
        </w:rPr>
        <w:t>Bezpečnostní manažer</w:t>
      </w:r>
      <w:r w:rsidR="2E2644C4" w:rsidRPr="38B39342">
        <w:rPr>
          <w:rFonts w:cs="Segoe UI"/>
          <w:szCs w:val="20"/>
        </w:rPr>
        <w:t xml:space="preserve">: </w:t>
      </w:r>
      <w:r w:rsidR="0040178F" w:rsidRPr="0040178F">
        <w:rPr>
          <w:rFonts w:cs="Segoe UI"/>
          <w:highlight w:val="yellow"/>
        </w:rPr>
        <w:t>xxx</w:t>
      </w:r>
    </w:p>
    <w:p w14:paraId="50B89804" w14:textId="2E4A23A7" w:rsidR="00607530" w:rsidRPr="00641703" w:rsidRDefault="00607530" w:rsidP="002B61C9">
      <w:pPr>
        <w:spacing w:before="120"/>
        <w:rPr>
          <w:rFonts w:cs="Segoe UI"/>
        </w:rPr>
      </w:pPr>
      <w:r w:rsidRPr="00641703">
        <w:rPr>
          <w:rFonts w:cs="Segoe UI"/>
        </w:rPr>
        <w:t>(dále jen „</w:t>
      </w:r>
      <w:r w:rsidR="00822556" w:rsidRPr="00641703">
        <w:rPr>
          <w:rFonts w:cs="Segoe UI"/>
        </w:rPr>
        <w:t>Objednatel</w:t>
      </w:r>
      <w:r w:rsidRPr="00641703">
        <w:rPr>
          <w:rFonts w:cs="Segoe UI"/>
        </w:rPr>
        <w:t>“)</w:t>
      </w:r>
    </w:p>
    <w:p w14:paraId="40DE5739" w14:textId="77777777" w:rsidR="00273F8D" w:rsidRPr="00F27A81" w:rsidRDefault="002B61C9" w:rsidP="002B61C9">
      <w:pPr>
        <w:spacing w:before="240" w:after="240"/>
        <w:rPr>
          <w:rFonts w:cs="Segoe UI"/>
        </w:rPr>
      </w:pPr>
      <w:r w:rsidRPr="00F27A81">
        <w:rPr>
          <w:rFonts w:cs="Segoe UI"/>
        </w:rPr>
        <w:t>a</w:t>
      </w:r>
    </w:p>
    <w:p w14:paraId="62B99935" w14:textId="493C3D51" w:rsidR="00607530" w:rsidRPr="00607530" w:rsidRDefault="000B3C78" w:rsidP="13E267F5">
      <w:pPr>
        <w:rPr>
          <w:rFonts w:cs="Segoe UI"/>
          <w:b/>
          <w:bCs/>
        </w:rPr>
      </w:pPr>
      <w:r w:rsidRPr="13E267F5">
        <w:rPr>
          <w:rFonts w:cs="Segoe UI"/>
          <w:b/>
          <w:bCs/>
        </w:rPr>
        <w:t>VUSTE-APIS,</w:t>
      </w:r>
      <w:r w:rsidR="00607530" w:rsidRPr="13E267F5">
        <w:rPr>
          <w:rFonts w:cs="Segoe UI"/>
          <w:b/>
          <w:bCs/>
        </w:rPr>
        <w:t xml:space="preserve"> s.r.o.</w:t>
      </w:r>
    </w:p>
    <w:p w14:paraId="053773E1" w14:textId="60141516" w:rsidR="00607530" w:rsidRPr="00607530" w:rsidRDefault="00607530" w:rsidP="00607530">
      <w:pPr>
        <w:spacing w:line="276" w:lineRule="auto"/>
        <w:jc w:val="both"/>
        <w:rPr>
          <w:rFonts w:cs="Segoe UI"/>
        </w:rPr>
      </w:pPr>
      <w:r w:rsidRPr="00607530">
        <w:rPr>
          <w:rFonts w:cs="Segoe UI"/>
        </w:rPr>
        <w:t xml:space="preserve">zapsaná v obchodním rejstříku vedeném Městským soudem v Praze, oddíl C, vložka </w:t>
      </w:r>
      <w:r w:rsidR="000224AC">
        <w:rPr>
          <w:rFonts w:cs="Segoe UI"/>
        </w:rPr>
        <w:t>15851</w:t>
      </w:r>
      <w:r w:rsidRPr="00607530">
        <w:rPr>
          <w:rFonts w:cs="Segoe UI"/>
        </w:rPr>
        <w:t xml:space="preserve">  </w:t>
      </w:r>
    </w:p>
    <w:p w14:paraId="32C5EADB" w14:textId="1E9A5AE0" w:rsidR="00607530" w:rsidRPr="00607530" w:rsidRDefault="00607530" w:rsidP="00607530">
      <w:pPr>
        <w:spacing w:line="276" w:lineRule="auto"/>
        <w:jc w:val="both"/>
        <w:rPr>
          <w:rFonts w:cs="Segoe UI"/>
        </w:rPr>
      </w:pPr>
      <w:r w:rsidRPr="00607530">
        <w:rPr>
          <w:rFonts w:cs="Segoe UI"/>
        </w:rPr>
        <w:t>sídlo:</w:t>
      </w:r>
      <w:r w:rsidR="000B3C78">
        <w:rPr>
          <w:rFonts w:cs="Segoe UI"/>
        </w:rPr>
        <w:t xml:space="preserve"> </w:t>
      </w:r>
      <w:r w:rsidR="000B3C78" w:rsidRPr="000B3C78">
        <w:rPr>
          <w:rFonts w:cs="Segoe UI"/>
        </w:rPr>
        <w:t>Velflíkova 1428/4, 160 00 Praha</w:t>
      </w:r>
      <w:r w:rsidR="000224AC">
        <w:rPr>
          <w:rFonts w:cs="Segoe UI"/>
        </w:rPr>
        <w:t xml:space="preserve"> 6 </w:t>
      </w:r>
      <w:r w:rsidR="000224AC" w:rsidRPr="00607530">
        <w:rPr>
          <w:rFonts w:cs="Segoe UI"/>
          <w:iCs/>
        </w:rPr>
        <w:t>–</w:t>
      </w:r>
      <w:r w:rsidR="000224AC">
        <w:rPr>
          <w:rFonts w:cs="Segoe UI"/>
          <w:iCs/>
        </w:rPr>
        <w:t xml:space="preserve"> Dejvice</w:t>
      </w:r>
    </w:p>
    <w:p w14:paraId="6DCF9199" w14:textId="4A435638" w:rsidR="00607530" w:rsidRPr="00607530" w:rsidRDefault="00607530" w:rsidP="00607530">
      <w:pPr>
        <w:spacing w:line="276" w:lineRule="auto"/>
        <w:jc w:val="both"/>
        <w:rPr>
          <w:rFonts w:cs="Segoe UI"/>
          <w:iCs/>
        </w:rPr>
      </w:pPr>
      <w:r w:rsidRPr="00607530">
        <w:rPr>
          <w:rFonts w:cs="Segoe UI"/>
        </w:rPr>
        <w:t xml:space="preserve">zastoupena: </w:t>
      </w:r>
      <w:r w:rsidR="000224AC">
        <w:rPr>
          <w:rFonts w:cs="Segoe UI"/>
        </w:rPr>
        <w:t>Ing. Josefem Vančurou, CSc.,</w:t>
      </w:r>
      <w:r w:rsidRPr="00607530">
        <w:rPr>
          <w:rFonts w:cs="Segoe UI"/>
        </w:rPr>
        <w:t xml:space="preserve"> jednatelem</w:t>
      </w:r>
    </w:p>
    <w:p w14:paraId="4F1183B5" w14:textId="57F87E1C" w:rsidR="00607530" w:rsidRPr="00607530" w:rsidRDefault="00607530" w:rsidP="00607530">
      <w:pPr>
        <w:spacing w:line="276" w:lineRule="auto"/>
        <w:jc w:val="both"/>
        <w:rPr>
          <w:rFonts w:cs="Segoe UI"/>
        </w:rPr>
      </w:pPr>
      <w:r w:rsidRPr="00607530">
        <w:rPr>
          <w:rFonts w:cs="Segoe UI"/>
        </w:rPr>
        <w:t xml:space="preserve">IČO: </w:t>
      </w:r>
      <w:r w:rsidR="000B3C78" w:rsidRPr="009F5F3B">
        <w:rPr>
          <w:rFonts w:cs="Segoe UI"/>
          <w:szCs w:val="18"/>
        </w:rPr>
        <w:t>48108219</w:t>
      </w:r>
      <w:r w:rsidRPr="00607530">
        <w:rPr>
          <w:rFonts w:cs="Segoe UI"/>
        </w:rPr>
        <w:t xml:space="preserve"> </w:t>
      </w:r>
    </w:p>
    <w:p w14:paraId="6DF68A99" w14:textId="77777777" w:rsidR="00607530" w:rsidRPr="00607530" w:rsidRDefault="00607530" w:rsidP="00607530">
      <w:pPr>
        <w:spacing w:line="276" w:lineRule="auto"/>
        <w:jc w:val="both"/>
        <w:rPr>
          <w:rFonts w:cs="Segoe UI"/>
        </w:rPr>
      </w:pPr>
      <w:r w:rsidRPr="00607530">
        <w:rPr>
          <w:rFonts w:cs="Segoe UI"/>
        </w:rPr>
        <w:t>Plátce DPH: ANO</w:t>
      </w:r>
    </w:p>
    <w:p w14:paraId="262FF33D" w14:textId="24CE12B7" w:rsidR="00607530" w:rsidRPr="00607530" w:rsidRDefault="00607530" w:rsidP="00607530">
      <w:pPr>
        <w:spacing w:line="276" w:lineRule="auto"/>
        <w:jc w:val="both"/>
        <w:rPr>
          <w:rFonts w:cs="Segoe UI"/>
        </w:rPr>
      </w:pPr>
      <w:r w:rsidRPr="00607530">
        <w:rPr>
          <w:rFonts w:cs="Segoe UI"/>
        </w:rPr>
        <w:t>DIČ: CZ</w:t>
      </w:r>
      <w:r w:rsidR="000B3C78" w:rsidRPr="009F5F3B">
        <w:rPr>
          <w:rFonts w:cs="Segoe UI"/>
          <w:szCs w:val="18"/>
        </w:rPr>
        <w:t>48108219</w:t>
      </w:r>
    </w:p>
    <w:p w14:paraId="1893351E" w14:textId="3C87F939" w:rsidR="00607530" w:rsidRPr="00607530" w:rsidRDefault="00607530" w:rsidP="00607530">
      <w:pPr>
        <w:spacing w:line="276" w:lineRule="auto"/>
        <w:jc w:val="both"/>
        <w:rPr>
          <w:rFonts w:cs="Segoe UI"/>
          <w:iCs/>
        </w:rPr>
      </w:pPr>
      <w:r w:rsidRPr="00607530">
        <w:rPr>
          <w:rFonts w:cs="Segoe UI"/>
        </w:rPr>
        <w:t xml:space="preserve">ID datové schránky: </w:t>
      </w:r>
      <w:r w:rsidR="00200D7B" w:rsidRPr="00200D7B">
        <w:rPr>
          <w:rFonts w:cs="Segoe UI"/>
        </w:rPr>
        <w:t>dgwbe3e</w:t>
      </w:r>
    </w:p>
    <w:p w14:paraId="62697E16" w14:textId="628FAD24" w:rsidR="00607530" w:rsidRPr="00607530" w:rsidRDefault="00607530" w:rsidP="00607530">
      <w:pPr>
        <w:spacing w:line="276" w:lineRule="auto"/>
        <w:jc w:val="both"/>
        <w:rPr>
          <w:rFonts w:cs="Segoe UI"/>
          <w:iCs/>
        </w:rPr>
      </w:pPr>
      <w:r w:rsidRPr="00607530">
        <w:rPr>
          <w:rFonts w:cs="Segoe UI"/>
        </w:rPr>
        <w:t>bankovní spojení:</w:t>
      </w:r>
      <w:r w:rsidR="00F94F9B">
        <w:rPr>
          <w:rFonts w:cs="Segoe UI"/>
        </w:rPr>
        <w:t xml:space="preserve"> </w:t>
      </w:r>
      <w:r w:rsidR="0040178F" w:rsidRPr="0040178F">
        <w:rPr>
          <w:rFonts w:cs="Segoe UI"/>
          <w:highlight w:val="yellow"/>
        </w:rPr>
        <w:t>xxx</w:t>
      </w:r>
      <w:r w:rsidR="00EE78CF" w:rsidRPr="00EE78CF">
        <w:rPr>
          <w:rFonts w:cs="Segoe UI"/>
          <w:iCs/>
        </w:rPr>
        <w:t xml:space="preserve">, č. účtu: </w:t>
      </w:r>
      <w:r w:rsidR="0040178F" w:rsidRPr="0040178F">
        <w:rPr>
          <w:rFonts w:cs="Segoe UI"/>
          <w:highlight w:val="yellow"/>
        </w:rPr>
        <w:t>xxx</w:t>
      </w:r>
    </w:p>
    <w:p w14:paraId="2FCAC4A4" w14:textId="58CFF837" w:rsidR="00EE78CF" w:rsidRDefault="00607530" w:rsidP="00DC23CB">
      <w:pPr>
        <w:spacing w:line="276" w:lineRule="auto"/>
        <w:rPr>
          <w:rFonts w:cs="Segoe UI"/>
        </w:rPr>
      </w:pPr>
      <w:r w:rsidRPr="00607530">
        <w:rPr>
          <w:rFonts w:cs="Segoe UI"/>
          <w:iCs/>
        </w:rPr>
        <w:t xml:space="preserve">kontaktní </w:t>
      </w:r>
      <w:r w:rsidR="00EE78CF" w:rsidRPr="00607530">
        <w:rPr>
          <w:rFonts w:cs="Segoe UI"/>
          <w:iCs/>
        </w:rPr>
        <w:t>osob</w:t>
      </w:r>
      <w:r w:rsidR="00EE78CF">
        <w:rPr>
          <w:rFonts w:cs="Segoe UI"/>
          <w:iCs/>
        </w:rPr>
        <w:t>y</w:t>
      </w:r>
      <w:r w:rsidR="00EE78CF" w:rsidRPr="00607530">
        <w:rPr>
          <w:rFonts w:cs="Segoe UI"/>
          <w:iCs/>
        </w:rPr>
        <w:t xml:space="preserve"> </w:t>
      </w:r>
      <w:r w:rsidRPr="00607530">
        <w:rPr>
          <w:rFonts w:cs="Segoe UI"/>
          <w:iCs/>
        </w:rPr>
        <w:t xml:space="preserve">pro účely </w:t>
      </w:r>
      <w:r w:rsidR="00822556">
        <w:rPr>
          <w:rFonts w:cs="Segoe UI"/>
          <w:iCs/>
        </w:rPr>
        <w:t>Smlouv</w:t>
      </w:r>
      <w:r w:rsidRPr="00607530">
        <w:rPr>
          <w:rFonts w:cs="Segoe UI"/>
          <w:iCs/>
        </w:rPr>
        <w:t>y:</w:t>
      </w:r>
      <w:r w:rsidR="000224AC" w:rsidRPr="00607530">
        <w:rPr>
          <w:rFonts w:cs="Segoe UI"/>
          <w:snapToGrid w:val="0"/>
        </w:rPr>
        <w:t xml:space="preserve"> </w:t>
      </w:r>
      <w:r w:rsidR="0040178F" w:rsidRPr="0040178F">
        <w:rPr>
          <w:rFonts w:cs="Segoe UI"/>
          <w:highlight w:val="yellow"/>
        </w:rPr>
        <w:t>xxx</w:t>
      </w:r>
      <w:r w:rsidR="0040178F">
        <w:rPr>
          <w:rFonts w:cs="Segoe UI"/>
        </w:rPr>
        <w:t xml:space="preserve"> </w:t>
      </w:r>
      <w:r w:rsidR="0040178F" w:rsidRPr="0040178F">
        <w:rPr>
          <w:rFonts w:cs="Segoe UI"/>
          <w:highlight w:val="yellow"/>
        </w:rPr>
        <w:t>xxx</w:t>
      </w:r>
    </w:p>
    <w:p w14:paraId="14204979" w14:textId="2BAFB33B" w:rsidR="00607530" w:rsidRPr="00641703" w:rsidRDefault="00607530" w:rsidP="00607530">
      <w:pPr>
        <w:spacing w:before="120"/>
        <w:rPr>
          <w:rFonts w:cs="Segoe UI"/>
        </w:rPr>
      </w:pPr>
      <w:r w:rsidRPr="00641703">
        <w:rPr>
          <w:rFonts w:cs="Segoe UI"/>
        </w:rPr>
        <w:t>(dále jen „</w:t>
      </w:r>
      <w:r w:rsidR="00822556" w:rsidRPr="00641703">
        <w:rPr>
          <w:rFonts w:cs="Segoe UI"/>
        </w:rPr>
        <w:t>Poskytovatel</w:t>
      </w:r>
      <w:r w:rsidRPr="00641703">
        <w:rPr>
          <w:rFonts w:cs="Segoe UI"/>
        </w:rPr>
        <w:t>“)</w:t>
      </w:r>
    </w:p>
    <w:p w14:paraId="5AE94AA1" w14:textId="77777777" w:rsidR="00607530" w:rsidRPr="00F27A81" w:rsidRDefault="00607530" w:rsidP="006F53EB">
      <w:pPr>
        <w:spacing w:before="120"/>
        <w:rPr>
          <w:rFonts w:cs="Segoe UI"/>
          <w:b/>
          <w:i/>
          <w:iCs/>
        </w:rPr>
      </w:pPr>
    </w:p>
    <w:p w14:paraId="2387AB30" w14:textId="7D2458EB" w:rsidR="00B727F2" w:rsidRPr="00F27A81" w:rsidRDefault="00435EA1" w:rsidP="0021120F">
      <w:pPr>
        <w:pStyle w:val="Nadpis1"/>
        <w:rPr>
          <w:rFonts w:cs="Segoe UI"/>
        </w:rPr>
      </w:pPr>
      <w:r w:rsidRPr="00F27A81">
        <w:rPr>
          <w:rFonts w:cs="Segoe UI"/>
        </w:rPr>
        <w:t>P</w:t>
      </w:r>
      <w:r w:rsidR="002D4B40" w:rsidRPr="00F27A81">
        <w:rPr>
          <w:rFonts w:cs="Segoe UI"/>
        </w:rPr>
        <w:t xml:space="preserve">ředmět </w:t>
      </w:r>
      <w:r w:rsidR="00822556">
        <w:rPr>
          <w:rFonts w:cs="Segoe UI"/>
        </w:rPr>
        <w:t>Smlouv</w:t>
      </w:r>
      <w:r w:rsidR="002D4B40" w:rsidRPr="00F27A81">
        <w:rPr>
          <w:rFonts w:cs="Segoe UI"/>
        </w:rPr>
        <w:t>y</w:t>
      </w:r>
    </w:p>
    <w:p w14:paraId="78357169" w14:textId="7D01F4FA" w:rsidR="00273C5E" w:rsidRDefault="0076639B" w:rsidP="0086699A">
      <w:pPr>
        <w:pStyle w:val="Odstavecseseznamem"/>
        <w:numPr>
          <w:ilvl w:val="1"/>
          <w:numId w:val="10"/>
        </w:numPr>
        <w:tabs>
          <w:tab w:val="num" w:pos="567"/>
        </w:tabs>
        <w:spacing w:after="120"/>
        <w:ind w:left="567" w:hanging="567"/>
        <w:rPr>
          <w:rFonts w:cs="Segoe UI"/>
        </w:rPr>
      </w:pPr>
      <w:r>
        <w:rPr>
          <w:rFonts w:cs="Segoe UI"/>
        </w:rPr>
        <w:t xml:space="preserve">Předmětem této </w:t>
      </w:r>
      <w:r w:rsidR="00822556">
        <w:rPr>
          <w:rFonts w:cs="Segoe UI"/>
        </w:rPr>
        <w:t>Smlouv</w:t>
      </w:r>
      <w:r>
        <w:rPr>
          <w:rFonts w:cs="Segoe UI"/>
        </w:rPr>
        <w:t xml:space="preserve">y je </w:t>
      </w:r>
      <w:r w:rsidR="00641703">
        <w:rPr>
          <w:rFonts w:cs="Segoe UI"/>
        </w:rPr>
        <w:t>údržba, opravy a technologický upgrade programového vybavení ekonomického SW Řízení akcí</w:t>
      </w:r>
      <w:r w:rsidR="00ED3870">
        <w:rPr>
          <w:rFonts w:cs="Segoe UI"/>
        </w:rPr>
        <w:t xml:space="preserve"> (dále také jako „systém“)</w:t>
      </w:r>
      <w:r w:rsidR="00E1764F">
        <w:rPr>
          <w:rFonts w:cs="Segoe UI"/>
        </w:rPr>
        <w:t>.</w:t>
      </w:r>
      <w:r w:rsidR="00273C5E">
        <w:rPr>
          <w:rFonts w:cs="Segoe UI"/>
        </w:rPr>
        <w:t xml:space="preserve"> </w:t>
      </w:r>
      <w:r w:rsidR="00257CB8">
        <w:rPr>
          <w:rFonts w:cs="Segoe UI"/>
        </w:rPr>
        <w:t xml:space="preserve">Systém byl Objednateli dodán </w:t>
      </w:r>
      <w:r w:rsidR="00257CB8" w:rsidRPr="00257CB8">
        <w:rPr>
          <w:rFonts w:cs="Segoe UI"/>
        </w:rPr>
        <w:t xml:space="preserve">na základě smlouvy č. 40/610/99 ze dne 2. 12. 1999, smlouvy č. 10/517/2004 ze dne 7. 2. 2005, smlouvy </w:t>
      </w:r>
      <w:r w:rsidR="00257CB8" w:rsidRPr="00257CB8">
        <w:rPr>
          <w:rFonts w:cs="Segoe UI"/>
        </w:rPr>
        <w:lastRenderedPageBreak/>
        <w:t>č.</w:t>
      </w:r>
      <w:r w:rsidR="00257CB8">
        <w:rPr>
          <w:rFonts w:cs="Segoe UI"/>
        </w:rPr>
        <w:t> </w:t>
      </w:r>
      <w:r w:rsidR="00257CB8" w:rsidRPr="00257CB8">
        <w:rPr>
          <w:rFonts w:cs="Segoe UI"/>
        </w:rPr>
        <w:t>10/106/2009 ze dne 12. 6. 2009, smlouvy č. 10/402/2012 ze dne 27. 6. 2013 a souvisejících objednávek.</w:t>
      </w:r>
      <w:r w:rsidR="00257CB8">
        <w:rPr>
          <w:rFonts w:cs="Segoe UI"/>
        </w:rPr>
        <w:t xml:space="preserve"> Dále byl systém spravován Poskytovatelem na základě </w:t>
      </w:r>
      <w:r w:rsidR="00257CB8" w:rsidRPr="00257CB8">
        <w:rPr>
          <w:rFonts w:cs="Segoe UI"/>
        </w:rPr>
        <w:t>S</w:t>
      </w:r>
      <w:r w:rsidR="00257CB8">
        <w:rPr>
          <w:rFonts w:cs="Segoe UI"/>
        </w:rPr>
        <w:t>ervisní s</w:t>
      </w:r>
      <w:r w:rsidR="00257CB8" w:rsidRPr="00257CB8">
        <w:rPr>
          <w:rFonts w:cs="Segoe UI"/>
        </w:rPr>
        <w:t>mlouv</w:t>
      </w:r>
      <w:r w:rsidR="00257CB8">
        <w:rPr>
          <w:rFonts w:cs="Segoe UI"/>
        </w:rPr>
        <w:t>y</w:t>
      </w:r>
      <w:r w:rsidR="00257CB8" w:rsidRPr="00257CB8">
        <w:rPr>
          <w:rFonts w:cs="Segoe UI"/>
        </w:rPr>
        <w:t xml:space="preserve"> k autorskému SW Řízení akcí NP, OPI, GIS, NZÚ201</w:t>
      </w:r>
      <w:r w:rsidR="00257CB8">
        <w:rPr>
          <w:rFonts w:cs="Segoe UI"/>
        </w:rPr>
        <w:t xml:space="preserve"> </w:t>
      </w:r>
      <w:r w:rsidR="00257CB8">
        <w:t xml:space="preserve">č. D.229 </w:t>
      </w:r>
      <w:r w:rsidR="00257CB8">
        <w:rPr>
          <w:rFonts w:cs="Segoe UI"/>
        </w:rPr>
        <w:t xml:space="preserve">ze dne 18. 12. 2015, ve znění pozdějších dodatků. Nyní se smluvní strany dohodly na další spolupráci </w:t>
      </w:r>
      <w:r w:rsidR="00F842F0">
        <w:rPr>
          <w:rFonts w:cs="Segoe UI"/>
        </w:rPr>
        <w:t xml:space="preserve">v rámci této Smlouvy </w:t>
      </w:r>
      <w:r w:rsidR="00F842F0" w:rsidRPr="00641703">
        <w:rPr>
          <w:rFonts w:cs="Segoe UI"/>
        </w:rPr>
        <w:t>o údržbě a úpravách ekonomického SW řízení akcí</w:t>
      </w:r>
      <w:r w:rsidR="00F842F0" w:rsidRPr="000217DD">
        <w:rPr>
          <w:rFonts w:cs="Segoe UI"/>
        </w:rPr>
        <w:t xml:space="preserve"> (</w:t>
      </w:r>
      <w:r w:rsidR="00F842F0" w:rsidRPr="00641703">
        <w:rPr>
          <w:rFonts w:cs="Segoe UI"/>
        </w:rPr>
        <w:t>dále jen „Smlouva“)</w:t>
      </w:r>
      <w:r w:rsidR="00F842F0">
        <w:rPr>
          <w:rFonts w:cs="Segoe UI"/>
        </w:rPr>
        <w:t xml:space="preserve">, kterou uzavírají </w:t>
      </w:r>
      <w:r w:rsidR="00F842F0" w:rsidRPr="000217DD">
        <w:rPr>
          <w:rFonts w:cs="Segoe UI"/>
        </w:rPr>
        <w:t xml:space="preserve">v souladu s ust. § 1746 odst. 2 zákona č. 89/2012 Sb., občanský zákoník, </w:t>
      </w:r>
      <w:r w:rsidR="0086699A" w:rsidRPr="00491EB9">
        <w:t>v účinném znění</w:t>
      </w:r>
      <w:r w:rsidR="00F842F0" w:rsidRPr="000217DD">
        <w:rPr>
          <w:rFonts w:cs="Segoe UI"/>
        </w:rPr>
        <w:t xml:space="preserve"> (dále jen „občanský zákoník“)</w:t>
      </w:r>
      <w:r w:rsidR="00F842F0">
        <w:rPr>
          <w:rFonts w:cs="Segoe UI"/>
        </w:rPr>
        <w:t>.</w:t>
      </w:r>
    </w:p>
    <w:p w14:paraId="0F000B71" w14:textId="0E629D33" w:rsidR="00273C5E" w:rsidRPr="00273C5E" w:rsidRDefault="0076639B" w:rsidP="00F842F0">
      <w:pPr>
        <w:pStyle w:val="Odstavecseseznamem"/>
        <w:numPr>
          <w:ilvl w:val="1"/>
          <w:numId w:val="10"/>
        </w:numPr>
        <w:tabs>
          <w:tab w:val="num" w:pos="567"/>
        </w:tabs>
        <w:ind w:left="567" w:hanging="567"/>
        <w:contextualSpacing/>
        <w:rPr>
          <w:rFonts w:cs="Segoe UI"/>
        </w:rPr>
      </w:pPr>
      <w:r w:rsidRPr="00273C5E">
        <w:rPr>
          <w:rFonts w:cs="Segoe UI"/>
        </w:rPr>
        <w:t xml:space="preserve">Touto </w:t>
      </w:r>
      <w:r w:rsidR="00822556" w:rsidRPr="00273C5E">
        <w:rPr>
          <w:rFonts w:cs="Segoe UI"/>
        </w:rPr>
        <w:t>Smlouv</w:t>
      </w:r>
      <w:r w:rsidR="00E36D7A" w:rsidRPr="00273C5E">
        <w:rPr>
          <w:rFonts w:cs="Segoe UI"/>
        </w:rPr>
        <w:t>ou</w:t>
      </w:r>
      <w:r w:rsidR="00E94E91" w:rsidRPr="00273C5E">
        <w:rPr>
          <w:rFonts w:cs="Segoe UI"/>
        </w:rPr>
        <w:t xml:space="preserve"> se </w:t>
      </w:r>
      <w:r w:rsidR="00822556" w:rsidRPr="00273C5E">
        <w:rPr>
          <w:rFonts w:cs="Segoe UI"/>
        </w:rPr>
        <w:t>Poskytovatel</w:t>
      </w:r>
      <w:r w:rsidRPr="00273C5E">
        <w:rPr>
          <w:rFonts w:cs="Segoe UI"/>
        </w:rPr>
        <w:t xml:space="preserve"> zavazuje za sjednanou odměnu poskytovat </w:t>
      </w:r>
      <w:r w:rsidR="00822556" w:rsidRPr="00273C5E">
        <w:rPr>
          <w:rFonts w:cs="Segoe UI"/>
        </w:rPr>
        <w:t>Objednatel</w:t>
      </w:r>
      <w:r w:rsidRPr="00273C5E">
        <w:rPr>
          <w:rFonts w:cs="Segoe UI"/>
        </w:rPr>
        <w:t xml:space="preserve">i následující služby: </w:t>
      </w:r>
    </w:p>
    <w:p w14:paraId="3DE08A98" w14:textId="73A2179F" w:rsidR="00C06F74" w:rsidRDefault="00C06F74" w:rsidP="00233D22">
      <w:pPr>
        <w:pStyle w:val="slovanseznam"/>
      </w:pPr>
      <w:r w:rsidRPr="00C06F74">
        <w:t>Údržba a úpravy ekonomického SW Řízení akcí</w:t>
      </w:r>
      <w:r w:rsidR="00273C5E">
        <w:t>:</w:t>
      </w:r>
    </w:p>
    <w:p w14:paraId="2C713748" w14:textId="034C08AD" w:rsidR="00273C5E" w:rsidRDefault="00273C5E" w:rsidP="00F842F0">
      <w:pPr>
        <w:pStyle w:val="slovanseznam"/>
        <w:numPr>
          <w:ilvl w:val="0"/>
          <w:numId w:val="25"/>
        </w:numPr>
      </w:pPr>
      <w:r w:rsidRPr="00273C5E">
        <w:t>úpravy pro NP/NPŽP (pro výzvy, které jsou administrovány v prostředí Notes) a</w:t>
      </w:r>
      <w:r>
        <w:t> </w:t>
      </w:r>
      <w:r w:rsidRPr="00273C5E">
        <w:t>NZÚ2013, které vyplývají z běžné podpory uživatelů, z kontrolních porovnávání s</w:t>
      </w:r>
      <w:r>
        <w:t> </w:t>
      </w:r>
      <w:r w:rsidRPr="00273C5E">
        <w:t>výsledky čtvrtletních uzávěrek v účetnictví, nastavení tabulek pro další rok a případně nové požadavky, které mohou vzniknout v souvislosti s projekty evidovanými v nových opatřeních NP/NPŽP nebo nové požadavky na doplnění sestav a reportů podle dalších výběrových kritérií.</w:t>
      </w:r>
    </w:p>
    <w:p w14:paraId="6B66DF49" w14:textId="65817319" w:rsidR="00273C5E" w:rsidRPr="00FA5E13" w:rsidRDefault="00273C5E" w:rsidP="00273C5E">
      <w:pPr>
        <w:pStyle w:val="slovanseznam"/>
      </w:pPr>
      <w:r w:rsidRPr="00FA5E13">
        <w:t>Technologický upgrade a migrace současných aplikací řízení akcí do prostředí Oracle</w:t>
      </w:r>
      <w:r w:rsidR="00D60869">
        <w:t xml:space="preserve">. </w:t>
      </w:r>
      <w:r w:rsidR="00D60869" w:rsidRPr="00D60869">
        <w:t>Migrace aplikací bude probíhat v novém prostředí aplikačního a datového serveru ORACLE, kde bude předávána postupně a postupně testována a uživatelsky ověřována. Teprve po pilotním provozu a integračních testech bude stávající aplikace NARÁZ nahrazena novou aplikaci v prostředí ORACLE.</w:t>
      </w:r>
      <w:r w:rsidR="004027A8" w:rsidRPr="00FA5E13">
        <w:t xml:space="preserve"> </w:t>
      </w:r>
      <w:r w:rsidR="00D60869">
        <w:t xml:space="preserve">Migrace </w:t>
      </w:r>
      <w:r w:rsidR="004027A8" w:rsidRPr="00FA5E13">
        <w:t>proběhne v následujících etapách</w:t>
      </w:r>
      <w:r w:rsidRPr="00FA5E13">
        <w:t>:</w:t>
      </w:r>
    </w:p>
    <w:p w14:paraId="66DD0E68" w14:textId="5002CA83" w:rsidR="00273C5E" w:rsidRPr="009A1179" w:rsidRDefault="00273C5E" w:rsidP="00F842F0">
      <w:pPr>
        <w:pStyle w:val="slovanseznam"/>
        <w:numPr>
          <w:ilvl w:val="0"/>
          <w:numId w:val="25"/>
        </w:numPr>
      </w:pPr>
      <w:r>
        <w:t xml:space="preserve">migrace </w:t>
      </w:r>
      <w:r>
        <w:rPr>
          <w:rFonts w:cs="Segoe UI"/>
          <w:szCs w:val="18"/>
        </w:rPr>
        <w:t>„aktivních“ aplikací na webovou platformu (č</w:t>
      </w:r>
      <w:r w:rsidRPr="007F3542">
        <w:rPr>
          <w:rFonts w:cs="Segoe UI"/>
          <w:szCs w:val="18"/>
        </w:rPr>
        <w:t>ást 1</w:t>
      </w:r>
      <w:r>
        <w:rPr>
          <w:rFonts w:cs="Segoe UI"/>
          <w:szCs w:val="18"/>
        </w:rPr>
        <w:t xml:space="preserve"> až 4)</w:t>
      </w:r>
      <w:r w:rsidR="009A1179">
        <w:rPr>
          <w:rFonts w:cs="Segoe UI"/>
          <w:szCs w:val="18"/>
        </w:rPr>
        <w:t>:</w:t>
      </w:r>
    </w:p>
    <w:p w14:paraId="31866D6A" w14:textId="556DB734" w:rsidR="009A1179" w:rsidRDefault="009A1179" w:rsidP="009A1179">
      <w:pPr>
        <w:pStyle w:val="slovanseznam"/>
        <w:numPr>
          <w:ilvl w:val="0"/>
          <w:numId w:val="0"/>
        </w:numPr>
        <w:ind w:left="1494"/>
        <w:rPr>
          <w:rFonts w:cs="Segoe UI"/>
          <w:szCs w:val="18"/>
        </w:rPr>
      </w:pPr>
      <w:r>
        <w:rPr>
          <w:rFonts w:cs="Segoe UI"/>
          <w:szCs w:val="18"/>
        </w:rPr>
        <w:t>Část 1</w:t>
      </w:r>
    </w:p>
    <w:tbl>
      <w:tblPr>
        <w:tblStyle w:val="Mkatabulky"/>
        <w:tblW w:w="0" w:type="auto"/>
        <w:tblInd w:w="1494" w:type="dxa"/>
        <w:tblLook w:val="04A0" w:firstRow="1" w:lastRow="0" w:firstColumn="1" w:lastColumn="0" w:noHBand="0" w:noVBand="1"/>
      </w:tblPr>
      <w:tblGrid>
        <w:gridCol w:w="3788"/>
        <w:gridCol w:w="3778"/>
      </w:tblGrid>
      <w:tr w:rsidR="009A1179" w14:paraId="2323A109" w14:textId="77777777" w:rsidTr="009A1179">
        <w:tc>
          <w:tcPr>
            <w:tcW w:w="4530" w:type="dxa"/>
            <w:shd w:val="clear" w:color="auto" w:fill="D9D9D9" w:themeFill="background1" w:themeFillShade="D9"/>
          </w:tcPr>
          <w:p w14:paraId="5003D9FF" w14:textId="6B466A0C" w:rsidR="009A1179" w:rsidRPr="009A1179" w:rsidRDefault="009A1179" w:rsidP="009A1179">
            <w:pPr>
              <w:pStyle w:val="slovanseznam"/>
              <w:numPr>
                <w:ilvl w:val="0"/>
                <w:numId w:val="0"/>
              </w:numPr>
              <w:jc w:val="left"/>
              <w:rPr>
                <w:b/>
                <w:bCs/>
              </w:rPr>
            </w:pPr>
            <w:r w:rsidRPr="009A1179">
              <w:rPr>
                <w:b/>
                <w:bCs/>
              </w:rPr>
              <w:t>Etapa</w:t>
            </w:r>
          </w:p>
        </w:tc>
        <w:tc>
          <w:tcPr>
            <w:tcW w:w="4530" w:type="dxa"/>
            <w:shd w:val="clear" w:color="auto" w:fill="D9D9D9" w:themeFill="background1" w:themeFillShade="D9"/>
          </w:tcPr>
          <w:p w14:paraId="3ECEEB3F" w14:textId="64C94867" w:rsidR="009A1179" w:rsidRPr="009A1179" w:rsidRDefault="009A1179" w:rsidP="009A1179">
            <w:pPr>
              <w:pStyle w:val="slovanseznam"/>
              <w:numPr>
                <w:ilvl w:val="0"/>
                <w:numId w:val="0"/>
              </w:numPr>
              <w:jc w:val="left"/>
              <w:rPr>
                <w:b/>
                <w:bCs/>
              </w:rPr>
            </w:pPr>
            <w:r w:rsidRPr="009A1179">
              <w:rPr>
                <w:b/>
                <w:bCs/>
              </w:rPr>
              <w:t>Výstupy</w:t>
            </w:r>
          </w:p>
        </w:tc>
      </w:tr>
      <w:tr w:rsidR="009A1179" w14:paraId="003284B7" w14:textId="77777777" w:rsidTr="00C51192">
        <w:tc>
          <w:tcPr>
            <w:tcW w:w="4530" w:type="dxa"/>
            <w:vAlign w:val="center"/>
          </w:tcPr>
          <w:p w14:paraId="28E5A53F" w14:textId="7F9CCF36" w:rsidR="009A1179" w:rsidRDefault="009A1179" w:rsidP="00C51192">
            <w:pPr>
              <w:pStyle w:val="slovanseznam"/>
              <w:numPr>
                <w:ilvl w:val="0"/>
                <w:numId w:val="0"/>
              </w:numPr>
              <w:jc w:val="left"/>
            </w:pPr>
            <w:r w:rsidRPr="009A1179">
              <w:t>Příprava prostředí (číselníky, propojení ŘA apod.)</w:t>
            </w:r>
          </w:p>
        </w:tc>
        <w:tc>
          <w:tcPr>
            <w:tcW w:w="4530" w:type="dxa"/>
            <w:vAlign w:val="center"/>
          </w:tcPr>
          <w:p w14:paraId="0D012699" w14:textId="1260317B" w:rsidR="009A1179" w:rsidRDefault="009A1179" w:rsidP="00C51192">
            <w:pPr>
              <w:pStyle w:val="slovanseznam"/>
              <w:numPr>
                <w:ilvl w:val="0"/>
                <w:numId w:val="0"/>
              </w:numPr>
              <w:jc w:val="left"/>
            </w:pPr>
            <w:r w:rsidRPr="009A1179">
              <w:t>Struktura databáze v Oracle</w:t>
            </w:r>
          </w:p>
        </w:tc>
      </w:tr>
    </w:tbl>
    <w:p w14:paraId="6D1A2C17" w14:textId="254F334E" w:rsidR="009A1179" w:rsidRDefault="009A1179" w:rsidP="009A1179">
      <w:pPr>
        <w:pStyle w:val="slovanseznam"/>
        <w:numPr>
          <w:ilvl w:val="0"/>
          <w:numId w:val="0"/>
        </w:numPr>
        <w:ind w:left="1494"/>
      </w:pPr>
      <w:r>
        <w:t>Část 2</w:t>
      </w:r>
    </w:p>
    <w:tbl>
      <w:tblPr>
        <w:tblStyle w:val="Mkatabulky"/>
        <w:tblW w:w="0" w:type="auto"/>
        <w:tblInd w:w="1494" w:type="dxa"/>
        <w:tblLook w:val="04A0" w:firstRow="1" w:lastRow="0" w:firstColumn="1" w:lastColumn="0" w:noHBand="0" w:noVBand="1"/>
      </w:tblPr>
      <w:tblGrid>
        <w:gridCol w:w="3788"/>
        <w:gridCol w:w="3778"/>
      </w:tblGrid>
      <w:tr w:rsidR="009A1179" w14:paraId="3B6ABA3C" w14:textId="77777777" w:rsidTr="009A1179">
        <w:tc>
          <w:tcPr>
            <w:tcW w:w="3788" w:type="dxa"/>
            <w:shd w:val="clear" w:color="auto" w:fill="D9D9D9" w:themeFill="background1" w:themeFillShade="D9"/>
          </w:tcPr>
          <w:p w14:paraId="65B1FB27" w14:textId="77777777" w:rsidR="009A1179" w:rsidRPr="009A1179" w:rsidRDefault="009A1179" w:rsidP="000F5F58">
            <w:pPr>
              <w:pStyle w:val="slovanseznam"/>
              <w:numPr>
                <w:ilvl w:val="0"/>
                <w:numId w:val="0"/>
              </w:numPr>
              <w:jc w:val="left"/>
              <w:rPr>
                <w:b/>
                <w:bCs/>
              </w:rPr>
            </w:pPr>
            <w:r w:rsidRPr="009A1179">
              <w:rPr>
                <w:b/>
                <w:bCs/>
              </w:rPr>
              <w:t>Etapa</w:t>
            </w:r>
          </w:p>
        </w:tc>
        <w:tc>
          <w:tcPr>
            <w:tcW w:w="3778" w:type="dxa"/>
            <w:shd w:val="clear" w:color="auto" w:fill="D9D9D9" w:themeFill="background1" w:themeFillShade="D9"/>
          </w:tcPr>
          <w:p w14:paraId="77FCE1AE" w14:textId="77777777" w:rsidR="009A1179" w:rsidRPr="009A1179" w:rsidRDefault="009A1179" w:rsidP="000F5F58">
            <w:pPr>
              <w:pStyle w:val="slovanseznam"/>
              <w:numPr>
                <w:ilvl w:val="0"/>
                <w:numId w:val="0"/>
              </w:numPr>
              <w:jc w:val="left"/>
              <w:rPr>
                <w:b/>
                <w:bCs/>
              </w:rPr>
            </w:pPr>
            <w:r w:rsidRPr="009A1179">
              <w:rPr>
                <w:b/>
                <w:bCs/>
              </w:rPr>
              <w:t>Výstupy</w:t>
            </w:r>
          </w:p>
        </w:tc>
      </w:tr>
      <w:tr w:rsidR="009A1179" w14:paraId="4F7DCB8B" w14:textId="77777777" w:rsidTr="00C51192">
        <w:tc>
          <w:tcPr>
            <w:tcW w:w="3788" w:type="dxa"/>
            <w:vAlign w:val="center"/>
          </w:tcPr>
          <w:p w14:paraId="08776A8A" w14:textId="184CCA2D" w:rsidR="009A1179" w:rsidRDefault="009A1179" w:rsidP="00C51192">
            <w:pPr>
              <w:pStyle w:val="slovanseznam"/>
              <w:numPr>
                <w:ilvl w:val="0"/>
                <w:numId w:val="0"/>
              </w:numPr>
              <w:jc w:val="left"/>
            </w:pPr>
            <w:r>
              <w:rPr>
                <w:szCs w:val="20"/>
              </w:rPr>
              <w:t xml:space="preserve">Návrh databáze pro aplikaci ŘANP </w:t>
            </w:r>
          </w:p>
        </w:tc>
        <w:tc>
          <w:tcPr>
            <w:tcW w:w="3778" w:type="dxa"/>
            <w:vAlign w:val="center"/>
          </w:tcPr>
          <w:p w14:paraId="683EE255" w14:textId="538B27FD" w:rsidR="009A1179" w:rsidRDefault="009A1179" w:rsidP="00C51192">
            <w:pPr>
              <w:pStyle w:val="slovanseznam"/>
              <w:numPr>
                <w:ilvl w:val="0"/>
                <w:numId w:val="0"/>
              </w:numPr>
              <w:jc w:val="left"/>
            </w:pPr>
            <w:r>
              <w:rPr>
                <w:szCs w:val="20"/>
              </w:rPr>
              <w:t xml:space="preserve">Struktura databáze v Oracle </w:t>
            </w:r>
          </w:p>
        </w:tc>
      </w:tr>
      <w:tr w:rsidR="009A1179" w14:paraId="7235ECF9" w14:textId="77777777" w:rsidTr="00C51192">
        <w:tc>
          <w:tcPr>
            <w:tcW w:w="3788" w:type="dxa"/>
            <w:vAlign w:val="center"/>
          </w:tcPr>
          <w:p w14:paraId="46DE6956" w14:textId="5F885E41" w:rsidR="009A1179" w:rsidRPr="009A1179" w:rsidRDefault="009A1179" w:rsidP="00C51192">
            <w:pPr>
              <w:pStyle w:val="slovanseznam"/>
              <w:numPr>
                <w:ilvl w:val="0"/>
                <w:numId w:val="0"/>
              </w:numPr>
              <w:jc w:val="left"/>
              <w:rPr>
                <w:i/>
                <w:iCs/>
              </w:rPr>
            </w:pPr>
            <w:r w:rsidRPr="009A1179">
              <w:rPr>
                <w:i/>
                <w:iCs/>
              </w:rPr>
              <w:t>Integrace vazeb s rozhraním EIS</w:t>
            </w:r>
          </w:p>
        </w:tc>
        <w:tc>
          <w:tcPr>
            <w:tcW w:w="3778" w:type="dxa"/>
            <w:vAlign w:val="center"/>
          </w:tcPr>
          <w:p w14:paraId="5D7BD20C" w14:textId="0D94DD60" w:rsidR="009A1179" w:rsidRPr="009A1179" w:rsidRDefault="009A1179" w:rsidP="00C51192">
            <w:pPr>
              <w:pStyle w:val="slovanseznam"/>
              <w:numPr>
                <w:ilvl w:val="0"/>
                <w:numId w:val="0"/>
              </w:numPr>
              <w:jc w:val="left"/>
              <w:rPr>
                <w:i/>
                <w:iCs/>
              </w:rPr>
            </w:pPr>
            <w:r w:rsidRPr="009A1179">
              <w:rPr>
                <w:i/>
                <w:iCs/>
              </w:rPr>
              <w:t>Integrace vazeb s rozhraním EIS</w:t>
            </w:r>
          </w:p>
        </w:tc>
      </w:tr>
      <w:tr w:rsidR="009A1179" w14:paraId="051D2BC0" w14:textId="77777777" w:rsidTr="00C51192">
        <w:tc>
          <w:tcPr>
            <w:tcW w:w="3788" w:type="dxa"/>
            <w:vAlign w:val="center"/>
          </w:tcPr>
          <w:p w14:paraId="19D10BC3" w14:textId="45B37BEF" w:rsidR="009A1179" w:rsidRPr="009A1179" w:rsidRDefault="009A1179" w:rsidP="00C51192">
            <w:pPr>
              <w:pStyle w:val="slovanseznam"/>
              <w:numPr>
                <w:ilvl w:val="0"/>
                <w:numId w:val="0"/>
              </w:numPr>
              <w:jc w:val="left"/>
            </w:pPr>
            <w:r>
              <w:rPr>
                <w:szCs w:val="20"/>
              </w:rPr>
              <w:t xml:space="preserve">Převod nočních součtů pro ŘANP do databáze Oracle </w:t>
            </w:r>
          </w:p>
        </w:tc>
        <w:tc>
          <w:tcPr>
            <w:tcW w:w="3778" w:type="dxa"/>
            <w:vAlign w:val="center"/>
          </w:tcPr>
          <w:p w14:paraId="03BD02B2" w14:textId="11A66894" w:rsidR="009A1179" w:rsidRPr="009A1179" w:rsidRDefault="009A1179" w:rsidP="00C51192">
            <w:pPr>
              <w:pStyle w:val="slovanseznam"/>
              <w:numPr>
                <w:ilvl w:val="0"/>
                <w:numId w:val="0"/>
              </w:numPr>
              <w:jc w:val="left"/>
            </w:pPr>
            <w:r>
              <w:rPr>
                <w:szCs w:val="20"/>
              </w:rPr>
              <w:t xml:space="preserve">Procedura v databázi v Oracle </w:t>
            </w:r>
          </w:p>
        </w:tc>
      </w:tr>
      <w:tr w:rsidR="009A1179" w14:paraId="56D7037F" w14:textId="77777777" w:rsidTr="00C51192">
        <w:tc>
          <w:tcPr>
            <w:tcW w:w="3788" w:type="dxa"/>
            <w:vAlign w:val="center"/>
          </w:tcPr>
          <w:p w14:paraId="6EE47DF3" w14:textId="3806A6B2" w:rsidR="009A1179" w:rsidRPr="009A1179" w:rsidRDefault="009A1179" w:rsidP="00C51192">
            <w:pPr>
              <w:pStyle w:val="slovanseznam"/>
              <w:numPr>
                <w:ilvl w:val="0"/>
                <w:numId w:val="0"/>
              </w:numPr>
              <w:jc w:val="left"/>
            </w:pPr>
            <w:r>
              <w:rPr>
                <w:szCs w:val="20"/>
              </w:rPr>
              <w:t xml:space="preserve">Úprava aplikace ŘANP </w:t>
            </w:r>
          </w:p>
        </w:tc>
        <w:tc>
          <w:tcPr>
            <w:tcW w:w="3778" w:type="dxa"/>
            <w:vAlign w:val="center"/>
          </w:tcPr>
          <w:p w14:paraId="4EC0D5CD" w14:textId="7235C597" w:rsidR="009A1179" w:rsidRPr="009A1179" w:rsidRDefault="009A1179" w:rsidP="00C51192">
            <w:pPr>
              <w:pStyle w:val="slovanseznam"/>
              <w:numPr>
                <w:ilvl w:val="0"/>
                <w:numId w:val="0"/>
              </w:numPr>
              <w:jc w:val="left"/>
            </w:pPr>
            <w:r>
              <w:rPr>
                <w:szCs w:val="20"/>
              </w:rPr>
              <w:t xml:space="preserve">Nová aplikace ŘANP v ORACLE </w:t>
            </w:r>
          </w:p>
        </w:tc>
      </w:tr>
      <w:tr w:rsidR="009A1179" w14:paraId="09CA27F7" w14:textId="77777777" w:rsidTr="00C51192">
        <w:tc>
          <w:tcPr>
            <w:tcW w:w="3788" w:type="dxa"/>
            <w:vAlign w:val="center"/>
          </w:tcPr>
          <w:p w14:paraId="11ADF9CE" w14:textId="37E95FF1" w:rsidR="009A1179" w:rsidRPr="009A1179" w:rsidRDefault="009A1179" w:rsidP="00C51192">
            <w:pPr>
              <w:pStyle w:val="slovanseznam"/>
              <w:numPr>
                <w:ilvl w:val="0"/>
                <w:numId w:val="0"/>
              </w:numPr>
              <w:jc w:val="left"/>
            </w:pPr>
            <w:r>
              <w:rPr>
                <w:szCs w:val="20"/>
              </w:rPr>
              <w:t xml:space="preserve">Optimalizace výpočtu karet akcí, sankcí, čtvrtletní uzávěrky </w:t>
            </w:r>
          </w:p>
        </w:tc>
        <w:tc>
          <w:tcPr>
            <w:tcW w:w="3778" w:type="dxa"/>
            <w:vAlign w:val="center"/>
          </w:tcPr>
          <w:p w14:paraId="5A54FF11" w14:textId="3E9921E0" w:rsidR="009A1179" w:rsidRPr="009A1179" w:rsidRDefault="009A1179" w:rsidP="00C51192">
            <w:pPr>
              <w:pStyle w:val="slovanseznam"/>
              <w:numPr>
                <w:ilvl w:val="0"/>
                <w:numId w:val="0"/>
              </w:numPr>
              <w:jc w:val="left"/>
            </w:pPr>
            <w:r>
              <w:rPr>
                <w:szCs w:val="20"/>
              </w:rPr>
              <w:t xml:space="preserve">Přesun funkcí pro náročnější výpočty z aplikace do databáze </w:t>
            </w:r>
          </w:p>
        </w:tc>
      </w:tr>
      <w:tr w:rsidR="009A1179" w14:paraId="4E93EC6C" w14:textId="77777777" w:rsidTr="00C51192">
        <w:tc>
          <w:tcPr>
            <w:tcW w:w="3788" w:type="dxa"/>
            <w:vAlign w:val="center"/>
          </w:tcPr>
          <w:p w14:paraId="2B6BDAB7" w14:textId="6FF54FAE" w:rsidR="009A1179" w:rsidRPr="009A1179" w:rsidRDefault="009A1179" w:rsidP="00C51192">
            <w:pPr>
              <w:pStyle w:val="slovanseznam"/>
              <w:numPr>
                <w:ilvl w:val="0"/>
                <w:numId w:val="0"/>
              </w:numPr>
              <w:jc w:val="left"/>
            </w:pPr>
            <w:r>
              <w:rPr>
                <w:szCs w:val="20"/>
              </w:rPr>
              <w:t xml:space="preserve">Test aplikace v testovacím prostředí </w:t>
            </w:r>
          </w:p>
        </w:tc>
        <w:tc>
          <w:tcPr>
            <w:tcW w:w="3778" w:type="dxa"/>
            <w:vAlign w:val="center"/>
          </w:tcPr>
          <w:p w14:paraId="63B269DB" w14:textId="77777777" w:rsidR="009A1179" w:rsidRPr="009A1179" w:rsidRDefault="009A1179" w:rsidP="00C51192">
            <w:pPr>
              <w:pStyle w:val="slovanseznam"/>
              <w:numPr>
                <w:ilvl w:val="0"/>
                <w:numId w:val="0"/>
              </w:numPr>
              <w:jc w:val="left"/>
            </w:pPr>
          </w:p>
        </w:tc>
      </w:tr>
      <w:tr w:rsidR="009A1179" w14:paraId="07D57713" w14:textId="77777777" w:rsidTr="00C51192">
        <w:tc>
          <w:tcPr>
            <w:tcW w:w="3788" w:type="dxa"/>
            <w:vAlign w:val="center"/>
          </w:tcPr>
          <w:p w14:paraId="4F4B2326" w14:textId="30FEC25E" w:rsidR="009A1179" w:rsidRPr="009A1179" w:rsidRDefault="009A1179" w:rsidP="00C51192">
            <w:pPr>
              <w:pStyle w:val="slovanseznam"/>
              <w:numPr>
                <w:ilvl w:val="0"/>
                <w:numId w:val="0"/>
              </w:numPr>
              <w:jc w:val="left"/>
            </w:pPr>
            <w:r>
              <w:rPr>
                <w:szCs w:val="20"/>
              </w:rPr>
              <w:t xml:space="preserve">Migrace a náběh produkčního prostředí </w:t>
            </w:r>
          </w:p>
        </w:tc>
        <w:tc>
          <w:tcPr>
            <w:tcW w:w="3778" w:type="dxa"/>
            <w:vAlign w:val="center"/>
          </w:tcPr>
          <w:p w14:paraId="10903888" w14:textId="77777777" w:rsidR="009A1179" w:rsidRPr="009A1179" w:rsidRDefault="009A1179" w:rsidP="00C51192">
            <w:pPr>
              <w:pStyle w:val="slovanseznam"/>
              <w:numPr>
                <w:ilvl w:val="0"/>
                <w:numId w:val="0"/>
              </w:numPr>
              <w:jc w:val="left"/>
            </w:pPr>
          </w:p>
        </w:tc>
      </w:tr>
    </w:tbl>
    <w:p w14:paraId="6A6FFFB7" w14:textId="3C0A5E98" w:rsidR="009A1179" w:rsidRDefault="009A1179" w:rsidP="009A1179">
      <w:pPr>
        <w:pStyle w:val="slovanseznam"/>
        <w:numPr>
          <w:ilvl w:val="0"/>
          <w:numId w:val="0"/>
        </w:numPr>
        <w:ind w:left="1494"/>
      </w:pPr>
      <w:r>
        <w:t>Část 3</w:t>
      </w:r>
    </w:p>
    <w:tbl>
      <w:tblPr>
        <w:tblStyle w:val="Mkatabulky"/>
        <w:tblW w:w="0" w:type="auto"/>
        <w:tblInd w:w="1494" w:type="dxa"/>
        <w:tblLook w:val="04A0" w:firstRow="1" w:lastRow="0" w:firstColumn="1" w:lastColumn="0" w:noHBand="0" w:noVBand="1"/>
      </w:tblPr>
      <w:tblGrid>
        <w:gridCol w:w="3783"/>
        <w:gridCol w:w="3783"/>
      </w:tblGrid>
      <w:tr w:rsidR="009A1179" w14:paraId="74B93D09" w14:textId="77777777" w:rsidTr="009A1179">
        <w:tc>
          <w:tcPr>
            <w:tcW w:w="3783" w:type="dxa"/>
            <w:shd w:val="clear" w:color="auto" w:fill="D9D9D9" w:themeFill="background1" w:themeFillShade="D9"/>
          </w:tcPr>
          <w:p w14:paraId="3B73C559" w14:textId="0BF0107D" w:rsidR="009A1179" w:rsidRDefault="009A1179" w:rsidP="009A1179">
            <w:pPr>
              <w:pStyle w:val="slovanseznam"/>
              <w:numPr>
                <w:ilvl w:val="0"/>
                <w:numId w:val="0"/>
              </w:numPr>
            </w:pPr>
            <w:r w:rsidRPr="009A1179">
              <w:rPr>
                <w:b/>
                <w:bCs/>
              </w:rPr>
              <w:t>Etapa</w:t>
            </w:r>
          </w:p>
        </w:tc>
        <w:tc>
          <w:tcPr>
            <w:tcW w:w="3783" w:type="dxa"/>
            <w:shd w:val="clear" w:color="auto" w:fill="D9D9D9" w:themeFill="background1" w:themeFillShade="D9"/>
          </w:tcPr>
          <w:p w14:paraId="6366AAF4" w14:textId="13B53B85" w:rsidR="009A1179" w:rsidRDefault="009A1179" w:rsidP="009A1179">
            <w:pPr>
              <w:pStyle w:val="slovanseznam"/>
              <w:numPr>
                <w:ilvl w:val="0"/>
                <w:numId w:val="0"/>
              </w:numPr>
            </w:pPr>
            <w:r w:rsidRPr="009A1179">
              <w:rPr>
                <w:b/>
                <w:bCs/>
              </w:rPr>
              <w:t>Výstupy</w:t>
            </w:r>
          </w:p>
        </w:tc>
      </w:tr>
      <w:tr w:rsidR="009A1179" w14:paraId="0ED04EB0" w14:textId="77777777" w:rsidTr="00C51192">
        <w:tc>
          <w:tcPr>
            <w:tcW w:w="3783" w:type="dxa"/>
            <w:vAlign w:val="center"/>
          </w:tcPr>
          <w:p w14:paraId="01677FC7" w14:textId="30F0E742" w:rsidR="009A1179" w:rsidRDefault="009A1179" w:rsidP="00C51192">
            <w:pPr>
              <w:pStyle w:val="slovanseznam"/>
              <w:numPr>
                <w:ilvl w:val="0"/>
                <w:numId w:val="0"/>
              </w:numPr>
              <w:jc w:val="left"/>
            </w:pPr>
            <w:r>
              <w:rPr>
                <w:szCs w:val="20"/>
              </w:rPr>
              <w:lastRenderedPageBreak/>
              <w:t xml:space="preserve">Návrh databáze pro aplikaci ŘANP – součty RA3 </w:t>
            </w:r>
          </w:p>
        </w:tc>
        <w:tc>
          <w:tcPr>
            <w:tcW w:w="3783" w:type="dxa"/>
            <w:vAlign w:val="center"/>
          </w:tcPr>
          <w:p w14:paraId="7A9DB25B" w14:textId="24E48EAB" w:rsidR="009A1179" w:rsidRDefault="009A1179" w:rsidP="00C51192">
            <w:pPr>
              <w:pStyle w:val="slovanseznam"/>
              <w:numPr>
                <w:ilvl w:val="0"/>
                <w:numId w:val="0"/>
              </w:numPr>
              <w:jc w:val="left"/>
            </w:pPr>
            <w:r>
              <w:rPr>
                <w:szCs w:val="20"/>
              </w:rPr>
              <w:t xml:space="preserve">Struktura databáze v Oracle </w:t>
            </w:r>
          </w:p>
        </w:tc>
      </w:tr>
      <w:tr w:rsidR="009A1179" w14:paraId="43D9BCEC" w14:textId="77777777" w:rsidTr="00C51192">
        <w:tc>
          <w:tcPr>
            <w:tcW w:w="3783" w:type="dxa"/>
            <w:vAlign w:val="center"/>
          </w:tcPr>
          <w:p w14:paraId="68677E17" w14:textId="594D006C" w:rsidR="009A1179" w:rsidRDefault="009A1179" w:rsidP="00C51192">
            <w:pPr>
              <w:pStyle w:val="slovanseznam"/>
              <w:numPr>
                <w:ilvl w:val="0"/>
                <w:numId w:val="0"/>
              </w:numPr>
              <w:jc w:val="left"/>
            </w:pPr>
            <w:r>
              <w:rPr>
                <w:szCs w:val="20"/>
              </w:rPr>
              <w:t xml:space="preserve">Úprava aplikace ŘANP – součty RA3 </w:t>
            </w:r>
          </w:p>
        </w:tc>
        <w:tc>
          <w:tcPr>
            <w:tcW w:w="3783" w:type="dxa"/>
            <w:vAlign w:val="center"/>
          </w:tcPr>
          <w:p w14:paraId="655D357C" w14:textId="7A1618F4" w:rsidR="009A1179" w:rsidRDefault="009A1179" w:rsidP="00C51192">
            <w:pPr>
              <w:pStyle w:val="slovanseznam"/>
              <w:numPr>
                <w:ilvl w:val="0"/>
                <w:numId w:val="0"/>
              </w:numPr>
              <w:jc w:val="left"/>
            </w:pPr>
            <w:r>
              <w:rPr>
                <w:szCs w:val="20"/>
              </w:rPr>
              <w:t xml:space="preserve">Nová aplikace v ORACLE </w:t>
            </w:r>
          </w:p>
        </w:tc>
      </w:tr>
      <w:tr w:rsidR="009A1179" w14:paraId="14CE8651" w14:textId="77777777" w:rsidTr="00C51192">
        <w:tc>
          <w:tcPr>
            <w:tcW w:w="3783" w:type="dxa"/>
            <w:vAlign w:val="center"/>
          </w:tcPr>
          <w:p w14:paraId="133192A3" w14:textId="2CDEDFE2" w:rsidR="009A1179" w:rsidRDefault="009A1179" w:rsidP="00C51192">
            <w:pPr>
              <w:pStyle w:val="slovanseznam"/>
              <w:numPr>
                <w:ilvl w:val="0"/>
                <w:numId w:val="0"/>
              </w:numPr>
              <w:jc w:val="left"/>
            </w:pPr>
            <w:r>
              <w:rPr>
                <w:szCs w:val="20"/>
              </w:rPr>
              <w:t xml:space="preserve">Test aplikace v testovacím prostředí </w:t>
            </w:r>
          </w:p>
        </w:tc>
        <w:tc>
          <w:tcPr>
            <w:tcW w:w="3783" w:type="dxa"/>
            <w:vAlign w:val="center"/>
          </w:tcPr>
          <w:p w14:paraId="6FD33614" w14:textId="77777777" w:rsidR="009A1179" w:rsidRDefault="009A1179" w:rsidP="00C51192">
            <w:pPr>
              <w:pStyle w:val="slovanseznam"/>
              <w:numPr>
                <w:ilvl w:val="0"/>
                <w:numId w:val="0"/>
              </w:numPr>
              <w:jc w:val="left"/>
            </w:pPr>
          </w:p>
        </w:tc>
      </w:tr>
      <w:tr w:rsidR="009A1179" w14:paraId="74941411" w14:textId="77777777" w:rsidTr="00C51192">
        <w:tc>
          <w:tcPr>
            <w:tcW w:w="3783" w:type="dxa"/>
            <w:vAlign w:val="center"/>
          </w:tcPr>
          <w:p w14:paraId="52039E60" w14:textId="7D3F9C71" w:rsidR="009A1179" w:rsidRDefault="009A1179" w:rsidP="00C51192">
            <w:pPr>
              <w:pStyle w:val="slovanseznam"/>
              <w:numPr>
                <w:ilvl w:val="0"/>
                <w:numId w:val="0"/>
              </w:numPr>
              <w:jc w:val="left"/>
            </w:pPr>
            <w:r>
              <w:rPr>
                <w:szCs w:val="20"/>
              </w:rPr>
              <w:t xml:space="preserve">Migrace a náběh produkčního prostředí </w:t>
            </w:r>
          </w:p>
        </w:tc>
        <w:tc>
          <w:tcPr>
            <w:tcW w:w="3783" w:type="dxa"/>
            <w:vAlign w:val="center"/>
          </w:tcPr>
          <w:p w14:paraId="6FDFB79E" w14:textId="77777777" w:rsidR="009A1179" w:rsidRDefault="009A1179" w:rsidP="00C51192">
            <w:pPr>
              <w:pStyle w:val="slovanseznam"/>
              <w:numPr>
                <w:ilvl w:val="0"/>
                <w:numId w:val="0"/>
              </w:numPr>
              <w:jc w:val="left"/>
            </w:pPr>
          </w:p>
        </w:tc>
      </w:tr>
    </w:tbl>
    <w:p w14:paraId="74DBB273" w14:textId="4ED53961" w:rsidR="009A1179" w:rsidRDefault="009A1179" w:rsidP="009A1179">
      <w:pPr>
        <w:pStyle w:val="slovanseznam"/>
        <w:numPr>
          <w:ilvl w:val="0"/>
          <w:numId w:val="0"/>
        </w:numPr>
        <w:ind w:left="1494"/>
      </w:pPr>
      <w:r>
        <w:t>Část 4</w:t>
      </w:r>
    </w:p>
    <w:tbl>
      <w:tblPr>
        <w:tblStyle w:val="Mkatabulky"/>
        <w:tblW w:w="0" w:type="auto"/>
        <w:tblInd w:w="1494" w:type="dxa"/>
        <w:tblLook w:val="04A0" w:firstRow="1" w:lastRow="0" w:firstColumn="1" w:lastColumn="0" w:noHBand="0" w:noVBand="1"/>
      </w:tblPr>
      <w:tblGrid>
        <w:gridCol w:w="3783"/>
        <w:gridCol w:w="3783"/>
      </w:tblGrid>
      <w:tr w:rsidR="00A931AF" w14:paraId="3070C9AA" w14:textId="77777777" w:rsidTr="00A931AF">
        <w:tc>
          <w:tcPr>
            <w:tcW w:w="3783" w:type="dxa"/>
            <w:shd w:val="clear" w:color="auto" w:fill="D9D9D9" w:themeFill="background1" w:themeFillShade="D9"/>
          </w:tcPr>
          <w:p w14:paraId="0E918E2E" w14:textId="3066E8C2" w:rsidR="00A931AF" w:rsidRDefault="00A931AF" w:rsidP="00A931AF">
            <w:pPr>
              <w:pStyle w:val="slovanseznam"/>
              <w:numPr>
                <w:ilvl w:val="0"/>
                <w:numId w:val="0"/>
              </w:numPr>
            </w:pPr>
            <w:r w:rsidRPr="009A1179">
              <w:rPr>
                <w:b/>
                <w:bCs/>
              </w:rPr>
              <w:t>Etapa</w:t>
            </w:r>
          </w:p>
        </w:tc>
        <w:tc>
          <w:tcPr>
            <w:tcW w:w="3783" w:type="dxa"/>
            <w:shd w:val="clear" w:color="auto" w:fill="D9D9D9" w:themeFill="background1" w:themeFillShade="D9"/>
          </w:tcPr>
          <w:p w14:paraId="0108249A" w14:textId="76FC3536" w:rsidR="00A931AF" w:rsidRDefault="00A931AF" w:rsidP="00A931AF">
            <w:pPr>
              <w:pStyle w:val="slovanseznam"/>
              <w:numPr>
                <w:ilvl w:val="0"/>
                <w:numId w:val="0"/>
              </w:numPr>
            </w:pPr>
            <w:r w:rsidRPr="009A1179">
              <w:rPr>
                <w:b/>
                <w:bCs/>
              </w:rPr>
              <w:t>Výstupy</w:t>
            </w:r>
          </w:p>
        </w:tc>
      </w:tr>
      <w:tr w:rsidR="00A931AF" w14:paraId="51E4E0D7" w14:textId="77777777" w:rsidTr="00C51192">
        <w:tc>
          <w:tcPr>
            <w:tcW w:w="3783" w:type="dxa"/>
            <w:vAlign w:val="center"/>
          </w:tcPr>
          <w:p w14:paraId="71F54E8E" w14:textId="1BD6E508" w:rsidR="00A931AF" w:rsidRDefault="00A931AF" w:rsidP="00C51192">
            <w:pPr>
              <w:pStyle w:val="slovanseznam"/>
              <w:numPr>
                <w:ilvl w:val="0"/>
                <w:numId w:val="0"/>
              </w:numPr>
              <w:jc w:val="left"/>
            </w:pPr>
            <w:r>
              <w:rPr>
                <w:szCs w:val="20"/>
              </w:rPr>
              <w:t xml:space="preserve">Návrh databáze pro aplikaci Uzavřené smlouvy </w:t>
            </w:r>
          </w:p>
        </w:tc>
        <w:tc>
          <w:tcPr>
            <w:tcW w:w="3783" w:type="dxa"/>
            <w:vAlign w:val="center"/>
          </w:tcPr>
          <w:p w14:paraId="6AD39415" w14:textId="1E1D2BFD" w:rsidR="00A931AF" w:rsidRDefault="00A931AF" w:rsidP="00C51192">
            <w:pPr>
              <w:pStyle w:val="slovanseznam"/>
              <w:numPr>
                <w:ilvl w:val="0"/>
                <w:numId w:val="0"/>
              </w:numPr>
              <w:jc w:val="left"/>
            </w:pPr>
            <w:r>
              <w:rPr>
                <w:szCs w:val="20"/>
              </w:rPr>
              <w:t xml:space="preserve">Struktura databáze v Oracle </w:t>
            </w:r>
          </w:p>
        </w:tc>
      </w:tr>
      <w:tr w:rsidR="00A931AF" w14:paraId="5F640651" w14:textId="77777777" w:rsidTr="00C51192">
        <w:tc>
          <w:tcPr>
            <w:tcW w:w="3783" w:type="dxa"/>
            <w:vAlign w:val="center"/>
          </w:tcPr>
          <w:p w14:paraId="549271A5" w14:textId="602D58B5" w:rsidR="00A931AF" w:rsidRDefault="00A931AF" w:rsidP="00C51192">
            <w:pPr>
              <w:pStyle w:val="slovanseznam"/>
              <w:numPr>
                <w:ilvl w:val="0"/>
                <w:numId w:val="0"/>
              </w:numPr>
              <w:jc w:val="left"/>
            </w:pPr>
            <w:r>
              <w:rPr>
                <w:szCs w:val="20"/>
              </w:rPr>
              <w:t xml:space="preserve">Úprava aplikace Uzavřené smlouvy </w:t>
            </w:r>
          </w:p>
        </w:tc>
        <w:tc>
          <w:tcPr>
            <w:tcW w:w="3783" w:type="dxa"/>
            <w:vAlign w:val="center"/>
          </w:tcPr>
          <w:p w14:paraId="111EA31B" w14:textId="46B102C0" w:rsidR="00A931AF" w:rsidRDefault="00A931AF" w:rsidP="00C51192">
            <w:pPr>
              <w:pStyle w:val="slovanseznam"/>
              <w:numPr>
                <w:ilvl w:val="0"/>
                <w:numId w:val="0"/>
              </w:numPr>
              <w:jc w:val="left"/>
            </w:pPr>
            <w:r>
              <w:rPr>
                <w:szCs w:val="20"/>
              </w:rPr>
              <w:t xml:space="preserve">Nová aplikace v ORACLE </w:t>
            </w:r>
          </w:p>
        </w:tc>
      </w:tr>
      <w:tr w:rsidR="00A931AF" w14:paraId="77801E6A" w14:textId="77777777" w:rsidTr="00C51192">
        <w:tc>
          <w:tcPr>
            <w:tcW w:w="3783" w:type="dxa"/>
            <w:vAlign w:val="center"/>
          </w:tcPr>
          <w:p w14:paraId="1B534485" w14:textId="583B7919" w:rsidR="00A931AF" w:rsidRDefault="00A931AF" w:rsidP="00C51192">
            <w:pPr>
              <w:pStyle w:val="slovanseznam"/>
              <w:numPr>
                <w:ilvl w:val="0"/>
                <w:numId w:val="0"/>
              </w:numPr>
              <w:jc w:val="left"/>
            </w:pPr>
            <w:r>
              <w:rPr>
                <w:szCs w:val="20"/>
              </w:rPr>
              <w:t xml:space="preserve">Test aplikace v testovacím prostředí </w:t>
            </w:r>
          </w:p>
        </w:tc>
        <w:tc>
          <w:tcPr>
            <w:tcW w:w="3783" w:type="dxa"/>
            <w:vAlign w:val="center"/>
          </w:tcPr>
          <w:p w14:paraId="647855CA" w14:textId="77777777" w:rsidR="00A931AF" w:rsidRDefault="00A931AF" w:rsidP="00C51192">
            <w:pPr>
              <w:pStyle w:val="slovanseznam"/>
              <w:numPr>
                <w:ilvl w:val="0"/>
                <w:numId w:val="0"/>
              </w:numPr>
              <w:jc w:val="left"/>
            </w:pPr>
          </w:p>
        </w:tc>
      </w:tr>
      <w:tr w:rsidR="00A931AF" w14:paraId="37F9E64D" w14:textId="77777777" w:rsidTr="00C51192">
        <w:tc>
          <w:tcPr>
            <w:tcW w:w="3783" w:type="dxa"/>
            <w:vAlign w:val="center"/>
          </w:tcPr>
          <w:p w14:paraId="091BC844" w14:textId="7CA191F7" w:rsidR="00A931AF" w:rsidRDefault="00A931AF" w:rsidP="00C51192">
            <w:pPr>
              <w:pStyle w:val="slovanseznam"/>
              <w:numPr>
                <w:ilvl w:val="0"/>
                <w:numId w:val="0"/>
              </w:numPr>
              <w:jc w:val="left"/>
            </w:pPr>
            <w:r>
              <w:rPr>
                <w:szCs w:val="20"/>
              </w:rPr>
              <w:t xml:space="preserve">Migrace a náběh produkčního prostředí </w:t>
            </w:r>
          </w:p>
        </w:tc>
        <w:tc>
          <w:tcPr>
            <w:tcW w:w="3783" w:type="dxa"/>
            <w:vAlign w:val="center"/>
          </w:tcPr>
          <w:p w14:paraId="09DE80A5" w14:textId="77777777" w:rsidR="00A931AF" w:rsidRDefault="00A931AF" w:rsidP="00C51192">
            <w:pPr>
              <w:pStyle w:val="slovanseznam"/>
              <w:numPr>
                <w:ilvl w:val="0"/>
                <w:numId w:val="0"/>
              </w:numPr>
              <w:jc w:val="left"/>
            </w:pPr>
          </w:p>
        </w:tc>
      </w:tr>
    </w:tbl>
    <w:p w14:paraId="0E3638EC" w14:textId="3119F937" w:rsidR="00273C5E" w:rsidRPr="00C51192" w:rsidRDefault="00273C5E" w:rsidP="00C51192">
      <w:pPr>
        <w:pStyle w:val="slovanseznam"/>
        <w:numPr>
          <w:ilvl w:val="0"/>
          <w:numId w:val="25"/>
        </w:numPr>
        <w:spacing w:before="240"/>
        <w:ind w:left="1491" w:hanging="357"/>
      </w:pPr>
      <w:r>
        <w:rPr>
          <w:rFonts w:cs="Segoe UI"/>
          <w:szCs w:val="18"/>
        </w:rPr>
        <w:t>migrace ostatních (ŘA GIS, NZU, ISPA, OPI) aplikací na webovou platformu (část 5 až 8)</w:t>
      </w:r>
      <w:r w:rsidR="00FA5E13">
        <w:rPr>
          <w:rFonts w:cs="Segoe UI"/>
          <w:szCs w:val="18"/>
        </w:rPr>
        <w:t>:</w:t>
      </w:r>
    </w:p>
    <w:p w14:paraId="6D94070C" w14:textId="3AD16131" w:rsidR="00C51192" w:rsidRDefault="00C51192" w:rsidP="00C51192">
      <w:pPr>
        <w:pStyle w:val="slovanseznam"/>
        <w:numPr>
          <w:ilvl w:val="0"/>
          <w:numId w:val="0"/>
        </w:numPr>
        <w:ind w:left="1491"/>
        <w:rPr>
          <w:rFonts w:cs="Segoe UI"/>
          <w:szCs w:val="18"/>
        </w:rPr>
      </w:pPr>
      <w:r>
        <w:rPr>
          <w:rFonts w:cs="Segoe UI"/>
          <w:szCs w:val="18"/>
        </w:rPr>
        <w:t>Část 5</w:t>
      </w:r>
    </w:p>
    <w:tbl>
      <w:tblPr>
        <w:tblStyle w:val="Mkatabulky"/>
        <w:tblW w:w="0" w:type="auto"/>
        <w:tblInd w:w="1491" w:type="dxa"/>
        <w:tblLook w:val="04A0" w:firstRow="1" w:lastRow="0" w:firstColumn="1" w:lastColumn="0" w:noHBand="0" w:noVBand="1"/>
      </w:tblPr>
      <w:tblGrid>
        <w:gridCol w:w="3785"/>
        <w:gridCol w:w="3784"/>
      </w:tblGrid>
      <w:tr w:rsidR="00C51192" w14:paraId="2F1A45F2" w14:textId="77777777" w:rsidTr="00C51192">
        <w:tc>
          <w:tcPr>
            <w:tcW w:w="3785" w:type="dxa"/>
            <w:shd w:val="clear" w:color="auto" w:fill="D9D9D9" w:themeFill="background1" w:themeFillShade="D9"/>
          </w:tcPr>
          <w:p w14:paraId="22F3A729" w14:textId="2E88F2A3" w:rsidR="00C51192" w:rsidRDefault="00C51192" w:rsidP="00C51192">
            <w:pPr>
              <w:pStyle w:val="slovanseznam"/>
              <w:numPr>
                <w:ilvl w:val="0"/>
                <w:numId w:val="0"/>
              </w:numPr>
              <w:spacing w:before="240"/>
            </w:pPr>
            <w:r w:rsidRPr="009A1179">
              <w:rPr>
                <w:b/>
                <w:bCs/>
              </w:rPr>
              <w:t>Etapa</w:t>
            </w:r>
          </w:p>
        </w:tc>
        <w:tc>
          <w:tcPr>
            <w:tcW w:w="3784" w:type="dxa"/>
            <w:shd w:val="clear" w:color="auto" w:fill="D9D9D9" w:themeFill="background1" w:themeFillShade="D9"/>
          </w:tcPr>
          <w:p w14:paraId="7860A802" w14:textId="56D11601" w:rsidR="00C51192" w:rsidRDefault="00C51192" w:rsidP="00C51192">
            <w:pPr>
              <w:pStyle w:val="slovanseznam"/>
              <w:numPr>
                <w:ilvl w:val="0"/>
                <w:numId w:val="0"/>
              </w:numPr>
              <w:spacing w:before="240"/>
            </w:pPr>
            <w:r w:rsidRPr="009A1179">
              <w:rPr>
                <w:b/>
                <w:bCs/>
              </w:rPr>
              <w:t>Výstupy</w:t>
            </w:r>
          </w:p>
        </w:tc>
      </w:tr>
      <w:tr w:rsidR="00C51192" w14:paraId="56DC9596" w14:textId="77777777" w:rsidTr="00C51192">
        <w:tc>
          <w:tcPr>
            <w:tcW w:w="3785" w:type="dxa"/>
            <w:vAlign w:val="center"/>
          </w:tcPr>
          <w:p w14:paraId="1DFA1A13" w14:textId="48C7D6F4" w:rsidR="00C51192" w:rsidRDefault="00C51192" w:rsidP="00C51192">
            <w:pPr>
              <w:pStyle w:val="slovanseznam"/>
              <w:numPr>
                <w:ilvl w:val="0"/>
                <w:numId w:val="0"/>
              </w:numPr>
              <w:spacing w:before="240"/>
              <w:jc w:val="left"/>
            </w:pPr>
            <w:r>
              <w:rPr>
                <w:szCs w:val="20"/>
              </w:rPr>
              <w:t xml:space="preserve">Návrh databáze aplikace NZU </w:t>
            </w:r>
          </w:p>
        </w:tc>
        <w:tc>
          <w:tcPr>
            <w:tcW w:w="3784" w:type="dxa"/>
            <w:vAlign w:val="center"/>
          </w:tcPr>
          <w:p w14:paraId="1EC7177B" w14:textId="358E1C6B" w:rsidR="00C51192" w:rsidRDefault="00C51192" w:rsidP="00C51192">
            <w:pPr>
              <w:pStyle w:val="slovanseznam"/>
              <w:numPr>
                <w:ilvl w:val="0"/>
                <w:numId w:val="0"/>
              </w:numPr>
              <w:spacing w:before="240"/>
              <w:jc w:val="left"/>
            </w:pPr>
            <w:r>
              <w:rPr>
                <w:szCs w:val="20"/>
              </w:rPr>
              <w:t xml:space="preserve">Struktura databáze v Oracle </w:t>
            </w:r>
          </w:p>
        </w:tc>
      </w:tr>
      <w:tr w:rsidR="00C51192" w14:paraId="123CD782" w14:textId="77777777" w:rsidTr="00C51192">
        <w:tc>
          <w:tcPr>
            <w:tcW w:w="3785" w:type="dxa"/>
            <w:vAlign w:val="center"/>
          </w:tcPr>
          <w:p w14:paraId="67637567" w14:textId="7556CD6B" w:rsidR="00C51192" w:rsidRDefault="00C51192" w:rsidP="00C51192">
            <w:pPr>
              <w:pStyle w:val="slovanseznam"/>
              <w:numPr>
                <w:ilvl w:val="0"/>
                <w:numId w:val="0"/>
              </w:numPr>
              <w:spacing w:before="240"/>
              <w:jc w:val="left"/>
            </w:pPr>
            <w:r>
              <w:rPr>
                <w:szCs w:val="20"/>
              </w:rPr>
              <w:t xml:space="preserve">Integrace vazeb s rozhraním EIS </w:t>
            </w:r>
          </w:p>
        </w:tc>
        <w:tc>
          <w:tcPr>
            <w:tcW w:w="3784" w:type="dxa"/>
            <w:vAlign w:val="center"/>
          </w:tcPr>
          <w:p w14:paraId="6D9BEF6B" w14:textId="1E1367B3" w:rsidR="00C51192" w:rsidRDefault="00C51192" w:rsidP="00C51192">
            <w:pPr>
              <w:pStyle w:val="slovanseznam"/>
              <w:numPr>
                <w:ilvl w:val="0"/>
                <w:numId w:val="0"/>
              </w:numPr>
              <w:spacing w:before="240"/>
              <w:jc w:val="left"/>
            </w:pPr>
            <w:r>
              <w:rPr>
                <w:szCs w:val="20"/>
              </w:rPr>
              <w:t xml:space="preserve">Neřešeno </w:t>
            </w:r>
          </w:p>
        </w:tc>
      </w:tr>
      <w:tr w:rsidR="00C51192" w14:paraId="18531763" w14:textId="77777777" w:rsidTr="00C51192">
        <w:tc>
          <w:tcPr>
            <w:tcW w:w="3785" w:type="dxa"/>
            <w:vAlign w:val="center"/>
          </w:tcPr>
          <w:p w14:paraId="43243E9D" w14:textId="697E122B" w:rsidR="00C51192" w:rsidRDefault="00C51192" w:rsidP="00C51192">
            <w:pPr>
              <w:pStyle w:val="slovanseznam"/>
              <w:numPr>
                <w:ilvl w:val="0"/>
                <w:numId w:val="0"/>
              </w:numPr>
              <w:spacing w:before="240"/>
              <w:jc w:val="left"/>
            </w:pPr>
            <w:r>
              <w:rPr>
                <w:szCs w:val="20"/>
              </w:rPr>
              <w:t xml:space="preserve">Úprava aplikace NZU </w:t>
            </w:r>
          </w:p>
        </w:tc>
        <w:tc>
          <w:tcPr>
            <w:tcW w:w="3784" w:type="dxa"/>
            <w:vAlign w:val="center"/>
          </w:tcPr>
          <w:p w14:paraId="6082E333" w14:textId="248BFB27" w:rsidR="00C51192" w:rsidRDefault="00C51192" w:rsidP="00C51192">
            <w:pPr>
              <w:pStyle w:val="slovanseznam"/>
              <w:numPr>
                <w:ilvl w:val="0"/>
                <w:numId w:val="0"/>
              </w:numPr>
              <w:spacing w:before="240"/>
              <w:jc w:val="left"/>
            </w:pPr>
            <w:r>
              <w:rPr>
                <w:szCs w:val="20"/>
              </w:rPr>
              <w:t xml:space="preserve">Nová aplikace NZU v ORACLE </w:t>
            </w:r>
          </w:p>
        </w:tc>
      </w:tr>
      <w:tr w:rsidR="00C51192" w14:paraId="1D4DB27F" w14:textId="77777777" w:rsidTr="00C51192">
        <w:tc>
          <w:tcPr>
            <w:tcW w:w="3785" w:type="dxa"/>
            <w:vAlign w:val="center"/>
          </w:tcPr>
          <w:p w14:paraId="46B4EE1B" w14:textId="292EC07D" w:rsidR="00C51192" w:rsidRDefault="00C51192" w:rsidP="00C51192">
            <w:pPr>
              <w:pStyle w:val="slovanseznam"/>
              <w:numPr>
                <w:ilvl w:val="0"/>
                <w:numId w:val="0"/>
              </w:numPr>
              <w:spacing w:before="240"/>
              <w:jc w:val="left"/>
            </w:pPr>
            <w:r>
              <w:rPr>
                <w:szCs w:val="20"/>
              </w:rPr>
              <w:t xml:space="preserve">Převod aplikace nočních součtů pro NZU do databáze Oracle </w:t>
            </w:r>
          </w:p>
        </w:tc>
        <w:tc>
          <w:tcPr>
            <w:tcW w:w="3784" w:type="dxa"/>
            <w:vAlign w:val="center"/>
          </w:tcPr>
          <w:p w14:paraId="261F640B" w14:textId="019B5388" w:rsidR="00C51192" w:rsidRDefault="00C51192" w:rsidP="00C51192">
            <w:pPr>
              <w:pStyle w:val="slovanseznam"/>
              <w:numPr>
                <w:ilvl w:val="0"/>
                <w:numId w:val="0"/>
              </w:numPr>
              <w:spacing w:before="240"/>
              <w:jc w:val="left"/>
            </w:pPr>
            <w:r>
              <w:rPr>
                <w:szCs w:val="20"/>
              </w:rPr>
              <w:t xml:space="preserve">Procedura v databázi v Oracle </w:t>
            </w:r>
          </w:p>
        </w:tc>
      </w:tr>
      <w:tr w:rsidR="00C51192" w14:paraId="1BEC248D" w14:textId="77777777" w:rsidTr="00C51192">
        <w:tc>
          <w:tcPr>
            <w:tcW w:w="3785" w:type="dxa"/>
            <w:vAlign w:val="center"/>
          </w:tcPr>
          <w:p w14:paraId="48C563F7" w14:textId="61FC6DA0" w:rsidR="00C51192" w:rsidRDefault="00C51192" w:rsidP="00C51192">
            <w:pPr>
              <w:pStyle w:val="slovanseznam"/>
              <w:numPr>
                <w:ilvl w:val="0"/>
                <w:numId w:val="0"/>
              </w:numPr>
              <w:spacing w:before="240"/>
              <w:jc w:val="left"/>
            </w:pPr>
            <w:r>
              <w:rPr>
                <w:szCs w:val="20"/>
              </w:rPr>
              <w:t xml:space="preserve">Test aplikace v testovacím prostředí </w:t>
            </w:r>
          </w:p>
        </w:tc>
        <w:tc>
          <w:tcPr>
            <w:tcW w:w="3784" w:type="dxa"/>
            <w:vAlign w:val="center"/>
          </w:tcPr>
          <w:p w14:paraId="5798CC8D" w14:textId="77777777" w:rsidR="00C51192" w:rsidRDefault="00C51192" w:rsidP="00C51192">
            <w:pPr>
              <w:pStyle w:val="slovanseznam"/>
              <w:numPr>
                <w:ilvl w:val="0"/>
                <w:numId w:val="0"/>
              </w:numPr>
              <w:spacing w:before="240"/>
              <w:jc w:val="left"/>
            </w:pPr>
          </w:p>
        </w:tc>
      </w:tr>
      <w:tr w:rsidR="00C51192" w14:paraId="67A69369" w14:textId="77777777" w:rsidTr="00C51192">
        <w:tc>
          <w:tcPr>
            <w:tcW w:w="3785" w:type="dxa"/>
            <w:vAlign w:val="center"/>
          </w:tcPr>
          <w:p w14:paraId="4D42FB35" w14:textId="2C067342" w:rsidR="00C51192" w:rsidRDefault="00C51192" w:rsidP="00C51192">
            <w:pPr>
              <w:pStyle w:val="slovanseznam"/>
              <w:numPr>
                <w:ilvl w:val="0"/>
                <w:numId w:val="0"/>
              </w:numPr>
              <w:spacing w:before="240"/>
              <w:jc w:val="left"/>
            </w:pPr>
            <w:r>
              <w:rPr>
                <w:szCs w:val="20"/>
              </w:rPr>
              <w:t xml:space="preserve">Migrace a náběh produkčního prostředí </w:t>
            </w:r>
          </w:p>
        </w:tc>
        <w:tc>
          <w:tcPr>
            <w:tcW w:w="3784" w:type="dxa"/>
            <w:vAlign w:val="center"/>
          </w:tcPr>
          <w:p w14:paraId="1DABECC2" w14:textId="77777777" w:rsidR="00C51192" w:rsidRDefault="00C51192" w:rsidP="00C51192">
            <w:pPr>
              <w:pStyle w:val="slovanseznam"/>
              <w:numPr>
                <w:ilvl w:val="0"/>
                <w:numId w:val="0"/>
              </w:numPr>
              <w:spacing w:before="240"/>
              <w:jc w:val="left"/>
            </w:pPr>
          </w:p>
        </w:tc>
      </w:tr>
    </w:tbl>
    <w:p w14:paraId="0D8A553E" w14:textId="1DBC1436" w:rsidR="00C51192" w:rsidRDefault="00C51192" w:rsidP="00C51192">
      <w:pPr>
        <w:pStyle w:val="slovanseznam"/>
        <w:numPr>
          <w:ilvl w:val="0"/>
          <w:numId w:val="0"/>
        </w:numPr>
        <w:spacing w:before="240"/>
        <w:ind w:left="1491"/>
      </w:pPr>
      <w:r>
        <w:t>Část 6</w:t>
      </w:r>
    </w:p>
    <w:tbl>
      <w:tblPr>
        <w:tblStyle w:val="Mkatabulky"/>
        <w:tblW w:w="0" w:type="auto"/>
        <w:tblInd w:w="1491" w:type="dxa"/>
        <w:tblLook w:val="04A0" w:firstRow="1" w:lastRow="0" w:firstColumn="1" w:lastColumn="0" w:noHBand="0" w:noVBand="1"/>
      </w:tblPr>
      <w:tblGrid>
        <w:gridCol w:w="3785"/>
        <w:gridCol w:w="3784"/>
      </w:tblGrid>
      <w:tr w:rsidR="00FA5E13" w14:paraId="2EA08414" w14:textId="77777777" w:rsidTr="00FA5E13">
        <w:tc>
          <w:tcPr>
            <w:tcW w:w="3785" w:type="dxa"/>
            <w:shd w:val="clear" w:color="auto" w:fill="D9D9D9" w:themeFill="background1" w:themeFillShade="D9"/>
          </w:tcPr>
          <w:p w14:paraId="5DDA898A" w14:textId="401414C0" w:rsidR="00FA5E13" w:rsidRDefault="00FA5E13" w:rsidP="00FA5E13">
            <w:pPr>
              <w:pStyle w:val="slovanseznam"/>
              <w:numPr>
                <w:ilvl w:val="0"/>
                <w:numId w:val="0"/>
              </w:numPr>
              <w:spacing w:before="240"/>
            </w:pPr>
            <w:r w:rsidRPr="009A1179">
              <w:rPr>
                <w:b/>
                <w:bCs/>
              </w:rPr>
              <w:t>Etapa</w:t>
            </w:r>
          </w:p>
        </w:tc>
        <w:tc>
          <w:tcPr>
            <w:tcW w:w="3784" w:type="dxa"/>
            <w:shd w:val="clear" w:color="auto" w:fill="D9D9D9" w:themeFill="background1" w:themeFillShade="D9"/>
          </w:tcPr>
          <w:p w14:paraId="23DB4987" w14:textId="5D6CF113" w:rsidR="00FA5E13" w:rsidRDefault="00FA5E13" w:rsidP="00FA5E13">
            <w:pPr>
              <w:pStyle w:val="slovanseznam"/>
              <w:numPr>
                <w:ilvl w:val="0"/>
                <w:numId w:val="0"/>
              </w:numPr>
              <w:spacing w:before="240"/>
            </w:pPr>
            <w:r w:rsidRPr="009A1179">
              <w:rPr>
                <w:b/>
                <w:bCs/>
              </w:rPr>
              <w:t>Výstupy</w:t>
            </w:r>
          </w:p>
        </w:tc>
      </w:tr>
      <w:tr w:rsidR="00FA5E13" w14:paraId="650FA202" w14:textId="77777777" w:rsidTr="00FA5E13">
        <w:tc>
          <w:tcPr>
            <w:tcW w:w="3785" w:type="dxa"/>
            <w:vAlign w:val="center"/>
          </w:tcPr>
          <w:p w14:paraId="5EF7CA68" w14:textId="01AE6580" w:rsidR="00FA5E13" w:rsidRDefault="00FA5E13" w:rsidP="00FA5E13">
            <w:pPr>
              <w:pStyle w:val="slovanseznam"/>
              <w:numPr>
                <w:ilvl w:val="0"/>
                <w:numId w:val="0"/>
              </w:numPr>
              <w:spacing w:before="240"/>
              <w:jc w:val="left"/>
            </w:pPr>
            <w:r>
              <w:rPr>
                <w:szCs w:val="20"/>
              </w:rPr>
              <w:t xml:space="preserve">Návrh databáze aplikace GIS </w:t>
            </w:r>
          </w:p>
        </w:tc>
        <w:tc>
          <w:tcPr>
            <w:tcW w:w="3784" w:type="dxa"/>
            <w:vAlign w:val="center"/>
          </w:tcPr>
          <w:p w14:paraId="631CDB22" w14:textId="1A789899" w:rsidR="00FA5E13" w:rsidRDefault="00FA5E13" w:rsidP="00FA5E13">
            <w:pPr>
              <w:pStyle w:val="slovanseznam"/>
              <w:numPr>
                <w:ilvl w:val="0"/>
                <w:numId w:val="0"/>
              </w:numPr>
              <w:spacing w:before="240"/>
              <w:jc w:val="left"/>
            </w:pPr>
            <w:r>
              <w:rPr>
                <w:szCs w:val="20"/>
              </w:rPr>
              <w:t xml:space="preserve">Struktura databáze v Oracle </w:t>
            </w:r>
          </w:p>
        </w:tc>
      </w:tr>
      <w:tr w:rsidR="00FA5E13" w14:paraId="585D425E" w14:textId="77777777" w:rsidTr="00FA5E13">
        <w:tc>
          <w:tcPr>
            <w:tcW w:w="3785" w:type="dxa"/>
            <w:vAlign w:val="center"/>
          </w:tcPr>
          <w:p w14:paraId="23C70DD4" w14:textId="1F82E8CC" w:rsidR="00FA5E13" w:rsidRDefault="00FA5E13" w:rsidP="00FA5E13">
            <w:pPr>
              <w:pStyle w:val="slovanseznam"/>
              <w:numPr>
                <w:ilvl w:val="0"/>
                <w:numId w:val="0"/>
              </w:numPr>
              <w:spacing w:before="240"/>
              <w:jc w:val="left"/>
            </w:pPr>
            <w:r>
              <w:rPr>
                <w:szCs w:val="20"/>
              </w:rPr>
              <w:t xml:space="preserve">Integrace vazeb s rozhraním EIS </w:t>
            </w:r>
          </w:p>
        </w:tc>
        <w:tc>
          <w:tcPr>
            <w:tcW w:w="3784" w:type="dxa"/>
            <w:vAlign w:val="center"/>
          </w:tcPr>
          <w:p w14:paraId="266A5575" w14:textId="7C29A1F6" w:rsidR="00FA5E13" w:rsidRDefault="00FA5E13" w:rsidP="00FA5E13">
            <w:pPr>
              <w:pStyle w:val="slovanseznam"/>
              <w:numPr>
                <w:ilvl w:val="0"/>
                <w:numId w:val="0"/>
              </w:numPr>
              <w:spacing w:before="240"/>
              <w:jc w:val="left"/>
            </w:pPr>
            <w:r>
              <w:rPr>
                <w:szCs w:val="20"/>
              </w:rPr>
              <w:t xml:space="preserve">Neřešeno </w:t>
            </w:r>
          </w:p>
        </w:tc>
      </w:tr>
      <w:tr w:rsidR="00FA5E13" w14:paraId="634439AE" w14:textId="77777777" w:rsidTr="00FA5E13">
        <w:tc>
          <w:tcPr>
            <w:tcW w:w="3785" w:type="dxa"/>
            <w:vAlign w:val="center"/>
          </w:tcPr>
          <w:p w14:paraId="0CC7FA53" w14:textId="643761FC" w:rsidR="00FA5E13" w:rsidRDefault="00FA5E13" w:rsidP="00FA5E13">
            <w:pPr>
              <w:pStyle w:val="slovanseznam"/>
              <w:numPr>
                <w:ilvl w:val="0"/>
                <w:numId w:val="0"/>
              </w:numPr>
              <w:spacing w:before="240"/>
              <w:jc w:val="left"/>
            </w:pPr>
            <w:r>
              <w:rPr>
                <w:szCs w:val="20"/>
              </w:rPr>
              <w:t xml:space="preserve">Úprava aplikace GIS </w:t>
            </w:r>
          </w:p>
        </w:tc>
        <w:tc>
          <w:tcPr>
            <w:tcW w:w="3784" w:type="dxa"/>
            <w:vAlign w:val="center"/>
          </w:tcPr>
          <w:p w14:paraId="6EDB0463" w14:textId="3BB6F80F" w:rsidR="00FA5E13" w:rsidRDefault="00FA5E13" w:rsidP="00FA5E13">
            <w:pPr>
              <w:pStyle w:val="slovanseznam"/>
              <w:numPr>
                <w:ilvl w:val="0"/>
                <w:numId w:val="0"/>
              </w:numPr>
              <w:spacing w:before="240"/>
              <w:jc w:val="left"/>
            </w:pPr>
            <w:r>
              <w:rPr>
                <w:szCs w:val="20"/>
              </w:rPr>
              <w:t xml:space="preserve">Nová aplikace GIS v ORACLE </w:t>
            </w:r>
          </w:p>
        </w:tc>
      </w:tr>
      <w:tr w:rsidR="00FA5E13" w14:paraId="5E96C3B8" w14:textId="77777777" w:rsidTr="00FA5E13">
        <w:tc>
          <w:tcPr>
            <w:tcW w:w="3785" w:type="dxa"/>
            <w:vAlign w:val="center"/>
          </w:tcPr>
          <w:p w14:paraId="4B65C1D2" w14:textId="7557266C" w:rsidR="00FA5E13" w:rsidRDefault="00FA5E13" w:rsidP="00FA5E13">
            <w:pPr>
              <w:pStyle w:val="slovanseznam"/>
              <w:numPr>
                <w:ilvl w:val="0"/>
                <w:numId w:val="0"/>
              </w:numPr>
              <w:spacing w:before="240"/>
              <w:jc w:val="left"/>
            </w:pPr>
            <w:r>
              <w:rPr>
                <w:szCs w:val="20"/>
              </w:rPr>
              <w:t xml:space="preserve">Převod aplikace nočních součtů pro GIS do databáze Oracle </w:t>
            </w:r>
          </w:p>
        </w:tc>
        <w:tc>
          <w:tcPr>
            <w:tcW w:w="3784" w:type="dxa"/>
            <w:vAlign w:val="center"/>
          </w:tcPr>
          <w:p w14:paraId="19C96790" w14:textId="2B69E84F" w:rsidR="00FA5E13" w:rsidRDefault="00FA5E13" w:rsidP="00FA5E13">
            <w:pPr>
              <w:pStyle w:val="slovanseznam"/>
              <w:numPr>
                <w:ilvl w:val="0"/>
                <w:numId w:val="0"/>
              </w:numPr>
              <w:spacing w:before="240"/>
              <w:jc w:val="left"/>
            </w:pPr>
            <w:r>
              <w:rPr>
                <w:szCs w:val="20"/>
              </w:rPr>
              <w:t xml:space="preserve">Procedura v databázi v Oracle </w:t>
            </w:r>
          </w:p>
        </w:tc>
      </w:tr>
    </w:tbl>
    <w:p w14:paraId="53601AC8" w14:textId="3AE478CA" w:rsidR="00C51192" w:rsidRDefault="00FA5E13" w:rsidP="00C51192">
      <w:pPr>
        <w:pStyle w:val="slovanseznam"/>
        <w:numPr>
          <w:ilvl w:val="0"/>
          <w:numId w:val="0"/>
        </w:numPr>
        <w:spacing w:before="240"/>
        <w:ind w:left="1491"/>
      </w:pPr>
      <w:r>
        <w:t>Část 7</w:t>
      </w:r>
    </w:p>
    <w:tbl>
      <w:tblPr>
        <w:tblStyle w:val="Mkatabulky"/>
        <w:tblW w:w="0" w:type="auto"/>
        <w:tblInd w:w="1491" w:type="dxa"/>
        <w:tblLook w:val="04A0" w:firstRow="1" w:lastRow="0" w:firstColumn="1" w:lastColumn="0" w:noHBand="0" w:noVBand="1"/>
      </w:tblPr>
      <w:tblGrid>
        <w:gridCol w:w="3785"/>
        <w:gridCol w:w="3784"/>
      </w:tblGrid>
      <w:tr w:rsidR="00FA5E13" w14:paraId="120650FB" w14:textId="77777777" w:rsidTr="00FA5E13">
        <w:tc>
          <w:tcPr>
            <w:tcW w:w="3785" w:type="dxa"/>
            <w:shd w:val="clear" w:color="auto" w:fill="D9D9D9" w:themeFill="background1" w:themeFillShade="D9"/>
          </w:tcPr>
          <w:p w14:paraId="41C59C0E" w14:textId="0F619D75" w:rsidR="00FA5E13" w:rsidRDefault="00FA5E13" w:rsidP="00FA5E13">
            <w:pPr>
              <w:pStyle w:val="slovanseznam"/>
              <w:numPr>
                <w:ilvl w:val="0"/>
                <w:numId w:val="0"/>
              </w:numPr>
            </w:pPr>
            <w:r w:rsidRPr="009A1179">
              <w:rPr>
                <w:b/>
                <w:bCs/>
              </w:rPr>
              <w:t>Etapa</w:t>
            </w:r>
          </w:p>
        </w:tc>
        <w:tc>
          <w:tcPr>
            <w:tcW w:w="3784" w:type="dxa"/>
            <w:shd w:val="clear" w:color="auto" w:fill="D9D9D9" w:themeFill="background1" w:themeFillShade="D9"/>
          </w:tcPr>
          <w:p w14:paraId="550092A3" w14:textId="2EE2486D" w:rsidR="00FA5E13" w:rsidRDefault="00FA5E13" w:rsidP="00FA5E13">
            <w:pPr>
              <w:pStyle w:val="slovanseznam"/>
              <w:numPr>
                <w:ilvl w:val="0"/>
                <w:numId w:val="0"/>
              </w:numPr>
            </w:pPr>
            <w:r w:rsidRPr="009A1179">
              <w:rPr>
                <w:b/>
                <w:bCs/>
              </w:rPr>
              <w:t>Výstupy</w:t>
            </w:r>
          </w:p>
        </w:tc>
      </w:tr>
      <w:tr w:rsidR="00FA5E13" w14:paraId="12DD70AD" w14:textId="77777777" w:rsidTr="00FA5E13">
        <w:tc>
          <w:tcPr>
            <w:tcW w:w="3785" w:type="dxa"/>
            <w:vAlign w:val="center"/>
          </w:tcPr>
          <w:p w14:paraId="175D77E4" w14:textId="26222F86" w:rsidR="00FA5E13" w:rsidRDefault="00FA5E13" w:rsidP="00FA5E13">
            <w:pPr>
              <w:pStyle w:val="slovanseznam"/>
              <w:numPr>
                <w:ilvl w:val="0"/>
                <w:numId w:val="0"/>
              </w:numPr>
              <w:jc w:val="left"/>
            </w:pPr>
            <w:r>
              <w:rPr>
                <w:szCs w:val="20"/>
              </w:rPr>
              <w:t xml:space="preserve">Návrh databáze aplikace ISPA </w:t>
            </w:r>
          </w:p>
        </w:tc>
        <w:tc>
          <w:tcPr>
            <w:tcW w:w="3784" w:type="dxa"/>
            <w:vAlign w:val="center"/>
          </w:tcPr>
          <w:p w14:paraId="77CD1CF9" w14:textId="0885DD42" w:rsidR="00FA5E13" w:rsidRDefault="00FA5E13" w:rsidP="00FA5E13">
            <w:pPr>
              <w:pStyle w:val="slovanseznam"/>
              <w:numPr>
                <w:ilvl w:val="0"/>
                <w:numId w:val="0"/>
              </w:numPr>
              <w:jc w:val="left"/>
            </w:pPr>
            <w:r>
              <w:rPr>
                <w:szCs w:val="20"/>
              </w:rPr>
              <w:t xml:space="preserve">Struktura databáze v Oracle </w:t>
            </w:r>
          </w:p>
        </w:tc>
      </w:tr>
      <w:tr w:rsidR="00FA5E13" w14:paraId="47C3FC59" w14:textId="77777777" w:rsidTr="00FA5E13">
        <w:tc>
          <w:tcPr>
            <w:tcW w:w="3785" w:type="dxa"/>
            <w:vAlign w:val="center"/>
          </w:tcPr>
          <w:p w14:paraId="543845D5" w14:textId="1285DB96" w:rsidR="00FA5E13" w:rsidRDefault="00FA5E13" w:rsidP="00FA5E13">
            <w:pPr>
              <w:pStyle w:val="slovanseznam"/>
              <w:numPr>
                <w:ilvl w:val="0"/>
                <w:numId w:val="0"/>
              </w:numPr>
              <w:jc w:val="left"/>
            </w:pPr>
            <w:r>
              <w:rPr>
                <w:szCs w:val="20"/>
              </w:rPr>
              <w:t xml:space="preserve">Integrace vazeb s rozhraním EIS </w:t>
            </w:r>
          </w:p>
        </w:tc>
        <w:tc>
          <w:tcPr>
            <w:tcW w:w="3784" w:type="dxa"/>
            <w:vAlign w:val="center"/>
          </w:tcPr>
          <w:p w14:paraId="0DDBE3EF" w14:textId="3445BC38" w:rsidR="00FA5E13" w:rsidRDefault="00FA5E13" w:rsidP="00FA5E13">
            <w:pPr>
              <w:pStyle w:val="slovanseznam"/>
              <w:numPr>
                <w:ilvl w:val="0"/>
                <w:numId w:val="0"/>
              </w:numPr>
              <w:jc w:val="left"/>
            </w:pPr>
            <w:r>
              <w:rPr>
                <w:szCs w:val="20"/>
              </w:rPr>
              <w:t xml:space="preserve">Neřešeno </w:t>
            </w:r>
          </w:p>
        </w:tc>
      </w:tr>
      <w:tr w:rsidR="00FA5E13" w14:paraId="43F8AEF1" w14:textId="77777777" w:rsidTr="00FA5E13">
        <w:tc>
          <w:tcPr>
            <w:tcW w:w="3785" w:type="dxa"/>
            <w:vAlign w:val="center"/>
          </w:tcPr>
          <w:p w14:paraId="44B4C8D5" w14:textId="7252890E" w:rsidR="00FA5E13" w:rsidRDefault="00FA5E13" w:rsidP="00FA5E13">
            <w:pPr>
              <w:pStyle w:val="slovanseznam"/>
              <w:numPr>
                <w:ilvl w:val="0"/>
                <w:numId w:val="0"/>
              </w:numPr>
              <w:jc w:val="left"/>
            </w:pPr>
            <w:r>
              <w:rPr>
                <w:szCs w:val="20"/>
              </w:rPr>
              <w:t xml:space="preserve">Úprava aplikace ISPA </w:t>
            </w:r>
          </w:p>
        </w:tc>
        <w:tc>
          <w:tcPr>
            <w:tcW w:w="3784" w:type="dxa"/>
            <w:vAlign w:val="center"/>
          </w:tcPr>
          <w:p w14:paraId="66897FCC" w14:textId="6360E0AF" w:rsidR="00FA5E13" w:rsidRDefault="00FA5E13" w:rsidP="00FA5E13">
            <w:pPr>
              <w:pStyle w:val="slovanseznam"/>
              <w:numPr>
                <w:ilvl w:val="0"/>
                <w:numId w:val="0"/>
              </w:numPr>
              <w:jc w:val="left"/>
            </w:pPr>
            <w:r>
              <w:rPr>
                <w:szCs w:val="20"/>
              </w:rPr>
              <w:t xml:space="preserve">Nová aplikace ISPA v ORACLE </w:t>
            </w:r>
          </w:p>
        </w:tc>
      </w:tr>
      <w:tr w:rsidR="00FA5E13" w14:paraId="1048A4EE" w14:textId="77777777" w:rsidTr="00FA5E13">
        <w:tc>
          <w:tcPr>
            <w:tcW w:w="3785" w:type="dxa"/>
            <w:vAlign w:val="center"/>
          </w:tcPr>
          <w:p w14:paraId="365C3ABA" w14:textId="16988A7E" w:rsidR="00FA5E13" w:rsidRDefault="00FA5E13" w:rsidP="00FA5E13">
            <w:pPr>
              <w:pStyle w:val="slovanseznam"/>
              <w:numPr>
                <w:ilvl w:val="0"/>
                <w:numId w:val="0"/>
              </w:numPr>
              <w:jc w:val="left"/>
            </w:pPr>
            <w:r>
              <w:rPr>
                <w:szCs w:val="20"/>
              </w:rPr>
              <w:t xml:space="preserve">Převod nočních součtů pro ISPA do databáze Oracle </w:t>
            </w:r>
          </w:p>
        </w:tc>
        <w:tc>
          <w:tcPr>
            <w:tcW w:w="3784" w:type="dxa"/>
            <w:vAlign w:val="center"/>
          </w:tcPr>
          <w:p w14:paraId="0B45CFFC" w14:textId="7505D358" w:rsidR="00FA5E13" w:rsidRDefault="00FA5E13" w:rsidP="00FA5E13">
            <w:pPr>
              <w:pStyle w:val="slovanseznam"/>
              <w:numPr>
                <w:ilvl w:val="0"/>
                <w:numId w:val="0"/>
              </w:numPr>
              <w:jc w:val="left"/>
            </w:pPr>
            <w:r>
              <w:rPr>
                <w:szCs w:val="20"/>
              </w:rPr>
              <w:t xml:space="preserve">Procedura v databázi v Oracle </w:t>
            </w:r>
          </w:p>
        </w:tc>
      </w:tr>
      <w:tr w:rsidR="00FA5E13" w14:paraId="7719EFED" w14:textId="77777777" w:rsidTr="00FA5E13">
        <w:tc>
          <w:tcPr>
            <w:tcW w:w="3785" w:type="dxa"/>
            <w:vAlign w:val="center"/>
          </w:tcPr>
          <w:p w14:paraId="4DEC02A5" w14:textId="7B89D36C" w:rsidR="00FA5E13" w:rsidRDefault="00FA5E13" w:rsidP="00FA5E13">
            <w:pPr>
              <w:pStyle w:val="slovanseznam"/>
              <w:numPr>
                <w:ilvl w:val="0"/>
                <w:numId w:val="0"/>
              </w:numPr>
              <w:jc w:val="left"/>
            </w:pPr>
            <w:r>
              <w:rPr>
                <w:szCs w:val="20"/>
              </w:rPr>
              <w:t xml:space="preserve">Optimalizace výpočtu karet akcí, sankcí, čtvrtletní uzávěrky </w:t>
            </w:r>
          </w:p>
        </w:tc>
        <w:tc>
          <w:tcPr>
            <w:tcW w:w="3784" w:type="dxa"/>
            <w:vAlign w:val="center"/>
          </w:tcPr>
          <w:p w14:paraId="722E5904" w14:textId="7180CB32" w:rsidR="00FA5E13" w:rsidRDefault="00FA5E13" w:rsidP="00FA5E13">
            <w:pPr>
              <w:pStyle w:val="slovanseznam"/>
              <w:numPr>
                <w:ilvl w:val="0"/>
                <w:numId w:val="0"/>
              </w:numPr>
              <w:jc w:val="left"/>
            </w:pPr>
            <w:r>
              <w:rPr>
                <w:szCs w:val="20"/>
              </w:rPr>
              <w:t xml:space="preserve">Přesun stávajících funkcí pro náročnější výpočty z aplikace do databáze </w:t>
            </w:r>
          </w:p>
        </w:tc>
      </w:tr>
    </w:tbl>
    <w:p w14:paraId="69FA9F51" w14:textId="24E5190C" w:rsidR="00FA5E13" w:rsidRDefault="00FA5E13" w:rsidP="00FA5E13">
      <w:pPr>
        <w:pStyle w:val="slovanseznam"/>
        <w:numPr>
          <w:ilvl w:val="0"/>
          <w:numId w:val="0"/>
        </w:numPr>
        <w:spacing w:before="240"/>
        <w:ind w:left="1491"/>
      </w:pPr>
      <w:r>
        <w:t>Část 8</w:t>
      </w:r>
    </w:p>
    <w:tbl>
      <w:tblPr>
        <w:tblStyle w:val="Mkatabulky"/>
        <w:tblW w:w="0" w:type="auto"/>
        <w:tblInd w:w="1491" w:type="dxa"/>
        <w:tblLook w:val="04A0" w:firstRow="1" w:lastRow="0" w:firstColumn="1" w:lastColumn="0" w:noHBand="0" w:noVBand="1"/>
      </w:tblPr>
      <w:tblGrid>
        <w:gridCol w:w="3785"/>
        <w:gridCol w:w="3784"/>
      </w:tblGrid>
      <w:tr w:rsidR="00FA5E13" w14:paraId="17CF5450" w14:textId="77777777" w:rsidTr="00FA5E13">
        <w:tc>
          <w:tcPr>
            <w:tcW w:w="3785" w:type="dxa"/>
            <w:shd w:val="clear" w:color="auto" w:fill="D9D9D9" w:themeFill="background1" w:themeFillShade="D9"/>
          </w:tcPr>
          <w:p w14:paraId="4C7862A5" w14:textId="6F65F6EA" w:rsidR="00FA5E13" w:rsidRDefault="00FA5E13" w:rsidP="00FA5E13">
            <w:pPr>
              <w:pStyle w:val="slovanseznam"/>
              <w:numPr>
                <w:ilvl w:val="0"/>
                <w:numId w:val="0"/>
              </w:numPr>
              <w:spacing w:before="240"/>
            </w:pPr>
            <w:r w:rsidRPr="009A1179">
              <w:rPr>
                <w:b/>
                <w:bCs/>
              </w:rPr>
              <w:t>Etapa</w:t>
            </w:r>
          </w:p>
        </w:tc>
        <w:tc>
          <w:tcPr>
            <w:tcW w:w="3784" w:type="dxa"/>
            <w:shd w:val="clear" w:color="auto" w:fill="D9D9D9" w:themeFill="background1" w:themeFillShade="D9"/>
          </w:tcPr>
          <w:p w14:paraId="416D43D0" w14:textId="35BE6984" w:rsidR="00FA5E13" w:rsidRDefault="00FA5E13" w:rsidP="00FA5E13">
            <w:pPr>
              <w:pStyle w:val="slovanseznam"/>
              <w:numPr>
                <w:ilvl w:val="0"/>
                <w:numId w:val="0"/>
              </w:numPr>
              <w:spacing w:before="240"/>
            </w:pPr>
            <w:r w:rsidRPr="009A1179">
              <w:rPr>
                <w:b/>
                <w:bCs/>
              </w:rPr>
              <w:t>Výstupy</w:t>
            </w:r>
          </w:p>
        </w:tc>
      </w:tr>
      <w:tr w:rsidR="00FA5E13" w14:paraId="661DABB6" w14:textId="77777777" w:rsidTr="00FA5E13">
        <w:tc>
          <w:tcPr>
            <w:tcW w:w="3785" w:type="dxa"/>
            <w:vAlign w:val="center"/>
          </w:tcPr>
          <w:p w14:paraId="07E23B10" w14:textId="2154AE28" w:rsidR="00FA5E13" w:rsidRDefault="00FA5E13" w:rsidP="00FA5E13">
            <w:pPr>
              <w:pStyle w:val="slovanseznam"/>
              <w:numPr>
                <w:ilvl w:val="0"/>
                <w:numId w:val="0"/>
              </w:numPr>
              <w:spacing w:before="240"/>
              <w:jc w:val="left"/>
            </w:pPr>
            <w:r>
              <w:rPr>
                <w:szCs w:val="20"/>
              </w:rPr>
              <w:t xml:space="preserve">Návrh databáze aplikace OPI </w:t>
            </w:r>
          </w:p>
        </w:tc>
        <w:tc>
          <w:tcPr>
            <w:tcW w:w="3784" w:type="dxa"/>
            <w:vAlign w:val="center"/>
          </w:tcPr>
          <w:p w14:paraId="0D00788F" w14:textId="48AA024E" w:rsidR="00FA5E13" w:rsidRDefault="00FA5E13" w:rsidP="00FA5E13">
            <w:pPr>
              <w:pStyle w:val="slovanseznam"/>
              <w:numPr>
                <w:ilvl w:val="0"/>
                <w:numId w:val="0"/>
              </w:numPr>
              <w:spacing w:before="240"/>
              <w:jc w:val="left"/>
            </w:pPr>
            <w:r>
              <w:rPr>
                <w:szCs w:val="20"/>
              </w:rPr>
              <w:t xml:space="preserve">Struktura databáze v Oracle </w:t>
            </w:r>
          </w:p>
        </w:tc>
      </w:tr>
      <w:tr w:rsidR="00FA5E13" w14:paraId="22E8ADA0" w14:textId="77777777" w:rsidTr="00FA5E13">
        <w:tc>
          <w:tcPr>
            <w:tcW w:w="3785" w:type="dxa"/>
            <w:vAlign w:val="center"/>
          </w:tcPr>
          <w:p w14:paraId="1B5153F0" w14:textId="3D275901" w:rsidR="00FA5E13" w:rsidRDefault="00FA5E13" w:rsidP="00FA5E13">
            <w:pPr>
              <w:pStyle w:val="slovanseznam"/>
              <w:numPr>
                <w:ilvl w:val="0"/>
                <w:numId w:val="0"/>
              </w:numPr>
              <w:spacing w:before="240"/>
              <w:jc w:val="left"/>
            </w:pPr>
            <w:r>
              <w:rPr>
                <w:szCs w:val="20"/>
              </w:rPr>
              <w:t xml:space="preserve">Integrace vazeb s rozhraním EIS </w:t>
            </w:r>
          </w:p>
        </w:tc>
        <w:tc>
          <w:tcPr>
            <w:tcW w:w="3784" w:type="dxa"/>
            <w:vAlign w:val="center"/>
          </w:tcPr>
          <w:p w14:paraId="1A0DEA78" w14:textId="298E6012" w:rsidR="00FA5E13" w:rsidRDefault="00FA5E13" w:rsidP="00FA5E13">
            <w:pPr>
              <w:pStyle w:val="slovanseznam"/>
              <w:numPr>
                <w:ilvl w:val="0"/>
                <w:numId w:val="0"/>
              </w:numPr>
              <w:spacing w:before="240"/>
              <w:jc w:val="left"/>
            </w:pPr>
            <w:r>
              <w:rPr>
                <w:szCs w:val="20"/>
              </w:rPr>
              <w:t xml:space="preserve">Neřešeno </w:t>
            </w:r>
          </w:p>
        </w:tc>
      </w:tr>
      <w:tr w:rsidR="00FA5E13" w14:paraId="012E57A1" w14:textId="77777777" w:rsidTr="00FA5E13">
        <w:tc>
          <w:tcPr>
            <w:tcW w:w="3785" w:type="dxa"/>
            <w:vAlign w:val="center"/>
          </w:tcPr>
          <w:p w14:paraId="53599729" w14:textId="56084ACF" w:rsidR="00FA5E13" w:rsidRDefault="00FA5E13" w:rsidP="00FA5E13">
            <w:pPr>
              <w:pStyle w:val="slovanseznam"/>
              <w:numPr>
                <w:ilvl w:val="0"/>
                <w:numId w:val="0"/>
              </w:numPr>
              <w:spacing w:before="240"/>
              <w:jc w:val="left"/>
            </w:pPr>
            <w:r>
              <w:rPr>
                <w:szCs w:val="20"/>
              </w:rPr>
              <w:t xml:space="preserve">Úprava aplikace OPI </w:t>
            </w:r>
          </w:p>
        </w:tc>
        <w:tc>
          <w:tcPr>
            <w:tcW w:w="3784" w:type="dxa"/>
            <w:vAlign w:val="center"/>
          </w:tcPr>
          <w:p w14:paraId="2F08D70A" w14:textId="172AD0DA" w:rsidR="00FA5E13" w:rsidRDefault="00FA5E13" w:rsidP="00FA5E13">
            <w:pPr>
              <w:pStyle w:val="slovanseznam"/>
              <w:numPr>
                <w:ilvl w:val="0"/>
                <w:numId w:val="0"/>
              </w:numPr>
              <w:spacing w:before="240"/>
              <w:jc w:val="left"/>
            </w:pPr>
            <w:r>
              <w:rPr>
                <w:szCs w:val="20"/>
              </w:rPr>
              <w:t xml:space="preserve">Nová aplikace OPI v ORACLE </w:t>
            </w:r>
          </w:p>
        </w:tc>
      </w:tr>
      <w:tr w:rsidR="00FA5E13" w14:paraId="5D0A775C" w14:textId="77777777" w:rsidTr="00FA5E13">
        <w:tc>
          <w:tcPr>
            <w:tcW w:w="3785" w:type="dxa"/>
            <w:vAlign w:val="center"/>
          </w:tcPr>
          <w:p w14:paraId="69E4696B" w14:textId="609AF304" w:rsidR="00FA5E13" w:rsidRDefault="00FA5E13" w:rsidP="00FA5E13">
            <w:pPr>
              <w:pStyle w:val="slovanseznam"/>
              <w:numPr>
                <w:ilvl w:val="0"/>
                <w:numId w:val="0"/>
              </w:numPr>
              <w:spacing w:before="240"/>
              <w:jc w:val="left"/>
            </w:pPr>
            <w:r>
              <w:rPr>
                <w:szCs w:val="20"/>
              </w:rPr>
              <w:t xml:space="preserve">Převod nočních součtů pro OPI do databáze Oracle </w:t>
            </w:r>
          </w:p>
        </w:tc>
        <w:tc>
          <w:tcPr>
            <w:tcW w:w="3784" w:type="dxa"/>
            <w:vAlign w:val="center"/>
          </w:tcPr>
          <w:p w14:paraId="7AAD14F8" w14:textId="3369C6A8" w:rsidR="00FA5E13" w:rsidRDefault="00FA5E13" w:rsidP="00FA5E13">
            <w:pPr>
              <w:pStyle w:val="slovanseznam"/>
              <w:numPr>
                <w:ilvl w:val="0"/>
                <w:numId w:val="0"/>
              </w:numPr>
              <w:spacing w:before="240"/>
              <w:jc w:val="left"/>
            </w:pPr>
            <w:r>
              <w:rPr>
                <w:szCs w:val="20"/>
              </w:rPr>
              <w:t xml:space="preserve">Procedura v databázi v Oracle </w:t>
            </w:r>
          </w:p>
        </w:tc>
      </w:tr>
      <w:tr w:rsidR="00FA5E13" w14:paraId="5542ABC5" w14:textId="77777777" w:rsidTr="00FA5E13">
        <w:tc>
          <w:tcPr>
            <w:tcW w:w="3785" w:type="dxa"/>
            <w:vAlign w:val="center"/>
          </w:tcPr>
          <w:p w14:paraId="7591FBA1" w14:textId="7BF6EB93" w:rsidR="00FA5E13" w:rsidRDefault="00FA5E13" w:rsidP="00FA5E13">
            <w:pPr>
              <w:pStyle w:val="slovanseznam"/>
              <w:numPr>
                <w:ilvl w:val="0"/>
                <w:numId w:val="0"/>
              </w:numPr>
              <w:spacing w:before="240"/>
              <w:jc w:val="left"/>
            </w:pPr>
            <w:r>
              <w:rPr>
                <w:szCs w:val="20"/>
              </w:rPr>
              <w:t xml:space="preserve">Optimalizace výpočtu karet akcí, sankcí, čtvrtletní uzávěrky </w:t>
            </w:r>
          </w:p>
        </w:tc>
        <w:tc>
          <w:tcPr>
            <w:tcW w:w="3784" w:type="dxa"/>
            <w:vAlign w:val="center"/>
          </w:tcPr>
          <w:p w14:paraId="7C6F4F50" w14:textId="4AB870B8" w:rsidR="00FA5E13" w:rsidRDefault="00FA5E13" w:rsidP="00FA5E13">
            <w:pPr>
              <w:pStyle w:val="slovanseznam"/>
              <w:numPr>
                <w:ilvl w:val="0"/>
                <w:numId w:val="0"/>
              </w:numPr>
              <w:spacing w:before="240"/>
              <w:jc w:val="left"/>
            </w:pPr>
            <w:r>
              <w:rPr>
                <w:szCs w:val="20"/>
              </w:rPr>
              <w:t xml:space="preserve">Přesun stávajících funkcí pro náročnější výpočty z aplikace do databáze </w:t>
            </w:r>
          </w:p>
        </w:tc>
      </w:tr>
    </w:tbl>
    <w:p w14:paraId="260729BB" w14:textId="6C5FDF77" w:rsidR="003E759A" w:rsidRDefault="00822556" w:rsidP="00FA5E13">
      <w:pPr>
        <w:pStyle w:val="Odstavecseseznamem"/>
        <w:numPr>
          <w:ilvl w:val="1"/>
          <w:numId w:val="10"/>
        </w:numPr>
        <w:tabs>
          <w:tab w:val="num" w:pos="567"/>
        </w:tabs>
        <w:spacing w:before="240"/>
        <w:ind w:left="567" w:hanging="567"/>
        <w:contextualSpacing/>
        <w:rPr>
          <w:rFonts w:cs="Segoe UI"/>
        </w:rPr>
      </w:pPr>
      <w:r w:rsidRPr="00273C5E">
        <w:rPr>
          <w:rFonts w:cs="Segoe UI"/>
        </w:rPr>
        <w:t>Objednatel</w:t>
      </w:r>
      <w:r w:rsidR="003E759A" w:rsidRPr="00273C5E">
        <w:rPr>
          <w:rFonts w:cs="Segoe UI"/>
        </w:rPr>
        <w:t xml:space="preserve"> se zavazuje, že za výše uvedené služby uhradí </w:t>
      </w:r>
      <w:r w:rsidRPr="00273C5E">
        <w:rPr>
          <w:rFonts w:cs="Segoe UI"/>
        </w:rPr>
        <w:t>Poskytovatel</w:t>
      </w:r>
      <w:r w:rsidR="003E759A" w:rsidRPr="00273C5E">
        <w:rPr>
          <w:rFonts w:cs="Segoe UI"/>
        </w:rPr>
        <w:t xml:space="preserve">i níže sjednanou odměnu. </w:t>
      </w:r>
    </w:p>
    <w:p w14:paraId="350CC926" w14:textId="0BA7E4CD" w:rsidR="00491290" w:rsidRPr="00273C5E" w:rsidRDefault="00491290" w:rsidP="00491290">
      <w:pPr>
        <w:pStyle w:val="Odstavecseseznamem"/>
        <w:numPr>
          <w:ilvl w:val="1"/>
          <w:numId w:val="10"/>
        </w:numPr>
        <w:tabs>
          <w:tab w:val="num" w:pos="567"/>
        </w:tabs>
        <w:ind w:left="567" w:hanging="567"/>
        <w:rPr>
          <w:rFonts w:cs="Segoe UI"/>
        </w:rPr>
      </w:pPr>
      <w:r>
        <w:rPr>
          <w:rFonts w:cs="Segoe UI"/>
        </w:rPr>
        <w:t xml:space="preserve">Smluvní strany shodně prohlašují, že systém je </w:t>
      </w:r>
      <w:r w:rsidRPr="00491290">
        <w:rPr>
          <w:rFonts w:cs="Segoe UI"/>
        </w:rPr>
        <w:t>autorským dílem</w:t>
      </w:r>
      <w:r>
        <w:rPr>
          <w:rFonts w:cs="Segoe UI"/>
        </w:rPr>
        <w:t xml:space="preserve"> Poskytovatele</w:t>
      </w:r>
      <w:r w:rsidRPr="00491290">
        <w:rPr>
          <w:rFonts w:cs="Segoe UI"/>
        </w:rPr>
        <w:t xml:space="preserve"> ve smyslu ustanovení § 2 zákona č. 121/2000 Sb., o právu autorském, o právech souvisejících s právem autorským a o změně některých zákonů, ve znění pozdějších předpisů</w:t>
      </w:r>
      <w:r>
        <w:rPr>
          <w:rFonts w:cs="Segoe UI"/>
        </w:rPr>
        <w:t xml:space="preserve">, a že Objednatel je oprávněn systém v rozsahu poskytnutém Poskytovatelem užívat. </w:t>
      </w:r>
    </w:p>
    <w:p w14:paraId="393AF9A6" w14:textId="4E55A653" w:rsidR="00972B5C" w:rsidRPr="00F27A81" w:rsidRDefault="00E64F68" w:rsidP="0034672F">
      <w:pPr>
        <w:pStyle w:val="Nadpis1"/>
        <w:rPr>
          <w:rFonts w:cs="Segoe UI"/>
        </w:rPr>
      </w:pPr>
      <w:r w:rsidRPr="00F27A81">
        <w:rPr>
          <w:rFonts w:cs="Segoe UI"/>
        </w:rPr>
        <w:t>Čas</w:t>
      </w:r>
      <w:r w:rsidR="00162C49">
        <w:rPr>
          <w:rFonts w:cs="Segoe UI"/>
        </w:rPr>
        <w:t xml:space="preserve"> a </w:t>
      </w:r>
      <w:r w:rsidR="008C3015" w:rsidRPr="00F27A81">
        <w:rPr>
          <w:rFonts w:cs="Segoe UI"/>
        </w:rPr>
        <w:t>místo</w:t>
      </w:r>
      <w:r w:rsidR="00162C49">
        <w:rPr>
          <w:rFonts w:cs="Segoe UI"/>
        </w:rPr>
        <w:t xml:space="preserve"> </w:t>
      </w:r>
      <w:r w:rsidR="008C3015" w:rsidRPr="00F27A81">
        <w:rPr>
          <w:rFonts w:cs="Segoe UI"/>
        </w:rPr>
        <w:t>plnění</w:t>
      </w:r>
    </w:p>
    <w:p w14:paraId="0CF99B8E" w14:textId="506E6CE5" w:rsidR="00162C49" w:rsidRDefault="00031E6C" w:rsidP="00162C49">
      <w:pPr>
        <w:pStyle w:val="Odstavecseseznamem"/>
        <w:rPr>
          <w:rFonts w:cs="Segoe UI"/>
        </w:rPr>
      </w:pPr>
      <w:r>
        <w:rPr>
          <w:rFonts w:cs="Segoe UI"/>
        </w:rPr>
        <w:t xml:space="preserve">Tato </w:t>
      </w:r>
      <w:r w:rsidR="00822556">
        <w:rPr>
          <w:rFonts w:cs="Segoe UI"/>
        </w:rPr>
        <w:t>Smlouv</w:t>
      </w:r>
      <w:r>
        <w:rPr>
          <w:rFonts w:cs="Segoe UI"/>
        </w:rPr>
        <w:t xml:space="preserve">a se </w:t>
      </w:r>
      <w:r w:rsidR="00162C49">
        <w:rPr>
          <w:rFonts w:cs="Segoe UI"/>
        </w:rPr>
        <w:t>uzavírá na dobu určitou</w:t>
      </w:r>
      <w:r w:rsidR="00162C49" w:rsidRPr="00162C49">
        <w:rPr>
          <w:rFonts w:cs="Segoe UI"/>
        </w:rPr>
        <w:t xml:space="preserve">, a to ode dne nabytí účinnosti </w:t>
      </w:r>
      <w:r w:rsidR="0039293A">
        <w:rPr>
          <w:rFonts w:cs="Segoe UI"/>
        </w:rPr>
        <w:t xml:space="preserve">této </w:t>
      </w:r>
      <w:r w:rsidR="00822556">
        <w:rPr>
          <w:rFonts w:cs="Segoe UI"/>
        </w:rPr>
        <w:t>Smlouv</w:t>
      </w:r>
      <w:r w:rsidR="0039293A">
        <w:rPr>
          <w:rFonts w:cs="Segoe UI"/>
        </w:rPr>
        <w:t xml:space="preserve">y </w:t>
      </w:r>
      <w:r w:rsidR="00162C49" w:rsidRPr="00162C49">
        <w:rPr>
          <w:rFonts w:cs="Segoe UI"/>
        </w:rPr>
        <w:t xml:space="preserve">do </w:t>
      </w:r>
      <w:r w:rsidR="0039293A">
        <w:rPr>
          <w:rFonts w:cs="Segoe UI"/>
        </w:rPr>
        <w:br/>
      </w:r>
      <w:r w:rsidR="004027A8">
        <w:rPr>
          <w:rFonts w:cs="Segoe UI"/>
          <w:b/>
        </w:rPr>
        <w:t>19</w:t>
      </w:r>
      <w:r w:rsidR="00162C49" w:rsidRPr="004F6B56">
        <w:rPr>
          <w:rFonts w:cs="Segoe UI"/>
          <w:b/>
        </w:rPr>
        <w:t>. 12. 202</w:t>
      </w:r>
      <w:r w:rsidR="004027A8">
        <w:rPr>
          <w:rFonts w:cs="Segoe UI"/>
          <w:b/>
        </w:rPr>
        <w:t>6</w:t>
      </w:r>
      <w:r w:rsidR="00162C49" w:rsidRPr="00162C49">
        <w:rPr>
          <w:rFonts w:cs="Segoe UI"/>
        </w:rPr>
        <w:t>.</w:t>
      </w:r>
    </w:p>
    <w:p w14:paraId="37547D6F" w14:textId="573134C6" w:rsidR="004757FC" w:rsidRDefault="004757FC" w:rsidP="00162C49">
      <w:pPr>
        <w:pStyle w:val="Odstavecseseznamem"/>
        <w:rPr>
          <w:rFonts w:cs="Segoe UI"/>
        </w:rPr>
      </w:pPr>
      <w:r>
        <w:rPr>
          <w:rFonts w:cs="Segoe UI"/>
        </w:rPr>
        <w:t>Poskytovatel se zavazuje ke splnění služby definované v čl. 1.</w:t>
      </w:r>
      <w:r w:rsidR="00104443">
        <w:rPr>
          <w:rFonts w:cs="Segoe UI"/>
        </w:rPr>
        <w:t>2</w:t>
      </w:r>
      <w:r>
        <w:rPr>
          <w:rFonts w:cs="Segoe UI"/>
        </w:rPr>
        <w:t xml:space="preserve">.2 této Smlouvy nejpozději do </w:t>
      </w:r>
      <w:r w:rsidRPr="004757FC">
        <w:rPr>
          <w:rFonts w:cs="Segoe UI"/>
          <w:b/>
          <w:bCs/>
        </w:rPr>
        <w:t>31. 12. 2023</w:t>
      </w:r>
      <w:r>
        <w:rPr>
          <w:rFonts w:cs="Segoe UI"/>
        </w:rPr>
        <w:t>.</w:t>
      </w:r>
    </w:p>
    <w:p w14:paraId="52863E66" w14:textId="24EC5AAF" w:rsidR="00162C49" w:rsidRDefault="00162C49" w:rsidP="00162C49">
      <w:pPr>
        <w:pStyle w:val="Odstavecseseznamem"/>
        <w:rPr>
          <w:rFonts w:cs="Segoe UI"/>
        </w:rPr>
      </w:pPr>
      <w:r w:rsidRPr="00162C49">
        <w:rPr>
          <w:rFonts w:cs="Segoe UI"/>
        </w:rPr>
        <w:t xml:space="preserve">Místem plnění je pracoviště/sídlo </w:t>
      </w:r>
      <w:r w:rsidR="00822556">
        <w:rPr>
          <w:rFonts w:cs="Segoe UI"/>
        </w:rPr>
        <w:t>Poskytovatel</w:t>
      </w:r>
      <w:r w:rsidRPr="00162C49">
        <w:rPr>
          <w:rFonts w:cs="Segoe UI"/>
        </w:rPr>
        <w:t xml:space="preserve">e, nevyplývá-li z charakteru </w:t>
      </w:r>
      <w:r>
        <w:rPr>
          <w:rFonts w:cs="Segoe UI"/>
        </w:rPr>
        <w:t xml:space="preserve">poskytovaných </w:t>
      </w:r>
      <w:r w:rsidRPr="00162C49">
        <w:rPr>
          <w:rFonts w:cs="Segoe UI"/>
        </w:rPr>
        <w:t>služeb jiné místo plnění.</w:t>
      </w:r>
    </w:p>
    <w:p w14:paraId="0C64590A" w14:textId="357FAB33" w:rsidR="006D2EF4" w:rsidRPr="00ED3870" w:rsidRDefault="007E46FB" w:rsidP="006D2EF4">
      <w:pPr>
        <w:pStyle w:val="Nadpis1"/>
        <w:rPr>
          <w:rFonts w:cs="Segoe UI"/>
        </w:rPr>
      </w:pPr>
      <w:r w:rsidRPr="00ED3870">
        <w:rPr>
          <w:rFonts w:cs="Segoe UI"/>
        </w:rPr>
        <w:t>podmínky poskytování služeb</w:t>
      </w:r>
    </w:p>
    <w:p w14:paraId="5900E06B" w14:textId="46278040" w:rsidR="007815F4" w:rsidRPr="007815F4" w:rsidRDefault="00822556" w:rsidP="002432EF">
      <w:pPr>
        <w:pStyle w:val="Odstavecseseznamem"/>
        <w:rPr>
          <w:rFonts w:cs="Segoe UI"/>
        </w:rPr>
      </w:pPr>
      <w:r>
        <w:rPr>
          <w:rFonts w:cs="Segoe UI"/>
        </w:rPr>
        <w:t>Objednatel</w:t>
      </w:r>
      <w:r w:rsidR="006D2EF4" w:rsidRPr="00101910">
        <w:rPr>
          <w:rFonts w:cs="Segoe UI"/>
        </w:rPr>
        <w:t xml:space="preserve"> b</w:t>
      </w:r>
      <w:r w:rsidR="00101910" w:rsidRPr="004F6B56">
        <w:rPr>
          <w:rFonts w:cs="Segoe UI"/>
        </w:rPr>
        <w:t xml:space="preserve">ude s </w:t>
      </w:r>
      <w:r>
        <w:rPr>
          <w:rFonts w:cs="Segoe UI"/>
        </w:rPr>
        <w:t>Poskytovatel</w:t>
      </w:r>
      <w:r w:rsidR="00101910" w:rsidRPr="004F6B56">
        <w:rPr>
          <w:rFonts w:cs="Segoe UI"/>
        </w:rPr>
        <w:t xml:space="preserve">em komunikovat ohledně realizace požadavků na správu či vývoj systému prostřednictvím </w:t>
      </w:r>
      <w:r w:rsidR="006D2EF4" w:rsidRPr="00101910">
        <w:rPr>
          <w:rFonts w:cs="Segoe UI"/>
        </w:rPr>
        <w:t xml:space="preserve">IS JIRA </w:t>
      </w:r>
      <w:r>
        <w:rPr>
          <w:rFonts w:cs="Segoe UI"/>
        </w:rPr>
        <w:t>Objednatel</w:t>
      </w:r>
      <w:r w:rsidR="006D2EF4" w:rsidRPr="00101910">
        <w:rPr>
          <w:rFonts w:cs="Segoe UI"/>
        </w:rPr>
        <w:t xml:space="preserve">e. </w:t>
      </w:r>
      <w:r w:rsidR="00ED3870" w:rsidRPr="00C54574">
        <w:t>Zadávání</w:t>
      </w:r>
      <w:r w:rsidR="007815F4">
        <w:t xml:space="preserve"> provedení</w:t>
      </w:r>
      <w:r w:rsidR="00ED3870" w:rsidRPr="00C54574">
        <w:t xml:space="preserve"> dílčích služeb bude administrováno prostřednictvím jednotlivých požadavků v</w:t>
      </w:r>
      <w:r w:rsidR="007815F4">
        <w:t xml:space="preserve"> IS </w:t>
      </w:r>
      <w:r w:rsidR="00ED3870" w:rsidRPr="00C54574">
        <w:t>JIRA</w:t>
      </w:r>
      <w:r w:rsidR="00ED3870">
        <w:t xml:space="preserve">, </w:t>
      </w:r>
      <w:r w:rsidR="007815F4">
        <w:t>kdy Objednatel specifikuje požadované služby a Poskytovatel nabídne možný termín a odhad pracnosti s přesností na 0,25 člověkohodiny. Po akceptaci ze strany Objednatele zahájí Poskytovatel realizaci požadovaných služeb.</w:t>
      </w:r>
    </w:p>
    <w:p w14:paraId="2007F339" w14:textId="601BB944" w:rsidR="003044C1" w:rsidRDefault="00822556" w:rsidP="008B6CB3">
      <w:pPr>
        <w:pStyle w:val="Odstavecseseznamem"/>
        <w:rPr>
          <w:rFonts w:cs="Segoe UI"/>
        </w:rPr>
      </w:pPr>
      <w:r>
        <w:rPr>
          <w:rFonts w:cs="Segoe UI"/>
        </w:rPr>
        <w:t>Poskytovatel</w:t>
      </w:r>
      <w:r w:rsidR="006D2EF4" w:rsidRPr="007A3BFF">
        <w:rPr>
          <w:rFonts w:cs="Segoe UI"/>
        </w:rPr>
        <w:t xml:space="preserve"> je oprávněn užívat, měnit, upravovat a jinak zasahovat do zdrojového kódu </w:t>
      </w:r>
      <w:r w:rsidR="003044C1">
        <w:rPr>
          <w:rFonts w:cs="Segoe UI"/>
        </w:rPr>
        <w:t xml:space="preserve">systému </w:t>
      </w:r>
      <w:r w:rsidR="006D2EF4" w:rsidRPr="007A3BFF">
        <w:rPr>
          <w:rFonts w:cs="Segoe UI"/>
        </w:rPr>
        <w:t>za účelem odstranění vad</w:t>
      </w:r>
      <w:r w:rsidR="003044C1">
        <w:rPr>
          <w:rFonts w:cs="Segoe UI"/>
        </w:rPr>
        <w:t xml:space="preserve"> systému</w:t>
      </w:r>
      <w:r w:rsidR="006D2EF4" w:rsidRPr="007A3BFF">
        <w:rPr>
          <w:rFonts w:cs="Segoe UI"/>
        </w:rPr>
        <w:t xml:space="preserve">, zajištění řádného fungování </w:t>
      </w:r>
      <w:r w:rsidR="003044C1">
        <w:rPr>
          <w:rFonts w:cs="Segoe UI"/>
        </w:rPr>
        <w:t>systému</w:t>
      </w:r>
      <w:r w:rsidR="006D2EF4" w:rsidRPr="007A3BFF">
        <w:rPr>
          <w:rFonts w:cs="Segoe UI"/>
        </w:rPr>
        <w:t xml:space="preserve"> a funkčního propojení s</w:t>
      </w:r>
      <w:r w:rsidR="007815F4">
        <w:rPr>
          <w:rFonts w:cs="Segoe UI"/>
        </w:rPr>
        <w:t> </w:t>
      </w:r>
      <w:r w:rsidR="006D2EF4" w:rsidRPr="007A3BFF">
        <w:rPr>
          <w:rFonts w:cs="Segoe UI"/>
        </w:rPr>
        <w:t xml:space="preserve">ostatními počítačovými programy a informačními systémy </w:t>
      </w:r>
      <w:r w:rsidR="00ED3870">
        <w:rPr>
          <w:rFonts w:cs="Segoe UI"/>
        </w:rPr>
        <w:t>Objednatele</w:t>
      </w:r>
      <w:r w:rsidR="000D400C">
        <w:rPr>
          <w:rFonts w:cs="Segoe UI"/>
        </w:rPr>
        <w:t>.</w:t>
      </w:r>
    </w:p>
    <w:p w14:paraId="229F6276" w14:textId="5BEE8B47" w:rsidR="00B444C4" w:rsidRDefault="00B444C4" w:rsidP="008B6CB3">
      <w:pPr>
        <w:pStyle w:val="Odstavecseseznamem"/>
        <w:rPr>
          <w:rFonts w:cs="Segoe UI"/>
        </w:rPr>
      </w:pPr>
      <w:r w:rsidRPr="00B444C4">
        <w:rPr>
          <w:rFonts w:cs="Segoe UI"/>
        </w:rPr>
        <w:t xml:space="preserve">Po každém poskytnutí </w:t>
      </w:r>
      <w:r>
        <w:rPr>
          <w:rFonts w:cs="Segoe UI"/>
        </w:rPr>
        <w:t>požadovaných služeb</w:t>
      </w:r>
      <w:r w:rsidRPr="00B444C4">
        <w:rPr>
          <w:rFonts w:cs="Segoe UI"/>
        </w:rPr>
        <w:t xml:space="preserve"> </w:t>
      </w:r>
      <w:r>
        <w:rPr>
          <w:rFonts w:cs="Segoe UI"/>
        </w:rPr>
        <w:t xml:space="preserve">potvrdí </w:t>
      </w:r>
      <w:r w:rsidRPr="00B444C4">
        <w:rPr>
          <w:rFonts w:cs="Segoe UI"/>
        </w:rPr>
        <w:t>Objednatel</w:t>
      </w:r>
      <w:r>
        <w:rPr>
          <w:rFonts w:cs="Segoe UI"/>
        </w:rPr>
        <w:t xml:space="preserve"> Poskytovateli</w:t>
      </w:r>
      <w:r w:rsidRPr="00B444C4">
        <w:rPr>
          <w:rFonts w:cs="Segoe UI"/>
        </w:rPr>
        <w:t xml:space="preserve"> provedení konkrétní služby a její časovou </w:t>
      </w:r>
      <w:r>
        <w:rPr>
          <w:rFonts w:cs="Segoe UI"/>
        </w:rPr>
        <w:t>pracnost</w:t>
      </w:r>
      <w:r w:rsidRPr="00B444C4">
        <w:rPr>
          <w:rFonts w:cs="Segoe UI"/>
        </w:rPr>
        <w:t xml:space="preserve"> v </w:t>
      </w:r>
      <w:r>
        <w:rPr>
          <w:rFonts w:cs="Segoe UI"/>
        </w:rPr>
        <w:t>IS</w:t>
      </w:r>
      <w:r w:rsidRPr="00B444C4">
        <w:rPr>
          <w:rFonts w:cs="Segoe UI"/>
        </w:rPr>
        <w:t xml:space="preserve"> JIRA. Nedojde-li ze strany Objednatele</w:t>
      </w:r>
      <w:r>
        <w:rPr>
          <w:rFonts w:cs="Segoe UI"/>
        </w:rPr>
        <w:t xml:space="preserve"> </w:t>
      </w:r>
      <w:r w:rsidRPr="00B444C4">
        <w:rPr>
          <w:rFonts w:cs="Segoe UI"/>
        </w:rPr>
        <w:t xml:space="preserve">k potvrzení provedené služby a její časové </w:t>
      </w:r>
      <w:r>
        <w:rPr>
          <w:rFonts w:cs="Segoe UI"/>
        </w:rPr>
        <w:t>pracnos</w:t>
      </w:r>
      <w:r w:rsidRPr="00B444C4">
        <w:rPr>
          <w:rFonts w:cs="Segoe UI"/>
        </w:rPr>
        <w:t>ti do 14 pracovních dnů, a ne</w:t>
      </w:r>
      <w:r>
        <w:rPr>
          <w:rFonts w:cs="Segoe UI"/>
        </w:rPr>
        <w:t>budou</w:t>
      </w:r>
      <w:r w:rsidRPr="00B444C4">
        <w:rPr>
          <w:rFonts w:cs="Segoe UI"/>
        </w:rPr>
        <w:t>-li v této lhůtě ani vzneseny žádné připomínky či námitky k provedené službě, považuje se služba za řádně poskytnutou.</w:t>
      </w:r>
    </w:p>
    <w:p w14:paraId="696203E6" w14:textId="5FCF85CF" w:rsidR="008A2A15" w:rsidRDefault="008A2A15" w:rsidP="008A2A15">
      <w:pPr>
        <w:pStyle w:val="Odstavecseseznamem"/>
        <w:rPr>
          <w:rFonts w:cs="Segoe UI"/>
        </w:rPr>
      </w:pPr>
      <w:r>
        <w:rPr>
          <w:rFonts w:cs="Segoe UI"/>
        </w:rPr>
        <w:t>Poskytovatel</w:t>
      </w:r>
      <w:r w:rsidRPr="00911F54">
        <w:rPr>
          <w:rFonts w:cs="Segoe UI"/>
        </w:rPr>
        <w:t xml:space="preserve"> odpovídá za to, že plnění bude poskytnuto v souladu s touto </w:t>
      </w:r>
      <w:r>
        <w:rPr>
          <w:rFonts w:cs="Segoe UI"/>
        </w:rPr>
        <w:t>Smlouv</w:t>
      </w:r>
      <w:r w:rsidRPr="00911F54">
        <w:rPr>
          <w:rFonts w:cs="Segoe UI"/>
        </w:rPr>
        <w:t>ou</w:t>
      </w:r>
      <w:r w:rsidRPr="00903E73">
        <w:rPr>
          <w:rFonts w:cs="Segoe UI"/>
        </w:rPr>
        <w:t xml:space="preserve">. </w:t>
      </w:r>
      <w:r>
        <w:rPr>
          <w:rFonts w:cs="Segoe UI"/>
        </w:rPr>
        <w:t>Poskytovatel</w:t>
      </w:r>
      <w:r w:rsidRPr="00903E73">
        <w:rPr>
          <w:rFonts w:cs="Segoe UI"/>
        </w:rPr>
        <w:t xml:space="preserve"> se zavazuje, že plnění bude poskytovat podle svých nejlepších znalostí a schopností, řádně a</w:t>
      </w:r>
      <w:r>
        <w:rPr>
          <w:rFonts w:cs="Segoe UI"/>
        </w:rPr>
        <w:t> </w:t>
      </w:r>
      <w:r w:rsidRPr="00903E73">
        <w:rPr>
          <w:rFonts w:cs="Segoe UI"/>
        </w:rPr>
        <w:t>s</w:t>
      </w:r>
      <w:r>
        <w:rPr>
          <w:rFonts w:cs="Segoe UI"/>
        </w:rPr>
        <w:t> </w:t>
      </w:r>
      <w:r w:rsidRPr="00903E73">
        <w:rPr>
          <w:rFonts w:cs="Segoe UI"/>
        </w:rPr>
        <w:t>odbornou péčí</w:t>
      </w:r>
      <w:r>
        <w:rPr>
          <w:rFonts w:cs="Segoe UI"/>
        </w:rPr>
        <w:t>. Objednatel se zavazuje zajistit Poskytovateli nezbytnou součinnost.</w:t>
      </w:r>
    </w:p>
    <w:p w14:paraId="0E3E41AB" w14:textId="6482E305" w:rsidR="001B5854" w:rsidRPr="001B5854" w:rsidRDefault="001B5854" w:rsidP="001B5854">
      <w:pPr>
        <w:pStyle w:val="Odstavecseseznamem"/>
        <w:rPr>
          <w:rFonts w:cs="Segoe UI"/>
        </w:rPr>
      </w:pPr>
      <w:r w:rsidRPr="5D2888B2">
        <w:rPr>
          <w:rFonts w:cs="Segoe UI"/>
        </w:rPr>
        <w:t xml:space="preserve">Podmínkou realizace služeb dle čl. 1.2.2 je kompletní datová komunikace se zavedeným ekonomickým systémem EIS v prostředí Oracle, a to z důvodu poměrně úzké vazby a výměny dat mezi oběma aplikacemi. Datová komunikace z aplikace ŘANP do rozhraní EIS je funkční od XI/2019. </w:t>
      </w:r>
    </w:p>
    <w:p w14:paraId="0569FF96" w14:textId="49FA6001" w:rsidR="001B5854" w:rsidRPr="001B5854" w:rsidRDefault="00D36B75" w:rsidP="001B5854">
      <w:pPr>
        <w:pStyle w:val="Odstavecseseznamem"/>
        <w:rPr>
          <w:rFonts w:cs="Segoe UI"/>
        </w:rPr>
      </w:pPr>
      <w:r w:rsidRPr="5D2888B2">
        <w:rPr>
          <w:rFonts w:cs="Segoe UI"/>
        </w:rPr>
        <w:t xml:space="preserve">Realizace služeb dle čl. 1.2.2 </w:t>
      </w:r>
      <w:r w:rsidR="001B5854" w:rsidRPr="5D2888B2">
        <w:rPr>
          <w:rFonts w:cs="Segoe UI"/>
        </w:rPr>
        <w:t xml:space="preserve">dále nepředpokládá změnu vazby na aplikaci při příjmu a vyřízení žádosti. Předpokládá nadále rozhraní v prostředí </w:t>
      </w:r>
      <w:r w:rsidR="00E77162" w:rsidRPr="5D2888B2">
        <w:rPr>
          <w:rFonts w:cs="Segoe UI"/>
        </w:rPr>
        <w:t xml:space="preserve">HCL </w:t>
      </w:r>
      <w:r w:rsidR="001B5854" w:rsidRPr="5D2888B2">
        <w:rPr>
          <w:rFonts w:cs="Segoe UI"/>
        </w:rPr>
        <w:t xml:space="preserve">Notes v prostředí Oracle pro ŘANP. Pokud by bylo nutné tuto vazbu změnit na jiné aplikace v jiném prostředí, </w:t>
      </w:r>
      <w:r w:rsidR="00841770" w:rsidRPr="5D2888B2">
        <w:rPr>
          <w:rFonts w:cs="Segoe UI"/>
        </w:rPr>
        <w:t xml:space="preserve">bude </w:t>
      </w:r>
      <w:r w:rsidR="001B5854" w:rsidRPr="5D2888B2">
        <w:rPr>
          <w:rFonts w:cs="Segoe UI"/>
        </w:rPr>
        <w:t xml:space="preserve">nutno do harmonogramu </w:t>
      </w:r>
      <w:r w:rsidR="00841770" w:rsidRPr="5D2888B2">
        <w:rPr>
          <w:rFonts w:cs="Segoe UI"/>
        </w:rPr>
        <w:t xml:space="preserve">v příloze č. 4 Smlouvy </w:t>
      </w:r>
      <w:r w:rsidR="001B5854" w:rsidRPr="5D2888B2">
        <w:rPr>
          <w:rFonts w:cs="Segoe UI"/>
        </w:rPr>
        <w:t>začlenit další etapu „Úprava integračních vazeb s aplikací při příjmu a</w:t>
      </w:r>
      <w:r w:rsidR="00DF3387">
        <w:rPr>
          <w:rFonts w:cs="Segoe UI"/>
        </w:rPr>
        <w:t> </w:t>
      </w:r>
      <w:r w:rsidR="001B5854" w:rsidRPr="5D2888B2">
        <w:rPr>
          <w:rFonts w:cs="Segoe UI"/>
        </w:rPr>
        <w:t xml:space="preserve">vyřízení žádostí“. </w:t>
      </w:r>
    </w:p>
    <w:p w14:paraId="374D3B94" w14:textId="0829D1C5" w:rsidR="001B5854" w:rsidRPr="008A2A15" w:rsidRDefault="001B5854" w:rsidP="001B5854">
      <w:pPr>
        <w:pStyle w:val="Odstavecseseznamem"/>
        <w:rPr>
          <w:rFonts w:cs="Segoe UI"/>
        </w:rPr>
      </w:pPr>
      <w:r w:rsidRPr="5D2888B2">
        <w:rPr>
          <w:rFonts w:cs="Segoe UI"/>
        </w:rPr>
        <w:t xml:space="preserve">V harmonogramu a </w:t>
      </w:r>
      <w:r w:rsidR="00B878A0" w:rsidRPr="5D2888B2">
        <w:rPr>
          <w:rFonts w:cs="Segoe UI"/>
        </w:rPr>
        <w:t xml:space="preserve">níže uvedené </w:t>
      </w:r>
      <w:r w:rsidRPr="5D2888B2">
        <w:rPr>
          <w:rFonts w:cs="Segoe UI"/>
        </w:rPr>
        <w:t>ceně nejsou započteny práce s instalací a nastavením databázového serveru, kde se předpokládá účast dodavatele databázového serveru. Dále nejsou započteny práce s instalací aplikačního serveru Oracle a instalace klientských stanic.</w:t>
      </w:r>
    </w:p>
    <w:p w14:paraId="3D513C53" w14:textId="36BE6958" w:rsidR="00B727F2" w:rsidRPr="00F27A81" w:rsidRDefault="00D3250D" w:rsidP="00412864">
      <w:pPr>
        <w:pStyle w:val="Nadpis1"/>
        <w:rPr>
          <w:rFonts w:cs="Segoe UI"/>
        </w:rPr>
      </w:pPr>
      <w:r>
        <w:rPr>
          <w:rFonts w:cs="Segoe UI"/>
        </w:rPr>
        <w:t>odměna</w:t>
      </w:r>
      <w:r w:rsidR="005209EF">
        <w:rPr>
          <w:rFonts w:cs="Segoe UI"/>
        </w:rPr>
        <w:t xml:space="preserve"> a platební podmínky</w:t>
      </w:r>
    </w:p>
    <w:p w14:paraId="06153808" w14:textId="09D3D7F3" w:rsidR="00381066" w:rsidRPr="00AF1FE6" w:rsidRDefault="00822556" w:rsidP="004F6B56">
      <w:pPr>
        <w:pStyle w:val="Odstavecseseznamem"/>
        <w:rPr>
          <w:rFonts w:cs="Segoe UI"/>
        </w:rPr>
      </w:pPr>
      <w:r>
        <w:rPr>
          <w:rFonts w:cs="Segoe UI"/>
        </w:rPr>
        <w:t>Objednatel</w:t>
      </w:r>
      <w:r w:rsidR="005209EF">
        <w:rPr>
          <w:rFonts w:cs="Segoe UI"/>
        </w:rPr>
        <w:t xml:space="preserve"> se zavazuje</w:t>
      </w:r>
      <w:r w:rsidR="00381066">
        <w:rPr>
          <w:rFonts w:cs="Segoe UI"/>
        </w:rPr>
        <w:t xml:space="preserve"> zaplatit </w:t>
      </w:r>
      <w:r>
        <w:rPr>
          <w:rFonts w:cs="Segoe UI"/>
        </w:rPr>
        <w:t>Poskytovatel</w:t>
      </w:r>
      <w:r w:rsidR="00381066" w:rsidRPr="00381066">
        <w:rPr>
          <w:rFonts w:cs="Segoe UI"/>
        </w:rPr>
        <w:t xml:space="preserve">i za řádně a včas </w:t>
      </w:r>
      <w:r w:rsidR="00505CF2">
        <w:rPr>
          <w:rFonts w:cs="Segoe UI"/>
        </w:rPr>
        <w:t>poskytnuté služby</w:t>
      </w:r>
      <w:r w:rsidR="00381066" w:rsidRPr="00381066">
        <w:rPr>
          <w:rFonts w:cs="Segoe UI"/>
        </w:rPr>
        <w:t xml:space="preserve"> </w:t>
      </w:r>
      <w:r w:rsidR="007E0CE5">
        <w:rPr>
          <w:rFonts w:cs="Segoe UI"/>
        </w:rPr>
        <w:t>specifikované v čl.</w:t>
      </w:r>
      <w:r w:rsidR="009B4270">
        <w:rPr>
          <w:rFonts w:cs="Segoe UI"/>
        </w:rPr>
        <w:t> </w:t>
      </w:r>
      <w:r w:rsidR="007E0CE5">
        <w:rPr>
          <w:rFonts w:cs="Segoe UI"/>
        </w:rPr>
        <w:t>1.2</w:t>
      </w:r>
      <w:r w:rsidR="00AF1FE6">
        <w:rPr>
          <w:rFonts w:cs="Segoe UI"/>
        </w:rPr>
        <w:t>.1</w:t>
      </w:r>
      <w:r w:rsidR="007E0CE5">
        <w:rPr>
          <w:rFonts w:cs="Segoe UI"/>
        </w:rPr>
        <w:t xml:space="preserve"> </w:t>
      </w:r>
      <w:r>
        <w:rPr>
          <w:rFonts w:cs="Segoe UI"/>
        </w:rPr>
        <w:t>Smlouv</w:t>
      </w:r>
      <w:r w:rsidR="007E0CE5">
        <w:rPr>
          <w:rFonts w:cs="Segoe UI"/>
        </w:rPr>
        <w:t xml:space="preserve">y </w:t>
      </w:r>
      <w:r w:rsidR="00D3250D">
        <w:rPr>
          <w:rFonts w:cs="Segoe UI"/>
        </w:rPr>
        <w:t>odměnu</w:t>
      </w:r>
      <w:r w:rsidR="007E0CE5">
        <w:rPr>
          <w:rFonts w:cs="Segoe UI"/>
        </w:rPr>
        <w:t xml:space="preserve"> </w:t>
      </w:r>
      <w:r w:rsidR="009B4270">
        <w:rPr>
          <w:rFonts w:cs="Segoe UI"/>
        </w:rPr>
        <w:t xml:space="preserve">ve výši </w:t>
      </w:r>
      <w:r w:rsidR="009B4270" w:rsidRPr="009B4270">
        <w:rPr>
          <w:rFonts w:cs="Segoe UI"/>
          <w:b/>
          <w:bCs/>
        </w:rPr>
        <w:t>1.700 Kč bez DPH</w:t>
      </w:r>
      <w:r w:rsidR="009B4270">
        <w:rPr>
          <w:rFonts w:cs="Segoe UI"/>
        </w:rPr>
        <w:t xml:space="preserve"> </w:t>
      </w:r>
      <w:r w:rsidR="009B4270">
        <w:rPr>
          <w:szCs w:val="18"/>
        </w:rPr>
        <w:t>z</w:t>
      </w:r>
      <w:r w:rsidR="009B4270" w:rsidRPr="00DA4359">
        <w:rPr>
          <w:szCs w:val="18"/>
        </w:rPr>
        <w:t>a 1 člověkohodinu poskytovaných služeb</w:t>
      </w:r>
      <w:r w:rsidR="009B4270">
        <w:rPr>
          <w:szCs w:val="18"/>
        </w:rPr>
        <w:t>.</w:t>
      </w:r>
    </w:p>
    <w:p w14:paraId="1F1037EE" w14:textId="20BA9AEF" w:rsidR="00AF1FE6" w:rsidRDefault="00AF1FE6" w:rsidP="004F6B56">
      <w:pPr>
        <w:pStyle w:val="Odstavecseseznamem"/>
        <w:rPr>
          <w:rFonts w:cs="Segoe UI"/>
        </w:rPr>
      </w:pPr>
      <w:r w:rsidRPr="13E267F5">
        <w:rPr>
          <w:rFonts w:cs="Segoe UI"/>
        </w:rPr>
        <w:t xml:space="preserve">Objednatel se zavazuje zaplatit Poskytovateli za řádně a včas poskytnuté služby specifikované v čl. 1.2.2 Smlouvy odměnu ve výši </w:t>
      </w:r>
      <w:r w:rsidRPr="13E267F5">
        <w:rPr>
          <w:rFonts w:cs="Segoe UI"/>
          <w:b/>
          <w:bCs/>
        </w:rPr>
        <w:t>673.000 Kč bez DPH</w:t>
      </w:r>
      <w:r w:rsidRPr="13E267F5">
        <w:rPr>
          <w:rFonts w:cs="Segoe UI"/>
        </w:rPr>
        <w:t>. Tato cena je členěna následovně:</w:t>
      </w:r>
    </w:p>
    <w:p w14:paraId="1346A19C" w14:textId="0B002C92" w:rsidR="00AF1FE6" w:rsidRDefault="00AF1FE6" w:rsidP="00AF1FE6">
      <w:pPr>
        <w:pStyle w:val="slovanseznam"/>
      </w:pPr>
      <w:r>
        <w:t>Část 1 – 30.000 Kč bez DPH</w:t>
      </w:r>
      <w:r w:rsidR="00D516A5">
        <w:t>;</w:t>
      </w:r>
    </w:p>
    <w:p w14:paraId="3C7790E5" w14:textId="46642585" w:rsidR="00AF1FE6" w:rsidRDefault="00AF1FE6" w:rsidP="00AF1FE6">
      <w:pPr>
        <w:pStyle w:val="slovanseznam"/>
      </w:pPr>
      <w:r>
        <w:t>Část 2 – 189.000 Kč bez DPH</w:t>
      </w:r>
      <w:r w:rsidR="00D516A5">
        <w:t>;</w:t>
      </w:r>
    </w:p>
    <w:p w14:paraId="33150D85" w14:textId="2A241C73" w:rsidR="00AF1FE6" w:rsidRDefault="00AF1FE6" w:rsidP="00AF1FE6">
      <w:pPr>
        <w:pStyle w:val="slovanseznam"/>
      </w:pPr>
      <w:r>
        <w:t>Část 3 – 30.000 Kč bez DPH</w:t>
      </w:r>
      <w:r w:rsidR="00D516A5">
        <w:t>;</w:t>
      </w:r>
    </w:p>
    <w:p w14:paraId="4C25178E" w14:textId="1B4B12FC" w:rsidR="00AF1FE6" w:rsidRDefault="00AF1FE6" w:rsidP="00AF1FE6">
      <w:pPr>
        <w:pStyle w:val="slovanseznam"/>
      </w:pPr>
      <w:r>
        <w:t>Část 4 – 34.000 Kč bez DPH</w:t>
      </w:r>
      <w:r w:rsidR="00D516A5">
        <w:t>;</w:t>
      </w:r>
    </w:p>
    <w:p w14:paraId="595B753C" w14:textId="732CDDEF" w:rsidR="00AF1FE6" w:rsidRDefault="00AF1FE6" w:rsidP="00AF1FE6">
      <w:pPr>
        <w:pStyle w:val="slovanseznam"/>
      </w:pPr>
      <w:r>
        <w:t>Část 5 – 63.000 Kč bez DPH</w:t>
      </w:r>
      <w:r w:rsidR="00D516A5">
        <w:t>;</w:t>
      </w:r>
    </w:p>
    <w:p w14:paraId="3FD60057" w14:textId="7436BE3B" w:rsidR="00AF1FE6" w:rsidRDefault="00AF1FE6" w:rsidP="00AF1FE6">
      <w:pPr>
        <w:pStyle w:val="slovanseznam"/>
      </w:pPr>
      <w:r>
        <w:t xml:space="preserve">Část 6 </w:t>
      </w:r>
      <w:r w:rsidR="00D516A5">
        <w:t>–</w:t>
      </w:r>
      <w:r>
        <w:t xml:space="preserve"> </w:t>
      </w:r>
      <w:r w:rsidR="00D516A5">
        <w:t>63.000 Kč bez DPH;</w:t>
      </w:r>
    </w:p>
    <w:p w14:paraId="142EFCA0" w14:textId="008B1F27" w:rsidR="00D516A5" w:rsidRDefault="00D516A5" w:rsidP="00AF1FE6">
      <w:pPr>
        <w:pStyle w:val="slovanseznam"/>
      </w:pPr>
      <w:r>
        <w:t xml:space="preserve">Část 7 – 139.000 Kč bez DPH; </w:t>
      </w:r>
    </w:p>
    <w:p w14:paraId="7C396569" w14:textId="0F1700EC" w:rsidR="00D516A5" w:rsidRPr="00381066" w:rsidRDefault="00D516A5" w:rsidP="00AF1FE6">
      <w:pPr>
        <w:pStyle w:val="slovanseznam"/>
      </w:pPr>
      <w:r>
        <w:t>Část 8 – 125.000 Kč bez DPH.</w:t>
      </w:r>
    </w:p>
    <w:p w14:paraId="21FAD4AE" w14:textId="6340C28C" w:rsidR="00381066" w:rsidRDefault="00381066" w:rsidP="00381066">
      <w:pPr>
        <w:pStyle w:val="Odstavecseseznamem"/>
        <w:rPr>
          <w:rFonts w:cs="Segoe UI"/>
        </w:rPr>
      </w:pPr>
      <w:r w:rsidRPr="00381066">
        <w:rPr>
          <w:rFonts w:cs="Segoe UI"/>
        </w:rPr>
        <w:t xml:space="preserve">Za předmět plnění dle této </w:t>
      </w:r>
      <w:r w:rsidR="00822556">
        <w:rPr>
          <w:rFonts w:cs="Segoe UI"/>
        </w:rPr>
        <w:t>Smlouv</w:t>
      </w:r>
      <w:r w:rsidRPr="00381066">
        <w:rPr>
          <w:rFonts w:cs="Segoe UI"/>
        </w:rPr>
        <w:t xml:space="preserve">y se sjednává celková maximální nepřekročitelná cena ve výši </w:t>
      </w:r>
      <w:r w:rsidR="009B4270" w:rsidRPr="009B4270">
        <w:rPr>
          <w:rFonts w:cs="Segoe UI"/>
          <w:b/>
          <w:bCs/>
        </w:rPr>
        <w:t>1.50</w:t>
      </w:r>
      <w:r w:rsidRPr="009B4270">
        <w:rPr>
          <w:rFonts w:cs="Segoe UI"/>
          <w:b/>
          <w:bCs/>
        </w:rPr>
        <w:t>0</w:t>
      </w:r>
      <w:r w:rsidRPr="004F6B56">
        <w:rPr>
          <w:rFonts w:cs="Segoe UI"/>
          <w:b/>
        </w:rPr>
        <w:t>.</w:t>
      </w:r>
      <w:r w:rsidR="00CB712D" w:rsidRPr="004F6B56">
        <w:rPr>
          <w:rFonts w:cs="Segoe UI"/>
          <w:b/>
        </w:rPr>
        <w:t>0</w:t>
      </w:r>
      <w:r w:rsidRPr="004F6B56">
        <w:rPr>
          <w:rFonts w:cs="Segoe UI"/>
          <w:b/>
        </w:rPr>
        <w:t>00 Kč</w:t>
      </w:r>
      <w:r w:rsidRPr="00381066">
        <w:rPr>
          <w:rFonts w:cs="Segoe UI"/>
        </w:rPr>
        <w:t xml:space="preserve"> </w:t>
      </w:r>
      <w:r w:rsidRPr="004F6B56">
        <w:rPr>
          <w:rFonts w:cs="Segoe UI"/>
          <w:b/>
        </w:rPr>
        <w:t>bez DPH</w:t>
      </w:r>
      <w:r w:rsidR="00756865">
        <w:rPr>
          <w:rFonts w:cs="Segoe UI"/>
        </w:rPr>
        <w:t xml:space="preserve">, přičemž </w:t>
      </w:r>
      <w:r w:rsidR="00822556">
        <w:rPr>
          <w:rFonts w:cs="Segoe UI"/>
        </w:rPr>
        <w:t>Objednatel</w:t>
      </w:r>
      <w:r w:rsidR="00756865">
        <w:rPr>
          <w:rFonts w:cs="Segoe UI"/>
        </w:rPr>
        <w:t xml:space="preserve"> není povinen vyčerpat tuto částku celou. </w:t>
      </w:r>
    </w:p>
    <w:p w14:paraId="549C29FA" w14:textId="56E3EB2C" w:rsidR="0039293A" w:rsidRPr="00381066" w:rsidRDefault="0039293A" w:rsidP="00381066">
      <w:pPr>
        <w:pStyle w:val="Odstavecseseznamem"/>
        <w:rPr>
          <w:rFonts w:cs="Segoe UI"/>
        </w:rPr>
      </w:pPr>
      <w:r>
        <w:rPr>
          <w:rFonts w:cs="Segoe UI"/>
        </w:rPr>
        <w:t>Cen</w:t>
      </w:r>
      <w:r w:rsidR="00771678">
        <w:rPr>
          <w:rFonts w:cs="Segoe UI"/>
        </w:rPr>
        <w:t>y</w:t>
      </w:r>
      <w:r>
        <w:rPr>
          <w:rFonts w:cs="Segoe UI"/>
        </w:rPr>
        <w:t xml:space="preserve"> uveden</w:t>
      </w:r>
      <w:r w:rsidR="00771678">
        <w:rPr>
          <w:rFonts w:cs="Segoe UI"/>
        </w:rPr>
        <w:t>é</w:t>
      </w:r>
      <w:r w:rsidR="000C6820">
        <w:rPr>
          <w:rFonts w:cs="Segoe UI"/>
        </w:rPr>
        <w:t xml:space="preserve"> </w:t>
      </w:r>
      <w:r>
        <w:rPr>
          <w:rFonts w:cs="Segoe UI"/>
        </w:rPr>
        <w:t xml:space="preserve">v čl. </w:t>
      </w:r>
      <w:r w:rsidR="008A2A15">
        <w:rPr>
          <w:rFonts w:cs="Segoe UI"/>
        </w:rPr>
        <w:t>4</w:t>
      </w:r>
      <w:r>
        <w:rPr>
          <w:rFonts w:cs="Segoe UI"/>
        </w:rPr>
        <w:t xml:space="preserve">.1 </w:t>
      </w:r>
      <w:r w:rsidR="001533AC">
        <w:rPr>
          <w:rFonts w:cs="Segoe UI"/>
        </w:rPr>
        <w:t xml:space="preserve">a 4.2 </w:t>
      </w:r>
      <w:r>
        <w:rPr>
          <w:rFonts w:cs="Segoe UI"/>
        </w:rPr>
        <w:t xml:space="preserve">této </w:t>
      </w:r>
      <w:r w:rsidR="00822556">
        <w:rPr>
          <w:rFonts w:cs="Segoe UI"/>
        </w:rPr>
        <w:t>Smlouv</w:t>
      </w:r>
      <w:r>
        <w:rPr>
          <w:rFonts w:cs="Segoe UI"/>
        </w:rPr>
        <w:t>y zahrnuj</w:t>
      </w:r>
      <w:r w:rsidR="00771678">
        <w:rPr>
          <w:rFonts w:cs="Segoe UI"/>
        </w:rPr>
        <w:t>í</w:t>
      </w:r>
      <w:r>
        <w:rPr>
          <w:rFonts w:cs="Segoe UI"/>
        </w:rPr>
        <w:t xml:space="preserve"> veškeré a konečné náklady spojené s poskytováním služeb, žádné další práce, dodávky ani služby nebudou samostatně účtovány. Ceny mohou být v průběhu trvání </w:t>
      </w:r>
      <w:r w:rsidR="00822556">
        <w:rPr>
          <w:rFonts w:cs="Segoe UI"/>
        </w:rPr>
        <w:t>Smlouv</w:t>
      </w:r>
      <w:r>
        <w:rPr>
          <w:rFonts w:cs="Segoe UI"/>
        </w:rPr>
        <w:t>y změněny pouze z</w:t>
      </w:r>
      <w:r w:rsidR="00756865">
        <w:rPr>
          <w:rFonts w:cs="Segoe UI"/>
        </w:rPr>
        <w:t xml:space="preserve"> </w:t>
      </w:r>
      <w:r>
        <w:rPr>
          <w:rFonts w:cs="Segoe UI"/>
        </w:rPr>
        <w:t xml:space="preserve">důvodu změny zákona č. 235/2004 Sb., </w:t>
      </w:r>
      <w:r w:rsidR="00756865">
        <w:rPr>
          <w:rFonts w:cs="Segoe UI"/>
        </w:rPr>
        <w:t xml:space="preserve">o dani z přidané hodnoty, ve znění pozdějších předpisů. V takovém případě bude k částce bez DPH připočítáno DPH ve výši dle zákonné sazby aktuální ke dni uskutečnění zdanitelného plnění.   </w:t>
      </w:r>
      <w:r>
        <w:rPr>
          <w:rFonts w:cs="Segoe UI"/>
        </w:rPr>
        <w:t xml:space="preserve">   </w:t>
      </w:r>
    </w:p>
    <w:p w14:paraId="41F8D4E7" w14:textId="681A8CF7" w:rsidR="00381066" w:rsidRPr="004D2D22" w:rsidRDefault="00822556" w:rsidP="002C1793">
      <w:pPr>
        <w:pStyle w:val="Odstavecseseznamem"/>
      </w:pPr>
      <w:r>
        <w:t>Objednatel</w:t>
      </w:r>
      <w:r w:rsidR="00381066" w:rsidRPr="004D2D22">
        <w:t xml:space="preserve"> se zavazuje hradit </w:t>
      </w:r>
      <w:r>
        <w:t>Poskytovatel</w:t>
      </w:r>
      <w:r w:rsidR="00381066" w:rsidRPr="004D2D22">
        <w:t xml:space="preserve">i </w:t>
      </w:r>
      <w:r w:rsidR="00D3250D">
        <w:t>odměnu</w:t>
      </w:r>
      <w:r w:rsidR="00381066" w:rsidRPr="004D2D22">
        <w:t xml:space="preserve"> za </w:t>
      </w:r>
      <w:r w:rsidR="00802C1E">
        <w:t>poskytnuté služby</w:t>
      </w:r>
      <w:r w:rsidR="00381066" w:rsidRPr="004D2D22">
        <w:t xml:space="preserve"> na základě daňového dokladu</w:t>
      </w:r>
      <w:r w:rsidR="00756865">
        <w:t xml:space="preserve"> </w:t>
      </w:r>
      <w:r w:rsidR="00381066" w:rsidRPr="004D2D22">
        <w:t>odpovída</w:t>
      </w:r>
      <w:r w:rsidR="000C6820">
        <w:t>jícího</w:t>
      </w:r>
      <w:r w:rsidR="00381066" w:rsidRPr="004D2D22">
        <w:t xml:space="preserve"> svou povahou pojmu účetního dokladu podle ust. § 11 zákona č.</w:t>
      </w:r>
      <w:r w:rsidR="000C6820">
        <w:t> </w:t>
      </w:r>
      <w:r w:rsidR="00381066" w:rsidRPr="004D2D22">
        <w:t>563/1991 Sb., o účetnictví, ve znění pozdějších předpisů, a musí splňovat náležitosti obsažené v ust. § 2</w:t>
      </w:r>
      <w:r w:rsidR="00CB7117">
        <w:t>9</w:t>
      </w:r>
      <w:r w:rsidR="00381066" w:rsidRPr="004D2D22">
        <w:t xml:space="preserve"> zákona č. 235/2004 Sb., o dani z přidané hodnoty, ve znění pozdějších předpisů, a</w:t>
      </w:r>
      <w:r w:rsidR="000C6820">
        <w:t> </w:t>
      </w:r>
      <w:r w:rsidR="00381066" w:rsidRPr="004D2D22">
        <w:t>ust.</w:t>
      </w:r>
      <w:r w:rsidR="000C6820">
        <w:t> </w:t>
      </w:r>
      <w:r w:rsidR="00381066" w:rsidRPr="004D2D22">
        <w:t>§</w:t>
      </w:r>
      <w:r w:rsidR="000C6820">
        <w:t> </w:t>
      </w:r>
      <w:r w:rsidR="00381066" w:rsidRPr="004D2D22">
        <w:t xml:space="preserve">435 </w:t>
      </w:r>
      <w:r w:rsidR="00CB7117">
        <w:t>občanského</w:t>
      </w:r>
      <w:r w:rsidR="00381066" w:rsidRPr="004D2D22">
        <w:t xml:space="preserve"> zákoník</w:t>
      </w:r>
      <w:r w:rsidR="00CB7117">
        <w:t>u</w:t>
      </w:r>
      <w:r w:rsidR="00381066" w:rsidRPr="004D2D22">
        <w:t>.</w:t>
      </w:r>
      <w:r w:rsidR="00CB7117" w:rsidRPr="00CB7117">
        <w:t xml:space="preserve"> D</w:t>
      </w:r>
      <w:r w:rsidR="00CB7117">
        <w:t>aňový doklad</w:t>
      </w:r>
      <w:r w:rsidR="00756865">
        <w:t xml:space="preserve"> </w:t>
      </w:r>
      <w:r w:rsidR="00CB7117">
        <w:t>musí obsahovat text „číslo veřejné zakázky „VZ</w:t>
      </w:r>
      <w:r w:rsidR="000C6820">
        <w:t> </w:t>
      </w:r>
      <w:r w:rsidR="00CB7117">
        <w:t xml:space="preserve">č. </w:t>
      </w:r>
      <w:r w:rsidR="000C6820">
        <w:t>8</w:t>
      </w:r>
      <w:r w:rsidR="00CB7117">
        <w:t xml:space="preserve">/2021“ a číslo </w:t>
      </w:r>
      <w:r>
        <w:t>Smlouv</w:t>
      </w:r>
      <w:r w:rsidR="00CB7117">
        <w:t xml:space="preserve">y </w:t>
      </w:r>
      <w:r w:rsidR="00AE2F81">
        <w:t>120</w:t>
      </w:r>
      <w:r w:rsidR="00CB7117">
        <w:t xml:space="preserve">/2021. </w:t>
      </w:r>
      <w:r w:rsidR="00B031C4">
        <w:t>S</w:t>
      </w:r>
      <w:r w:rsidR="00381066" w:rsidRPr="004D2D22">
        <w:t>platnost</w:t>
      </w:r>
      <w:r w:rsidR="00CB7117">
        <w:t xml:space="preserve"> daňového dokladu</w:t>
      </w:r>
      <w:r w:rsidR="00756865">
        <w:t xml:space="preserve"> </w:t>
      </w:r>
      <w:r w:rsidR="000C6820">
        <w:t>činí</w:t>
      </w:r>
      <w:r w:rsidR="00381066" w:rsidRPr="004D2D22">
        <w:t xml:space="preserve"> </w:t>
      </w:r>
      <w:r w:rsidR="00381066" w:rsidRPr="004F6B56">
        <w:rPr>
          <w:b/>
        </w:rPr>
        <w:t>30 dnů</w:t>
      </w:r>
      <w:r w:rsidR="00381066" w:rsidRPr="004D2D22">
        <w:t xml:space="preserve"> ode dne j</w:t>
      </w:r>
      <w:r w:rsidR="000C6820">
        <w:t>eho</w:t>
      </w:r>
      <w:r w:rsidR="00381066" w:rsidRPr="004D2D22">
        <w:t xml:space="preserve"> doručení </w:t>
      </w:r>
      <w:r>
        <w:t>Objednatel</w:t>
      </w:r>
      <w:r w:rsidR="00381066" w:rsidRPr="004D2D22">
        <w:t xml:space="preserve">i. </w:t>
      </w:r>
    </w:p>
    <w:p w14:paraId="0A8D4636" w14:textId="37272592" w:rsidR="00FF3C77" w:rsidRDefault="00822556" w:rsidP="00FF3C77">
      <w:pPr>
        <w:pStyle w:val="Odstavecseseznamem"/>
        <w:rPr>
          <w:rFonts w:cs="Segoe UI"/>
        </w:rPr>
      </w:pPr>
      <w:r>
        <w:rPr>
          <w:rFonts w:cs="Segoe UI"/>
        </w:rPr>
        <w:t>Poskytovatel</w:t>
      </w:r>
      <w:r w:rsidR="00381066" w:rsidRPr="00381066">
        <w:rPr>
          <w:rFonts w:cs="Segoe UI"/>
        </w:rPr>
        <w:t xml:space="preserve"> je oprávněn vystavit </w:t>
      </w:r>
      <w:r w:rsidR="000B5332">
        <w:rPr>
          <w:rFonts w:cs="Segoe UI"/>
        </w:rPr>
        <w:t xml:space="preserve">daňový doklad </w:t>
      </w:r>
      <w:r w:rsidR="00FF3C77" w:rsidRPr="00FF3C77">
        <w:rPr>
          <w:rFonts w:cs="Segoe UI"/>
        </w:rPr>
        <w:t>až po realizaci požad</w:t>
      </w:r>
      <w:r w:rsidR="006D1067">
        <w:rPr>
          <w:rFonts w:cs="Segoe UI"/>
        </w:rPr>
        <w:t>ovaných služeb</w:t>
      </w:r>
      <w:r w:rsidR="00FF3C77" w:rsidRPr="00FF3C77">
        <w:rPr>
          <w:rFonts w:cs="Segoe UI"/>
        </w:rPr>
        <w:t xml:space="preserve"> a potvrzení této skutečnosti v IS JIRA. </w:t>
      </w:r>
      <w:r w:rsidR="000B5332">
        <w:rPr>
          <w:rFonts w:cs="Segoe UI"/>
        </w:rPr>
        <w:t xml:space="preserve">Daňový doklad </w:t>
      </w:r>
      <w:r w:rsidR="006D1067">
        <w:rPr>
          <w:rFonts w:cs="Segoe UI"/>
        </w:rPr>
        <w:t>zasíl</w:t>
      </w:r>
      <w:r w:rsidR="00FF3C77" w:rsidRPr="00FF3C77">
        <w:rPr>
          <w:rFonts w:cs="Segoe UI"/>
        </w:rPr>
        <w:t xml:space="preserve">á </w:t>
      </w:r>
      <w:r>
        <w:rPr>
          <w:rFonts w:cs="Segoe UI"/>
        </w:rPr>
        <w:t>Poskytovatel</w:t>
      </w:r>
      <w:r w:rsidR="00FF3C77" w:rsidRPr="00FF3C77">
        <w:rPr>
          <w:rFonts w:cs="Segoe UI"/>
        </w:rPr>
        <w:t xml:space="preserve"> vždy </w:t>
      </w:r>
      <w:r w:rsidR="006D1067">
        <w:rPr>
          <w:rFonts w:cs="Segoe UI"/>
        </w:rPr>
        <w:t xml:space="preserve">v elektronické podobě na </w:t>
      </w:r>
      <w:r w:rsidR="006D1067" w:rsidRPr="00D264A5">
        <w:rPr>
          <w:rFonts w:cs="Segoe UI"/>
        </w:rPr>
        <w:t xml:space="preserve">elektronickou adresu </w:t>
      </w:r>
      <w:hyperlink r:id="rId8" w:history="1">
        <w:r w:rsidR="00077A4E" w:rsidRPr="00077A4E">
          <w:rPr>
            <w:rStyle w:val="Hypertextovodkaz"/>
            <w:rFonts w:cs="Segoe UI"/>
            <w:color w:val="auto"/>
            <w:highlight w:val="yellow"/>
            <w:u w:val="none"/>
          </w:rPr>
          <w:t>XXX</w:t>
        </w:r>
      </w:hyperlink>
      <w:r w:rsidR="00FF3C77" w:rsidRPr="00FF3C77">
        <w:rPr>
          <w:rFonts w:cs="Segoe UI"/>
        </w:rPr>
        <w:t>. Přílohou každé</w:t>
      </w:r>
      <w:r w:rsidR="000B5332">
        <w:rPr>
          <w:rFonts w:cs="Segoe UI"/>
        </w:rPr>
        <w:t xml:space="preserve">ho daňového dokladu </w:t>
      </w:r>
      <w:r w:rsidR="00FF3C77" w:rsidRPr="00FF3C77">
        <w:rPr>
          <w:rFonts w:cs="Segoe UI"/>
        </w:rPr>
        <w:t>bude soupiska poskytnutých služeb s</w:t>
      </w:r>
      <w:r w:rsidR="00E07F01">
        <w:rPr>
          <w:rFonts w:cs="Segoe UI"/>
        </w:rPr>
        <w:t xml:space="preserve"> uvedením </w:t>
      </w:r>
      <w:r w:rsidR="00DA3E3D">
        <w:rPr>
          <w:rFonts w:cs="Segoe UI"/>
        </w:rPr>
        <w:t>cen</w:t>
      </w:r>
      <w:r w:rsidR="00E07F01">
        <w:rPr>
          <w:rFonts w:cs="Segoe UI"/>
        </w:rPr>
        <w:t>y</w:t>
      </w:r>
      <w:r w:rsidR="00FF3C77" w:rsidRPr="00FF3C77">
        <w:rPr>
          <w:rFonts w:cs="Segoe UI"/>
        </w:rPr>
        <w:t xml:space="preserve"> u každé jednotlivé položky ve vazbě na odsouhlasené požadavky v IS JIRA.</w:t>
      </w:r>
      <w:r w:rsidR="00FF3C77">
        <w:rPr>
          <w:rFonts w:cs="Segoe UI"/>
        </w:rPr>
        <w:t xml:space="preserve"> </w:t>
      </w:r>
      <w:r w:rsidR="00381066" w:rsidRPr="00381066">
        <w:rPr>
          <w:rFonts w:cs="Segoe UI"/>
        </w:rPr>
        <w:t xml:space="preserve"> </w:t>
      </w:r>
    </w:p>
    <w:p w14:paraId="25788EED" w14:textId="4F111016" w:rsidR="00381066" w:rsidRPr="00381066" w:rsidRDefault="008B4D54" w:rsidP="008B4D54">
      <w:pPr>
        <w:pStyle w:val="Odstavecseseznamem"/>
        <w:rPr>
          <w:rFonts w:cs="Segoe UI"/>
        </w:rPr>
      </w:pPr>
      <w:r>
        <w:rPr>
          <w:rFonts w:cs="Segoe UI"/>
        </w:rPr>
        <w:t xml:space="preserve">Odměna </w:t>
      </w:r>
      <w:r w:rsidRPr="008B4D54">
        <w:rPr>
          <w:rFonts w:cs="Segoe UI"/>
        </w:rPr>
        <w:t xml:space="preserve">bude </w:t>
      </w:r>
      <w:r w:rsidR="00084D8D">
        <w:rPr>
          <w:rFonts w:cs="Segoe UI"/>
        </w:rPr>
        <w:t xml:space="preserve">vždy </w:t>
      </w:r>
      <w:r w:rsidRPr="008B4D54">
        <w:rPr>
          <w:rFonts w:cs="Segoe UI"/>
        </w:rPr>
        <w:t xml:space="preserve">uhrazena bankovním převodem na účet </w:t>
      </w:r>
      <w:r w:rsidR="00822556">
        <w:rPr>
          <w:rFonts w:cs="Segoe UI"/>
        </w:rPr>
        <w:t>Poskytovatel</w:t>
      </w:r>
      <w:r>
        <w:rPr>
          <w:rFonts w:cs="Segoe UI"/>
        </w:rPr>
        <w:t>e uvedený na daňovém</w:t>
      </w:r>
      <w:r w:rsidRPr="008B4D54">
        <w:rPr>
          <w:rFonts w:cs="Segoe UI"/>
        </w:rPr>
        <w:t xml:space="preserve"> doklad</w:t>
      </w:r>
      <w:r w:rsidR="001D0954">
        <w:rPr>
          <w:rFonts w:cs="Segoe UI"/>
        </w:rPr>
        <w:t>u</w:t>
      </w:r>
      <w:r w:rsidRPr="008B4D54">
        <w:rPr>
          <w:rFonts w:cs="Segoe UI"/>
        </w:rPr>
        <w:t>. Smluvní strany se dohodly, že povinnost úhrady je splněna okamžikem,</w:t>
      </w:r>
      <w:r w:rsidR="00DC1746">
        <w:rPr>
          <w:rFonts w:cs="Segoe UI"/>
        </w:rPr>
        <w:br/>
      </w:r>
      <w:r w:rsidRPr="008B4D54">
        <w:rPr>
          <w:rFonts w:cs="Segoe UI"/>
        </w:rPr>
        <w:t xml:space="preserve">kdy byla dlužná částka odepsána z bankovního účtu </w:t>
      </w:r>
      <w:r w:rsidR="00822556">
        <w:rPr>
          <w:rFonts w:cs="Segoe UI"/>
        </w:rPr>
        <w:t>Objednatel</w:t>
      </w:r>
      <w:r>
        <w:rPr>
          <w:rFonts w:cs="Segoe UI"/>
        </w:rPr>
        <w:t>e</w:t>
      </w:r>
      <w:r w:rsidRPr="008B4D54">
        <w:rPr>
          <w:rFonts w:cs="Segoe UI"/>
        </w:rPr>
        <w:t>.</w:t>
      </w:r>
    </w:p>
    <w:p w14:paraId="41D2F204" w14:textId="06A5335B" w:rsidR="00381066" w:rsidRPr="004D2D22" w:rsidRDefault="00822556" w:rsidP="008B4D54">
      <w:pPr>
        <w:pStyle w:val="Odstavecseseznamem"/>
      </w:pPr>
      <w:r>
        <w:t>Objednatel</w:t>
      </w:r>
      <w:r w:rsidR="00381066" w:rsidRPr="004D2D22">
        <w:t xml:space="preserve"> je oprávněn vrátit </w:t>
      </w:r>
      <w:r w:rsidR="008B4D54">
        <w:t>daňový doklad</w:t>
      </w:r>
      <w:r w:rsidR="000B5332">
        <w:t xml:space="preserve"> </w:t>
      </w:r>
      <w:r w:rsidR="00381066" w:rsidRPr="004D2D22">
        <w:t>ve lhůtě je</w:t>
      </w:r>
      <w:r w:rsidR="001D0954">
        <w:t>ho</w:t>
      </w:r>
      <w:r w:rsidR="00381066" w:rsidRPr="004D2D22">
        <w:t xml:space="preserve"> splatnosti </w:t>
      </w:r>
      <w:r>
        <w:t>Poskytovatel</w:t>
      </w:r>
      <w:r w:rsidR="00381066" w:rsidRPr="004D2D22">
        <w:t>i</w:t>
      </w:r>
      <w:r w:rsidR="00DC1746">
        <w:br/>
      </w:r>
      <w:r w:rsidR="00381066" w:rsidRPr="004D2D22">
        <w:t>k opravě nebo doplnění, obsahuje-li nesprávné nebo neúplné</w:t>
      </w:r>
      <w:r w:rsidR="008B4D54">
        <w:t xml:space="preserve"> </w:t>
      </w:r>
      <w:r w:rsidR="008B4D54" w:rsidRPr="008B4D54">
        <w:rPr>
          <w:rFonts w:cs="Segoe UI"/>
        </w:rPr>
        <w:t>právními předpisy stanovené náležitosti</w:t>
      </w:r>
      <w:r w:rsidR="008B4D54">
        <w:rPr>
          <w:rFonts w:cs="Segoe UI"/>
        </w:rPr>
        <w:t xml:space="preserve"> </w:t>
      </w:r>
      <w:r w:rsidR="00381066" w:rsidRPr="004D2D22">
        <w:t xml:space="preserve">či </w:t>
      </w:r>
      <w:r w:rsidR="008B4D54">
        <w:t xml:space="preserve">sjednané </w:t>
      </w:r>
      <w:r w:rsidR="00381066" w:rsidRPr="004D2D22">
        <w:t xml:space="preserve">údaje. Důvodem pro vrácení </w:t>
      </w:r>
      <w:r w:rsidR="000B5332">
        <w:t xml:space="preserve">daňového dokladu </w:t>
      </w:r>
      <w:r w:rsidR="00381066" w:rsidRPr="004D2D22">
        <w:t xml:space="preserve">je i nedoručení příloh </w:t>
      </w:r>
      <w:r w:rsidR="000B5332">
        <w:t xml:space="preserve">daňového dokladu </w:t>
      </w:r>
      <w:r w:rsidR="001D0954">
        <w:t>dle</w:t>
      </w:r>
      <w:r w:rsidR="00381066" w:rsidRPr="004D2D22">
        <w:t xml:space="preserve"> čl. </w:t>
      </w:r>
      <w:r w:rsidR="00084D8D">
        <w:t>4</w:t>
      </w:r>
      <w:r w:rsidR="00381066" w:rsidRPr="004D2D22">
        <w:t>.</w:t>
      </w:r>
      <w:r w:rsidR="00084D8D">
        <w:t>6</w:t>
      </w:r>
      <w:r w:rsidR="00381066" w:rsidRPr="004D2D22">
        <w:t xml:space="preserve"> této </w:t>
      </w:r>
      <w:r>
        <w:t>Smlouv</w:t>
      </w:r>
      <w:r w:rsidR="00381066" w:rsidRPr="004D2D22">
        <w:t xml:space="preserve">y. Dnem vrácení </w:t>
      </w:r>
      <w:r w:rsidR="000B5332">
        <w:t>daňového dokladu</w:t>
      </w:r>
      <w:r w:rsidR="00381066" w:rsidRPr="004D2D22">
        <w:t xml:space="preserve"> se staví běh lhůty její splatnosti a </w:t>
      </w:r>
      <w:r>
        <w:t>Objednatel</w:t>
      </w:r>
      <w:r w:rsidR="00381066" w:rsidRPr="004D2D22">
        <w:t xml:space="preserve"> tak není v prodlení s úhradou </w:t>
      </w:r>
      <w:r w:rsidR="000B5332">
        <w:t>daňového dokladu</w:t>
      </w:r>
      <w:r w:rsidR="00381066" w:rsidRPr="004D2D22">
        <w:t xml:space="preserve">. Nová lhůta počíná běžet dne následujícím po dni, kdy je </w:t>
      </w:r>
      <w:r>
        <w:t>Objednatel</w:t>
      </w:r>
      <w:r w:rsidR="00381066" w:rsidRPr="004D2D22">
        <w:t xml:space="preserve">i </w:t>
      </w:r>
      <w:r w:rsidR="000B5332">
        <w:t>doručen doplněný</w:t>
      </w:r>
      <w:r w:rsidR="00381066" w:rsidRPr="004D2D22">
        <w:t xml:space="preserve"> nebo opraven</w:t>
      </w:r>
      <w:r w:rsidR="000B5332">
        <w:t>ý</w:t>
      </w:r>
      <w:r w:rsidR="00381066" w:rsidRPr="004D2D22">
        <w:t xml:space="preserve"> </w:t>
      </w:r>
      <w:r w:rsidR="000B5332">
        <w:t>daňový doklad</w:t>
      </w:r>
      <w:r w:rsidR="00381066" w:rsidRPr="004D2D22">
        <w:t>.</w:t>
      </w:r>
    </w:p>
    <w:p w14:paraId="585E6487" w14:textId="20C5DFE2" w:rsidR="0001721C" w:rsidRDefault="00822556" w:rsidP="004F6B56">
      <w:pPr>
        <w:pStyle w:val="Odstavecseseznamem"/>
        <w:spacing w:after="120"/>
        <w:rPr>
          <w:rFonts w:cs="Segoe UI"/>
        </w:rPr>
      </w:pPr>
      <w:r>
        <w:rPr>
          <w:rFonts w:cs="Segoe UI"/>
        </w:rPr>
        <w:t>Objednatel</w:t>
      </w:r>
      <w:r w:rsidR="00381066" w:rsidRPr="004D2D22">
        <w:rPr>
          <w:rFonts w:cs="Segoe UI"/>
        </w:rPr>
        <w:t xml:space="preserve"> nebude poskytovat </w:t>
      </w:r>
      <w:r w:rsidR="008B4D54">
        <w:rPr>
          <w:rFonts w:cs="Segoe UI"/>
        </w:rPr>
        <w:t>zálohové platby</w:t>
      </w:r>
      <w:r w:rsidR="00381066" w:rsidRPr="004D2D22">
        <w:rPr>
          <w:rFonts w:cs="Segoe UI"/>
        </w:rPr>
        <w:t>.</w:t>
      </w:r>
    </w:p>
    <w:p w14:paraId="622AAB5B" w14:textId="0195FAEF" w:rsidR="00445BB2" w:rsidRPr="004D2D22" w:rsidRDefault="00445BB2" w:rsidP="00445BB2">
      <w:pPr>
        <w:pStyle w:val="Odstavecseseznamem"/>
        <w:rPr>
          <w:rFonts w:cs="Segoe UI"/>
        </w:rPr>
      </w:pPr>
      <w:r>
        <w:rPr>
          <w:rFonts w:cs="Segoe UI"/>
        </w:rPr>
        <w:t xml:space="preserve">Poskytovatel </w:t>
      </w:r>
      <w:r w:rsidR="001D0954">
        <w:rPr>
          <w:rFonts w:cs="Segoe UI"/>
        </w:rPr>
        <w:t xml:space="preserve">na sebe </w:t>
      </w:r>
      <w:r>
        <w:rPr>
          <w:rFonts w:cs="Segoe UI"/>
        </w:rPr>
        <w:t>podpisem této S</w:t>
      </w:r>
      <w:r w:rsidRPr="00445BB2">
        <w:rPr>
          <w:rFonts w:cs="Segoe UI"/>
        </w:rPr>
        <w:t xml:space="preserve">mlouvy přebírá nebezpečí změny okolností ve smyslu ust. </w:t>
      </w:r>
      <w:r>
        <w:rPr>
          <w:rFonts w:cs="Segoe UI"/>
        </w:rPr>
        <w:br/>
      </w:r>
      <w:r w:rsidRPr="00445BB2">
        <w:rPr>
          <w:rFonts w:cs="Segoe UI"/>
        </w:rPr>
        <w:t>§ 1765 občanského zákoníku</w:t>
      </w:r>
      <w:r>
        <w:rPr>
          <w:rFonts w:cs="Segoe UI"/>
        </w:rPr>
        <w:t>.</w:t>
      </w:r>
    </w:p>
    <w:p w14:paraId="5EE36108" w14:textId="69FCC2D7" w:rsidR="000D66EF" w:rsidRPr="00F27A81" w:rsidRDefault="00A57C3A" w:rsidP="00116445">
      <w:pPr>
        <w:pStyle w:val="Nadpis1"/>
        <w:rPr>
          <w:rFonts w:cs="Segoe UI"/>
        </w:rPr>
      </w:pPr>
      <w:r>
        <w:rPr>
          <w:rFonts w:cs="Segoe UI"/>
        </w:rPr>
        <w:t>odpovědnost za vady</w:t>
      </w:r>
    </w:p>
    <w:p w14:paraId="0FFF6F2E" w14:textId="5702C380" w:rsidR="00A95C0C" w:rsidRDefault="00A95C0C" w:rsidP="00A95C0C">
      <w:pPr>
        <w:pStyle w:val="Odstavecseseznamem"/>
        <w:rPr>
          <w:rFonts w:cs="Segoe UI"/>
        </w:rPr>
      </w:pPr>
      <w:r>
        <w:t xml:space="preserve">Není-li v této </w:t>
      </w:r>
      <w:r w:rsidR="00822556">
        <w:t>Smlouv</w:t>
      </w:r>
      <w:r>
        <w:t xml:space="preserve">ě </w:t>
      </w:r>
      <w:r w:rsidRPr="00A95C0C">
        <w:rPr>
          <w:rFonts w:cs="Segoe UI"/>
        </w:rPr>
        <w:t xml:space="preserve">uvedeno jinak, řídí se práva a povinnosti smluvních stran ohledně odpovědnosti </w:t>
      </w:r>
      <w:r w:rsidR="00822556">
        <w:rPr>
          <w:rFonts w:cs="Segoe UI"/>
        </w:rPr>
        <w:t>Poskytovatel</w:t>
      </w:r>
      <w:r w:rsidRPr="00A95C0C">
        <w:rPr>
          <w:rFonts w:cs="Segoe UI"/>
        </w:rPr>
        <w:t xml:space="preserve">e za vady plnění příslušnými obecně závaznými předpisy. Nesplňuje-li předmět plnění vlastnosti stanovené touto </w:t>
      </w:r>
      <w:r w:rsidR="00822556">
        <w:rPr>
          <w:rFonts w:cs="Segoe UI"/>
        </w:rPr>
        <w:t>Smlouv</w:t>
      </w:r>
      <w:r w:rsidRPr="00A95C0C">
        <w:rPr>
          <w:rFonts w:cs="Segoe UI"/>
        </w:rPr>
        <w:t>ou, má vady.</w:t>
      </w:r>
    </w:p>
    <w:p w14:paraId="2D3DA871" w14:textId="7442B441" w:rsidR="007446CE" w:rsidRDefault="004C1B60" w:rsidP="008A3B97">
      <w:pPr>
        <w:pStyle w:val="Odstavecseseznamem"/>
        <w:spacing w:after="120"/>
        <w:rPr>
          <w:rFonts w:cs="Segoe UI"/>
        </w:rPr>
      </w:pPr>
      <w:r>
        <w:rPr>
          <w:rFonts w:cs="Segoe UI"/>
        </w:rPr>
        <w:t>Jednotlivé v</w:t>
      </w:r>
      <w:r w:rsidR="007446CE" w:rsidRPr="007446CE">
        <w:rPr>
          <w:rFonts w:cs="Segoe UI"/>
        </w:rPr>
        <w:t xml:space="preserve">ady jsou rozděleny </w:t>
      </w:r>
      <w:r w:rsidRPr="007446CE">
        <w:rPr>
          <w:rFonts w:cs="Segoe UI"/>
        </w:rPr>
        <w:t xml:space="preserve">podle závažnosti </w:t>
      </w:r>
      <w:r w:rsidR="007446CE" w:rsidRPr="007446CE">
        <w:rPr>
          <w:rFonts w:cs="Segoe UI"/>
        </w:rPr>
        <w:t>do následujících kategorií</w:t>
      </w:r>
      <w:r w:rsidR="007446CE">
        <w:rPr>
          <w:rFonts w:cs="Segoe UI"/>
        </w:rPr>
        <w:t>:</w:t>
      </w:r>
    </w:p>
    <w:p w14:paraId="3F887B4D" w14:textId="06D23C85" w:rsidR="007446CE" w:rsidRPr="00F044FC" w:rsidRDefault="007446CE" w:rsidP="008A3B97">
      <w:pPr>
        <w:spacing w:after="120"/>
        <w:ind w:left="567"/>
        <w:jc w:val="both"/>
        <w:rPr>
          <w:rFonts w:cs="Segoe UI"/>
        </w:rPr>
      </w:pPr>
      <w:r w:rsidRPr="00F044FC">
        <w:rPr>
          <w:rFonts w:cs="Segoe UI"/>
        </w:rPr>
        <w:t>„</w:t>
      </w:r>
      <w:r w:rsidRPr="00F044FC">
        <w:rPr>
          <w:rFonts w:cs="Segoe UI"/>
          <w:b/>
        </w:rPr>
        <w:t>Kategorie A</w:t>
      </w:r>
      <w:r w:rsidRPr="00F044FC">
        <w:rPr>
          <w:rFonts w:cs="Segoe UI"/>
        </w:rPr>
        <w:t xml:space="preserve">” znamená nejzávažnější vadu, v jejímž důsledku je </w:t>
      </w:r>
      <w:r w:rsidR="00CC7163" w:rsidRPr="00F044FC">
        <w:rPr>
          <w:rFonts w:cs="Segoe UI"/>
        </w:rPr>
        <w:t xml:space="preserve">systém </w:t>
      </w:r>
      <w:r w:rsidRPr="00F044FC">
        <w:rPr>
          <w:rFonts w:cs="Segoe UI"/>
        </w:rPr>
        <w:t xml:space="preserve">anebo jakákoliv jeho podstatná část zcela nefunkční nebo která znemožňuje </w:t>
      </w:r>
      <w:r w:rsidR="00822556" w:rsidRPr="00F044FC">
        <w:rPr>
          <w:rFonts w:cs="Segoe UI"/>
        </w:rPr>
        <w:t>Objednatel</w:t>
      </w:r>
      <w:r w:rsidRPr="00F044FC">
        <w:rPr>
          <w:rFonts w:cs="Segoe UI"/>
        </w:rPr>
        <w:t>i (či uživatelům systému) užívat systém nebo jakoukoli podstatnou část systému. Kategorie A se použije vždy, pokud nelze v</w:t>
      </w:r>
      <w:r w:rsidR="006F3C32">
        <w:rPr>
          <w:rFonts w:cs="Segoe UI"/>
        </w:rPr>
        <w:t> </w:t>
      </w:r>
      <w:r w:rsidRPr="00F044FC">
        <w:rPr>
          <w:rFonts w:cs="Segoe UI"/>
        </w:rPr>
        <w:t>systému realizovat hlavní (hodnototvorné) procesy větším počtem uživatelů (tj. nelze využít služby nebo funkcionality s nimi přímo spojené)</w:t>
      </w:r>
      <w:r w:rsidR="008C1207" w:rsidRPr="00F044FC">
        <w:rPr>
          <w:rFonts w:cs="Segoe UI"/>
        </w:rPr>
        <w:t>,</w:t>
      </w:r>
    </w:p>
    <w:p w14:paraId="27858654" w14:textId="45DEEF9B" w:rsidR="007446CE" w:rsidRPr="00F044FC" w:rsidRDefault="007446CE" w:rsidP="008A3B97">
      <w:pPr>
        <w:spacing w:after="120"/>
        <w:ind w:left="567"/>
        <w:jc w:val="both"/>
        <w:rPr>
          <w:rFonts w:cs="Segoe UI"/>
        </w:rPr>
      </w:pPr>
      <w:r w:rsidRPr="00F044FC">
        <w:rPr>
          <w:rFonts w:cs="Segoe UI"/>
        </w:rPr>
        <w:t>„</w:t>
      </w:r>
      <w:r w:rsidRPr="00F044FC">
        <w:rPr>
          <w:rFonts w:cs="Segoe UI"/>
          <w:b/>
        </w:rPr>
        <w:t>Kategorie B</w:t>
      </w:r>
      <w:r w:rsidRPr="00F044FC">
        <w:rPr>
          <w:rFonts w:cs="Segoe UI"/>
        </w:rPr>
        <w:t>” znamená částečnou ztrátu funkcionality systému anebo jinou vadu, v jejímž důsledku je využití systému omezeno, avšak částečná ztráta funkcionality může být provizorně (např. s vynaložením většího úsilí či se zvýšenými náklady) nahrazena jinou funkcí systému (a</w:t>
      </w:r>
      <w:r w:rsidR="008A3B97">
        <w:rPr>
          <w:rFonts w:cs="Segoe UI"/>
        </w:rPr>
        <w:t> </w:t>
      </w:r>
      <w:r w:rsidRPr="00F044FC">
        <w:rPr>
          <w:rFonts w:cs="Segoe UI"/>
        </w:rPr>
        <w:t>nejedná se přitom o podstatnou část systému), anebo je značně ztíženo užívání systém</w:t>
      </w:r>
      <w:r w:rsidR="008C1207" w:rsidRPr="00F044FC">
        <w:rPr>
          <w:rFonts w:cs="Segoe UI"/>
        </w:rPr>
        <w:t>u,</w:t>
      </w:r>
    </w:p>
    <w:p w14:paraId="4B4BEDD5" w14:textId="63B3CA0A" w:rsidR="007446CE" w:rsidRPr="00F044FC" w:rsidRDefault="007446CE" w:rsidP="008A3B97">
      <w:pPr>
        <w:ind w:left="567"/>
        <w:jc w:val="both"/>
        <w:rPr>
          <w:rFonts w:cs="Segoe UI"/>
        </w:rPr>
      </w:pPr>
      <w:r w:rsidRPr="00F044FC">
        <w:rPr>
          <w:rFonts w:cs="Segoe UI"/>
        </w:rPr>
        <w:t>„</w:t>
      </w:r>
      <w:r w:rsidRPr="00F044FC">
        <w:rPr>
          <w:rFonts w:cs="Segoe UI"/>
          <w:b/>
        </w:rPr>
        <w:t>Kategorie C</w:t>
      </w:r>
      <w:r w:rsidRPr="00F044FC">
        <w:rPr>
          <w:rFonts w:cs="Segoe UI"/>
        </w:rPr>
        <w:t xml:space="preserve">” znamená vadu, která nebrání nebo má zcela minimální vliv na řádné užívání systému ze strany </w:t>
      </w:r>
      <w:r w:rsidR="00822556" w:rsidRPr="00F044FC">
        <w:rPr>
          <w:rFonts w:cs="Segoe UI"/>
        </w:rPr>
        <w:t>Objednatel</w:t>
      </w:r>
      <w:r w:rsidRPr="00F044FC">
        <w:rPr>
          <w:rFonts w:cs="Segoe UI"/>
        </w:rPr>
        <w:t>e (či uživatelů systému).</w:t>
      </w:r>
    </w:p>
    <w:p w14:paraId="4D311B9D" w14:textId="0AAFE658" w:rsidR="000B6198" w:rsidRDefault="00822556" w:rsidP="000B6198">
      <w:pPr>
        <w:pStyle w:val="Odstavecseseznamem"/>
        <w:rPr>
          <w:rFonts w:cs="Segoe UI"/>
        </w:rPr>
      </w:pPr>
      <w:r>
        <w:rPr>
          <w:rFonts w:cs="Segoe UI"/>
        </w:rPr>
        <w:t>Objednatel</w:t>
      </w:r>
      <w:r w:rsidR="00BE661F">
        <w:rPr>
          <w:rFonts w:cs="Segoe UI"/>
        </w:rPr>
        <w:t xml:space="preserve"> je povinen bez zbytečného odkladu oznámit </w:t>
      </w:r>
      <w:r>
        <w:rPr>
          <w:rFonts w:cs="Segoe UI"/>
        </w:rPr>
        <w:t>Poskytovatel</w:t>
      </w:r>
      <w:r w:rsidR="00BE661F">
        <w:rPr>
          <w:rFonts w:cs="Segoe UI"/>
        </w:rPr>
        <w:t xml:space="preserve">i zjištěné vady poté, co je zjistil. </w:t>
      </w:r>
      <w:r w:rsidR="000B6198" w:rsidRPr="000B6198">
        <w:rPr>
          <w:rFonts w:cs="Segoe UI"/>
        </w:rPr>
        <w:t xml:space="preserve">Závažnost vady </w:t>
      </w:r>
      <w:r w:rsidR="000B6198">
        <w:rPr>
          <w:rFonts w:cs="Segoe UI"/>
        </w:rPr>
        <w:t xml:space="preserve">je </w:t>
      </w:r>
      <w:r>
        <w:rPr>
          <w:rFonts w:cs="Segoe UI"/>
        </w:rPr>
        <w:t>Objednatel</w:t>
      </w:r>
      <w:r w:rsidR="000B6198">
        <w:rPr>
          <w:rFonts w:cs="Segoe UI"/>
        </w:rPr>
        <w:t xml:space="preserve"> povinen sdělit</w:t>
      </w:r>
      <w:r w:rsidR="000B6198" w:rsidRPr="000B6198">
        <w:rPr>
          <w:rFonts w:cs="Segoe UI"/>
        </w:rPr>
        <w:t xml:space="preserve"> </w:t>
      </w:r>
      <w:r>
        <w:rPr>
          <w:rFonts w:cs="Segoe UI"/>
        </w:rPr>
        <w:t>Poskytovatel</w:t>
      </w:r>
      <w:r w:rsidR="000B6198" w:rsidRPr="000B6198">
        <w:rPr>
          <w:rFonts w:cs="Segoe UI"/>
        </w:rPr>
        <w:t xml:space="preserve">i vždy v oznámení vady v IS JIRA </w:t>
      </w:r>
      <w:r w:rsidR="002C3FD1" w:rsidRPr="004F6B56">
        <w:rPr>
          <w:rFonts w:cs="Segoe UI"/>
        </w:rPr>
        <w:t xml:space="preserve">spolu s technickým popisem vady </w:t>
      </w:r>
      <w:r w:rsidR="000B6198" w:rsidRPr="000B6198">
        <w:rPr>
          <w:rFonts w:cs="Segoe UI"/>
        </w:rPr>
        <w:t>a v případě vady kategorie A současně také telefonicky. Dodavatel je oprávněn v příslušné lhůtě</w:t>
      </w:r>
      <w:r w:rsidR="000B6198">
        <w:rPr>
          <w:rFonts w:cs="Segoe UI"/>
        </w:rPr>
        <w:t xml:space="preserve"> dle </w:t>
      </w:r>
      <w:r w:rsidR="000B6198" w:rsidRPr="00BA2BEF">
        <w:rPr>
          <w:rFonts w:cs="Segoe UI"/>
        </w:rPr>
        <w:t xml:space="preserve">čl. </w:t>
      </w:r>
      <w:r w:rsidR="00BD30CE">
        <w:rPr>
          <w:rFonts w:cs="Segoe UI"/>
        </w:rPr>
        <w:t>5</w:t>
      </w:r>
      <w:r w:rsidR="00BE661F" w:rsidRPr="004F6B56">
        <w:rPr>
          <w:rFonts w:cs="Segoe UI"/>
        </w:rPr>
        <w:t xml:space="preserve">.4 </w:t>
      </w:r>
      <w:r>
        <w:rPr>
          <w:rFonts w:cs="Segoe UI"/>
        </w:rPr>
        <w:t>Smlouv</w:t>
      </w:r>
      <w:r w:rsidR="000B6198" w:rsidRPr="00BA2BEF">
        <w:rPr>
          <w:rFonts w:cs="Segoe UI"/>
        </w:rPr>
        <w:t>y</w:t>
      </w:r>
      <w:r w:rsidR="000B6198">
        <w:rPr>
          <w:rFonts w:cs="Segoe UI"/>
        </w:rPr>
        <w:t xml:space="preserve"> </w:t>
      </w:r>
      <w:r w:rsidR="000B6198" w:rsidRPr="000B6198">
        <w:rPr>
          <w:rFonts w:cs="Segoe UI"/>
        </w:rPr>
        <w:t xml:space="preserve">reagovat na zařazení vady ze strany </w:t>
      </w:r>
      <w:r>
        <w:rPr>
          <w:rFonts w:cs="Segoe UI"/>
        </w:rPr>
        <w:t>Objednatel</w:t>
      </w:r>
      <w:r w:rsidR="000B6198">
        <w:rPr>
          <w:rFonts w:cs="Segoe UI"/>
        </w:rPr>
        <w:t xml:space="preserve">e </w:t>
      </w:r>
      <w:r w:rsidR="000B6198" w:rsidRPr="000B6198">
        <w:rPr>
          <w:rFonts w:cs="Segoe UI"/>
        </w:rPr>
        <w:t xml:space="preserve">a případně zařazení vady rozporovat, vždy však s uvedením konkrétní argumentace. Výsledná přiřazená kategorie vady vznikne po dohodě obou smluvních stran. </w:t>
      </w:r>
      <w:r w:rsidR="00F044FC">
        <w:rPr>
          <w:rFonts w:cs="Segoe UI"/>
        </w:rPr>
        <w:t>V</w:t>
      </w:r>
      <w:r w:rsidR="000B6198" w:rsidRPr="000B6198">
        <w:rPr>
          <w:rFonts w:cs="Segoe UI"/>
        </w:rPr>
        <w:t xml:space="preserve"> případě nedosažení shody ohledně kategorizace vady odstraní </w:t>
      </w:r>
      <w:r>
        <w:rPr>
          <w:rFonts w:cs="Segoe UI"/>
        </w:rPr>
        <w:t>Poskytovatel</w:t>
      </w:r>
      <w:r w:rsidR="000B6198" w:rsidRPr="000B6198">
        <w:rPr>
          <w:rFonts w:cs="Segoe UI"/>
        </w:rPr>
        <w:t xml:space="preserve"> závadu dle kategorie určené </w:t>
      </w:r>
      <w:r>
        <w:rPr>
          <w:rFonts w:cs="Segoe UI"/>
        </w:rPr>
        <w:t>Objednatel</w:t>
      </w:r>
      <w:r w:rsidR="006F1826">
        <w:rPr>
          <w:rFonts w:cs="Segoe UI"/>
        </w:rPr>
        <w:t>em</w:t>
      </w:r>
      <w:r w:rsidR="000B6198">
        <w:rPr>
          <w:rFonts w:cs="Segoe UI"/>
        </w:rPr>
        <w:t>.</w:t>
      </w:r>
      <w:r w:rsidR="00A95C0C">
        <w:rPr>
          <w:rFonts w:cs="Segoe UI"/>
        </w:rPr>
        <w:t xml:space="preserve"> </w:t>
      </w:r>
    </w:p>
    <w:p w14:paraId="0576FC9B" w14:textId="7781DA0A" w:rsidR="00BE661F" w:rsidRPr="00BE661F" w:rsidRDefault="00BE661F" w:rsidP="002432EF">
      <w:pPr>
        <w:pStyle w:val="Odstavecseseznamem"/>
        <w:rPr>
          <w:rFonts w:cs="Segoe UI"/>
        </w:rPr>
      </w:pPr>
      <w:r w:rsidRPr="00BE661F">
        <w:rPr>
          <w:rFonts w:cs="Segoe UI"/>
        </w:rPr>
        <w:t xml:space="preserve">Lhůty pro odpověď a lhůty pro odstranění </w:t>
      </w:r>
      <w:r w:rsidR="00096484">
        <w:rPr>
          <w:rFonts w:cs="Segoe UI"/>
        </w:rPr>
        <w:t>jednotlivých kategorií vad</w:t>
      </w:r>
      <w:r w:rsidRPr="00BE661F">
        <w:rPr>
          <w:rFonts w:cs="Segoe UI"/>
        </w:rPr>
        <w:t xml:space="preserve"> jsou následující a počítají se od </w:t>
      </w:r>
      <w:r w:rsidR="00F044FC">
        <w:rPr>
          <w:rFonts w:cs="Segoe UI"/>
        </w:rPr>
        <w:t xml:space="preserve">okamžiku </w:t>
      </w:r>
      <w:r w:rsidRPr="00BE661F">
        <w:rPr>
          <w:rFonts w:cs="Segoe UI"/>
        </w:rPr>
        <w:t xml:space="preserve">oznámení </w:t>
      </w:r>
      <w:r w:rsidRPr="00F044FC">
        <w:rPr>
          <w:rFonts w:cs="Segoe UI"/>
        </w:rPr>
        <w:t xml:space="preserve">vady ze strany </w:t>
      </w:r>
      <w:r w:rsidR="00822556" w:rsidRPr="00F044FC">
        <w:rPr>
          <w:rFonts w:cs="Segoe UI"/>
        </w:rPr>
        <w:t>Objednatel</w:t>
      </w:r>
      <w:r w:rsidR="00BA2BEF" w:rsidRPr="00F044FC">
        <w:rPr>
          <w:rFonts w:cs="Segoe UI"/>
        </w:rPr>
        <w:t>e</w:t>
      </w:r>
      <w:r w:rsidRPr="00F044FC">
        <w:rPr>
          <w:rFonts w:cs="Segoe UI"/>
        </w:rPr>
        <w:t>:</w:t>
      </w:r>
    </w:p>
    <w:p w14:paraId="40C5700B" w14:textId="1B639661" w:rsidR="00BE661F" w:rsidRPr="004F6B56" w:rsidRDefault="00BA2BEF" w:rsidP="00F044FC">
      <w:pPr>
        <w:pStyle w:val="Odstavecseseznamem"/>
        <w:numPr>
          <w:ilvl w:val="2"/>
          <w:numId w:val="17"/>
        </w:numPr>
        <w:ind w:left="1134" w:hanging="567"/>
        <w:rPr>
          <w:rFonts w:cs="Segoe UI"/>
          <w:u w:val="single"/>
        </w:rPr>
      </w:pPr>
      <w:r w:rsidRPr="004F6B56">
        <w:rPr>
          <w:rFonts w:cs="Segoe UI"/>
          <w:u w:val="single"/>
        </w:rPr>
        <w:t xml:space="preserve">Kategorie </w:t>
      </w:r>
      <w:r w:rsidR="00BE661F" w:rsidRPr="004F6B56">
        <w:rPr>
          <w:rFonts w:cs="Segoe UI"/>
          <w:u w:val="single"/>
        </w:rPr>
        <w:t>A</w:t>
      </w:r>
      <w:r w:rsidRPr="004F6B56">
        <w:rPr>
          <w:rFonts w:cs="Segoe UI"/>
          <w:u w:val="single"/>
        </w:rPr>
        <w:t>:</w:t>
      </w:r>
    </w:p>
    <w:p w14:paraId="71683680" w14:textId="125BDD09" w:rsidR="00BE661F" w:rsidRPr="00F044FC" w:rsidRDefault="00BE661F" w:rsidP="00F044FC">
      <w:pPr>
        <w:pStyle w:val="slovanseznam"/>
        <w:numPr>
          <w:ilvl w:val="0"/>
          <w:numId w:val="25"/>
        </w:numPr>
      </w:pPr>
      <w:r w:rsidRPr="00A06E30">
        <w:rPr>
          <w:i/>
          <w:iCs/>
        </w:rPr>
        <w:t>Lhůta pro odpověď:</w:t>
      </w:r>
      <w:r w:rsidRPr="00F044FC">
        <w:t xml:space="preserve"> 4 hodiny pracovní doby</w:t>
      </w:r>
      <w:r w:rsidR="00882060" w:rsidRPr="00F044FC">
        <w:t xml:space="preserve"> (pondělí až pátek od 9:00 do 17:00 hod.)</w:t>
      </w:r>
      <w:r w:rsidR="00A06E30">
        <w:t>;</w:t>
      </w:r>
    </w:p>
    <w:p w14:paraId="45FFCAE7" w14:textId="24C56D04" w:rsidR="00BE661F" w:rsidRPr="00F044FC" w:rsidRDefault="00BE661F" w:rsidP="00F044FC">
      <w:pPr>
        <w:pStyle w:val="slovanseznam"/>
        <w:numPr>
          <w:ilvl w:val="0"/>
          <w:numId w:val="25"/>
        </w:numPr>
      </w:pPr>
      <w:r w:rsidRPr="00A06E30">
        <w:rPr>
          <w:i/>
          <w:iCs/>
        </w:rPr>
        <w:t>Lhůta pro odstranění vady:</w:t>
      </w:r>
      <w:r w:rsidRPr="00F044FC">
        <w:t xml:space="preserve"> 8 hodin pracovní doby pro provizorní řešení vady a</w:t>
      </w:r>
      <w:r w:rsidR="00F044FC">
        <w:t> </w:t>
      </w:r>
      <w:r w:rsidRPr="00F044FC">
        <w:t>3</w:t>
      </w:r>
      <w:r w:rsidR="00F044FC">
        <w:t> </w:t>
      </w:r>
      <w:r w:rsidRPr="00F044FC">
        <w:t>pracovní dny pro trvalé odstranění vady</w:t>
      </w:r>
      <w:r w:rsidR="00A06E30">
        <w:t>;</w:t>
      </w:r>
    </w:p>
    <w:p w14:paraId="0117EA3F" w14:textId="44F40493" w:rsidR="00BE661F" w:rsidRPr="00F044FC" w:rsidRDefault="00BE661F" w:rsidP="00F044FC">
      <w:pPr>
        <w:pStyle w:val="slovanseznam"/>
        <w:numPr>
          <w:ilvl w:val="0"/>
          <w:numId w:val="25"/>
        </w:numPr>
      </w:pPr>
      <w:r w:rsidRPr="00A06E30">
        <w:rPr>
          <w:i/>
          <w:iCs/>
        </w:rPr>
        <w:t>Perioda průběžných informací:</w:t>
      </w:r>
      <w:r w:rsidRPr="00F044FC">
        <w:t xml:space="preserve"> každý den až do trvalého odstranění vady</w:t>
      </w:r>
      <w:r w:rsidR="00A06E30">
        <w:t>.</w:t>
      </w:r>
    </w:p>
    <w:p w14:paraId="5393C024" w14:textId="650E6149" w:rsidR="00BE661F" w:rsidRPr="004F6B56" w:rsidRDefault="00BE661F" w:rsidP="00F044FC">
      <w:pPr>
        <w:pStyle w:val="Odstavecseseznamem"/>
        <w:numPr>
          <w:ilvl w:val="2"/>
          <w:numId w:val="17"/>
        </w:numPr>
        <w:ind w:left="1134" w:hanging="567"/>
        <w:rPr>
          <w:rFonts w:cs="Segoe UI"/>
          <w:u w:val="single"/>
        </w:rPr>
      </w:pPr>
      <w:r w:rsidRPr="004F6B56">
        <w:rPr>
          <w:rFonts w:cs="Segoe UI"/>
          <w:u w:val="single"/>
        </w:rPr>
        <w:t>Kateg</w:t>
      </w:r>
      <w:r w:rsidR="00BA2BEF">
        <w:rPr>
          <w:rFonts w:cs="Segoe UI"/>
          <w:u w:val="single"/>
        </w:rPr>
        <w:t xml:space="preserve">orie </w:t>
      </w:r>
      <w:r w:rsidR="00BA2BEF" w:rsidRPr="00BA2BEF">
        <w:rPr>
          <w:rFonts w:cs="Segoe UI"/>
          <w:u w:val="single"/>
        </w:rPr>
        <w:t>B</w:t>
      </w:r>
      <w:r w:rsidR="00BA2BEF">
        <w:rPr>
          <w:rFonts w:cs="Segoe UI"/>
          <w:u w:val="single"/>
        </w:rPr>
        <w:t>:</w:t>
      </w:r>
    </w:p>
    <w:p w14:paraId="663F047F" w14:textId="73FA0C71" w:rsidR="00BE661F" w:rsidRPr="00A06E30" w:rsidRDefault="00BE661F" w:rsidP="00A06E30">
      <w:pPr>
        <w:pStyle w:val="slovanseznam"/>
        <w:numPr>
          <w:ilvl w:val="0"/>
          <w:numId w:val="25"/>
        </w:numPr>
      </w:pPr>
      <w:r w:rsidRPr="00A06E30">
        <w:rPr>
          <w:i/>
          <w:iCs/>
        </w:rPr>
        <w:t xml:space="preserve">Lhůta pro odpověď: </w:t>
      </w:r>
      <w:r w:rsidRPr="00A06E30">
        <w:t>8 hodin pracovní doby</w:t>
      </w:r>
      <w:r w:rsidR="00A06E30">
        <w:t>;</w:t>
      </w:r>
    </w:p>
    <w:p w14:paraId="1A9C7560" w14:textId="03ACCC2D" w:rsidR="00BE661F" w:rsidRPr="00A06E30" w:rsidRDefault="00BE661F" w:rsidP="00A06E30">
      <w:pPr>
        <w:pStyle w:val="slovanseznam"/>
        <w:numPr>
          <w:ilvl w:val="0"/>
          <w:numId w:val="25"/>
        </w:numPr>
      </w:pPr>
      <w:r w:rsidRPr="00A06E30">
        <w:rPr>
          <w:i/>
          <w:iCs/>
        </w:rPr>
        <w:t xml:space="preserve">Lhůta pro odstranění vady: </w:t>
      </w:r>
      <w:r w:rsidRPr="00A06E30">
        <w:t>12 hodin pracovní doby pro provizorní řešení vady a</w:t>
      </w:r>
      <w:r w:rsidR="00A06E30">
        <w:t> </w:t>
      </w:r>
      <w:r w:rsidRPr="00A06E30">
        <w:t>5</w:t>
      </w:r>
      <w:r w:rsidR="00A06E30">
        <w:t> </w:t>
      </w:r>
      <w:r w:rsidRPr="00A06E30">
        <w:t>pracovních dn</w:t>
      </w:r>
      <w:r w:rsidR="00A06E30">
        <w:t>ů</w:t>
      </w:r>
      <w:r w:rsidRPr="00A06E30">
        <w:t xml:space="preserve"> pro trvalé odstranění vady</w:t>
      </w:r>
      <w:r w:rsidR="00A06E30">
        <w:t>;</w:t>
      </w:r>
    </w:p>
    <w:p w14:paraId="7F4F934D" w14:textId="17219372" w:rsidR="00BE661F" w:rsidRPr="00A06E30" w:rsidRDefault="00BE661F" w:rsidP="00A06E30">
      <w:pPr>
        <w:pStyle w:val="slovanseznam"/>
        <w:numPr>
          <w:ilvl w:val="0"/>
          <w:numId w:val="25"/>
        </w:numPr>
        <w:rPr>
          <w:i/>
          <w:iCs/>
        </w:rPr>
      </w:pPr>
      <w:r w:rsidRPr="00A06E30">
        <w:rPr>
          <w:i/>
          <w:iCs/>
        </w:rPr>
        <w:t xml:space="preserve">Perioda průběžných informací: </w:t>
      </w:r>
      <w:r w:rsidRPr="00A06E30">
        <w:t>Každý den až do trvalého odstranění vady</w:t>
      </w:r>
      <w:r w:rsidR="00A06E30">
        <w:t>.</w:t>
      </w:r>
    </w:p>
    <w:p w14:paraId="795B7E70" w14:textId="5DB6A725" w:rsidR="00BE661F" w:rsidRPr="004F6B56" w:rsidRDefault="00BE661F" w:rsidP="00F044FC">
      <w:pPr>
        <w:pStyle w:val="Odstavecseseznamem"/>
        <w:numPr>
          <w:ilvl w:val="2"/>
          <w:numId w:val="17"/>
        </w:numPr>
        <w:ind w:left="1134" w:hanging="567"/>
        <w:rPr>
          <w:rFonts w:cs="Segoe UI"/>
          <w:u w:val="single"/>
        </w:rPr>
      </w:pPr>
      <w:r w:rsidRPr="004F6B56">
        <w:rPr>
          <w:rFonts w:cs="Segoe UI"/>
          <w:u w:val="single"/>
        </w:rPr>
        <w:t xml:space="preserve">Kategorie </w:t>
      </w:r>
      <w:r w:rsidR="00BA2BEF" w:rsidRPr="00BA2BEF">
        <w:rPr>
          <w:rFonts w:cs="Segoe UI"/>
          <w:u w:val="single"/>
        </w:rPr>
        <w:t>C</w:t>
      </w:r>
      <w:r w:rsidR="00BA2BEF">
        <w:rPr>
          <w:rFonts w:cs="Segoe UI"/>
          <w:u w:val="single"/>
        </w:rPr>
        <w:t>:</w:t>
      </w:r>
    </w:p>
    <w:p w14:paraId="460E9569" w14:textId="1E36A0EE" w:rsidR="00BE661F" w:rsidRPr="008A3B97" w:rsidRDefault="00BE661F" w:rsidP="008A3B97">
      <w:pPr>
        <w:pStyle w:val="slovanseznam"/>
        <w:numPr>
          <w:ilvl w:val="0"/>
          <w:numId w:val="25"/>
        </w:numPr>
        <w:rPr>
          <w:i/>
          <w:iCs/>
        </w:rPr>
      </w:pPr>
      <w:r w:rsidRPr="008A3B97">
        <w:rPr>
          <w:i/>
          <w:iCs/>
        </w:rPr>
        <w:t xml:space="preserve">Lhůta pro odpověď: </w:t>
      </w:r>
      <w:r w:rsidRPr="008A3B97">
        <w:t>16 hodin pracovní doby</w:t>
      </w:r>
      <w:r w:rsidR="008A3B97">
        <w:t>;</w:t>
      </w:r>
    </w:p>
    <w:p w14:paraId="3886A766" w14:textId="76AD3233" w:rsidR="00BE661F" w:rsidRPr="008A3B97" w:rsidRDefault="00BE661F" w:rsidP="008A3B97">
      <w:pPr>
        <w:pStyle w:val="slovanseznam"/>
        <w:numPr>
          <w:ilvl w:val="0"/>
          <w:numId w:val="25"/>
        </w:numPr>
      </w:pPr>
      <w:r w:rsidRPr="008A3B97">
        <w:rPr>
          <w:i/>
          <w:iCs/>
        </w:rPr>
        <w:t xml:space="preserve">Lhůta pro odstranění vady: </w:t>
      </w:r>
      <w:r w:rsidRPr="008A3B97">
        <w:t xml:space="preserve">10 </w:t>
      </w:r>
      <w:r w:rsidR="008A3B97">
        <w:t xml:space="preserve">pracovních </w:t>
      </w:r>
      <w:r w:rsidRPr="008A3B97">
        <w:t>dn</w:t>
      </w:r>
      <w:r w:rsidR="008A3B97">
        <w:t>ů</w:t>
      </w:r>
      <w:r w:rsidRPr="008A3B97">
        <w:t xml:space="preserve"> pro trvalé odstranění vady</w:t>
      </w:r>
      <w:r w:rsidR="008A3B97">
        <w:t>;</w:t>
      </w:r>
    </w:p>
    <w:p w14:paraId="7B532CCE" w14:textId="6D6BBEFE" w:rsidR="00BE661F" w:rsidRPr="008A3B97" w:rsidRDefault="00BE661F" w:rsidP="008A3B97">
      <w:pPr>
        <w:pStyle w:val="slovanseznam"/>
        <w:numPr>
          <w:ilvl w:val="0"/>
          <w:numId w:val="25"/>
        </w:numPr>
        <w:rPr>
          <w:i/>
          <w:iCs/>
        </w:rPr>
      </w:pPr>
      <w:r w:rsidRPr="008A3B97">
        <w:rPr>
          <w:i/>
          <w:iCs/>
        </w:rPr>
        <w:t xml:space="preserve">Perioda průběžných informací: </w:t>
      </w:r>
      <w:r w:rsidRPr="008A3B97">
        <w:t>minimálně jednou za každý pracovní týden odstraňování vady</w:t>
      </w:r>
      <w:r w:rsidR="008A3B97">
        <w:t>.</w:t>
      </w:r>
    </w:p>
    <w:p w14:paraId="56E4514F" w14:textId="74FA3B71" w:rsidR="00116445" w:rsidRPr="00F27A81" w:rsidRDefault="00296321" w:rsidP="00116445">
      <w:pPr>
        <w:pStyle w:val="Nadpis1"/>
        <w:rPr>
          <w:rFonts w:cs="Segoe UI"/>
        </w:rPr>
      </w:pPr>
      <w:r w:rsidRPr="00F27A81">
        <w:rPr>
          <w:rFonts w:cs="Segoe UI"/>
        </w:rPr>
        <w:t>Sankční ujednání</w:t>
      </w:r>
      <w:r w:rsidR="005D4735">
        <w:rPr>
          <w:rFonts w:cs="Segoe UI"/>
        </w:rPr>
        <w:t xml:space="preserve"> a odpovědnost za škodu</w:t>
      </w:r>
    </w:p>
    <w:p w14:paraId="7883C2BC" w14:textId="4B7FFE2C" w:rsidR="005D4735" w:rsidRDefault="005D4735" w:rsidP="00643786">
      <w:pPr>
        <w:pStyle w:val="Odstavecseseznamem"/>
      </w:pPr>
      <w:r w:rsidRPr="00327D7F">
        <w:t xml:space="preserve">Smluvní strany odpovídají za škodu způsobenou druhé straně v důsledku porušení svých povinností vyplývajících z této </w:t>
      </w:r>
      <w:r>
        <w:t>Smlouvy</w:t>
      </w:r>
      <w:r w:rsidRPr="00327D7F">
        <w:t xml:space="preserve"> nebo z právních předpisů v souladu s ustanoveními občanského zákoníku.</w:t>
      </w:r>
    </w:p>
    <w:p w14:paraId="237800A6" w14:textId="62694E76" w:rsidR="009B6CA1" w:rsidRPr="0074512C" w:rsidRDefault="00ED70A8" w:rsidP="006621D7">
      <w:pPr>
        <w:pStyle w:val="Odstavecseseznamem"/>
      </w:pPr>
      <w:r>
        <w:t xml:space="preserve">V případě prodlení </w:t>
      </w:r>
      <w:r w:rsidR="00822556">
        <w:t>Poskytovatel</w:t>
      </w:r>
      <w:r>
        <w:t>e s</w:t>
      </w:r>
      <w:r w:rsidR="0059259C">
        <w:t xml:space="preserve"> </w:t>
      </w:r>
      <w:r w:rsidR="00643786">
        <w:t xml:space="preserve">dodržením lhůty </w:t>
      </w:r>
      <w:r w:rsidR="00643786" w:rsidRPr="0074512C">
        <w:t xml:space="preserve">pro </w:t>
      </w:r>
      <w:r w:rsidR="0059259C" w:rsidRPr="0074512C">
        <w:t>provizorní</w:t>
      </w:r>
      <w:r w:rsidR="0021019E" w:rsidRPr="0074512C">
        <w:t xml:space="preserve"> řešení vady</w:t>
      </w:r>
      <w:r w:rsidR="0059259C" w:rsidRPr="0074512C">
        <w:t>/</w:t>
      </w:r>
      <w:r w:rsidR="00643786" w:rsidRPr="0074512C">
        <w:t xml:space="preserve">trvalé odstranění vady Kategorie A je </w:t>
      </w:r>
      <w:r w:rsidR="00822556" w:rsidRPr="0074512C">
        <w:t>Objednatel</w:t>
      </w:r>
      <w:r w:rsidR="00643786" w:rsidRPr="0074512C">
        <w:t xml:space="preserve"> oprávněn požadovat uhrazení smluvní pokuty </w:t>
      </w:r>
      <w:r w:rsidR="00761239" w:rsidRPr="0074512C">
        <w:t>ve výši</w:t>
      </w:r>
      <w:r w:rsidR="009B6CA1" w:rsidRPr="0074512C">
        <w:t>:</w:t>
      </w:r>
    </w:p>
    <w:p w14:paraId="6A1D04BE" w14:textId="10615197" w:rsidR="009B6CA1" w:rsidRPr="006621D7" w:rsidRDefault="00643786" w:rsidP="006621D7">
      <w:pPr>
        <w:pStyle w:val="slovanseznam"/>
        <w:numPr>
          <w:ilvl w:val="0"/>
          <w:numId w:val="25"/>
        </w:numPr>
        <w:spacing w:before="0"/>
        <w:ind w:left="851" w:hanging="284"/>
      </w:pPr>
      <w:r w:rsidRPr="006621D7">
        <w:rPr>
          <w:b/>
          <w:bCs/>
        </w:rPr>
        <w:t>700 Kč</w:t>
      </w:r>
      <w:r w:rsidRPr="006621D7">
        <w:t xml:space="preserve"> </w:t>
      </w:r>
      <w:r w:rsidR="006621D7" w:rsidRPr="006621D7">
        <w:rPr>
          <w:b/>
          <w:bCs/>
        </w:rPr>
        <w:t>bez DPH</w:t>
      </w:r>
      <w:r w:rsidR="006621D7">
        <w:t xml:space="preserve"> </w:t>
      </w:r>
      <w:r w:rsidRPr="006621D7">
        <w:t>za každou započatou hodinu prodlení</w:t>
      </w:r>
      <w:r w:rsidR="00E937DD" w:rsidRPr="006621D7">
        <w:t xml:space="preserve"> s provizorním </w:t>
      </w:r>
      <w:r w:rsidR="009B6CA1" w:rsidRPr="006621D7">
        <w:t xml:space="preserve">odstraněním vady, </w:t>
      </w:r>
    </w:p>
    <w:p w14:paraId="68B4D661" w14:textId="17A1F45E" w:rsidR="009B6CA1" w:rsidRPr="0074512C" w:rsidRDefault="00E937DD" w:rsidP="006621D7">
      <w:pPr>
        <w:pStyle w:val="slovanseznam"/>
        <w:numPr>
          <w:ilvl w:val="0"/>
          <w:numId w:val="25"/>
        </w:numPr>
        <w:spacing w:before="0"/>
        <w:ind w:left="851" w:hanging="284"/>
      </w:pPr>
      <w:r w:rsidRPr="006621D7">
        <w:rPr>
          <w:b/>
          <w:bCs/>
        </w:rPr>
        <w:t>5.600 Kč</w:t>
      </w:r>
      <w:r w:rsidRPr="006621D7">
        <w:t xml:space="preserve"> </w:t>
      </w:r>
      <w:r w:rsidR="006621D7" w:rsidRPr="006621D7">
        <w:rPr>
          <w:b/>
          <w:bCs/>
        </w:rPr>
        <w:t>bez DPH</w:t>
      </w:r>
      <w:r w:rsidR="006621D7">
        <w:t xml:space="preserve"> </w:t>
      </w:r>
      <w:r w:rsidRPr="006621D7">
        <w:t>za každý započatý pracovní den prodlení s trvalým odstraněním vady</w:t>
      </w:r>
      <w:r w:rsidR="0021019E" w:rsidRPr="006621D7">
        <w:t>,</w:t>
      </w:r>
    </w:p>
    <w:p w14:paraId="10D78599" w14:textId="05975D0E" w:rsidR="0059259C" w:rsidRPr="0074512C" w:rsidRDefault="0021019E" w:rsidP="006621D7">
      <w:pPr>
        <w:ind w:left="567"/>
        <w:jc w:val="both"/>
      </w:pPr>
      <w:r w:rsidRPr="009B6CA1">
        <w:rPr>
          <w:rFonts w:cs="Segoe UI"/>
        </w:rPr>
        <w:t xml:space="preserve">a to od okamžiku marného uplynutí lhůty pro </w:t>
      </w:r>
      <w:r w:rsidRPr="0074512C">
        <w:rPr>
          <w:rFonts w:cs="Segoe UI"/>
        </w:rPr>
        <w:t>provizorní</w:t>
      </w:r>
      <w:r w:rsidR="0096311B" w:rsidRPr="0074512C">
        <w:rPr>
          <w:rFonts w:cs="Segoe UI"/>
        </w:rPr>
        <w:t xml:space="preserve"> řešení vady</w:t>
      </w:r>
      <w:r w:rsidRPr="0074512C">
        <w:rPr>
          <w:rFonts w:cs="Segoe UI"/>
        </w:rPr>
        <w:t xml:space="preserve">/trvalé odstranění vady dle čl. </w:t>
      </w:r>
      <w:r w:rsidR="008A2A15">
        <w:rPr>
          <w:rFonts w:cs="Segoe UI"/>
        </w:rPr>
        <w:t>5</w:t>
      </w:r>
      <w:r w:rsidRPr="0074512C">
        <w:rPr>
          <w:rFonts w:cs="Segoe UI"/>
        </w:rPr>
        <w:t xml:space="preserve">.4.1 </w:t>
      </w:r>
      <w:r w:rsidR="00822556" w:rsidRPr="0074512C">
        <w:rPr>
          <w:rFonts w:cs="Segoe UI"/>
        </w:rPr>
        <w:t>Smlouv</w:t>
      </w:r>
      <w:r w:rsidRPr="0074512C">
        <w:rPr>
          <w:rFonts w:cs="Segoe UI"/>
        </w:rPr>
        <w:t xml:space="preserve">y. </w:t>
      </w:r>
      <w:r w:rsidR="00643786" w:rsidRPr="0074512C">
        <w:t xml:space="preserve"> </w:t>
      </w:r>
    </w:p>
    <w:p w14:paraId="3AC1DE5E" w14:textId="77777777" w:rsidR="009B6CA1" w:rsidRPr="0074512C" w:rsidRDefault="0059259C" w:rsidP="00761239">
      <w:pPr>
        <w:pStyle w:val="Odstavecseseznamem"/>
      </w:pPr>
      <w:r w:rsidRPr="0074512C">
        <w:t xml:space="preserve">V případě prodlení </w:t>
      </w:r>
      <w:r w:rsidR="00822556" w:rsidRPr="0074512C">
        <w:t>Poskytovatel</w:t>
      </w:r>
      <w:r w:rsidRPr="0074512C">
        <w:t xml:space="preserve">e s dodržením lhůty pro </w:t>
      </w:r>
      <w:r w:rsidR="000368D0" w:rsidRPr="0074512C">
        <w:t>provizorní</w:t>
      </w:r>
      <w:r w:rsidR="0096311B" w:rsidRPr="0074512C">
        <w:t xml:space="preserve"> řešení vady</w:t>
      </w:r>
      <w:r w:rsidR="000368D0" w:rsidRPr="0074512C">
        <w:t>/</w:t>
      </w:r>
      <w:r w:rsidRPr="0074512C">
        <w:t xml:space="preserve">trvalé odstranění vady Kategorie B je </w:t>
      </w:r>
      <w:r w:rsidR="00822556" w:rsidRPr="0074512C">
        <w:t>Objednatel</w:t>
      </w:r>
      <w:r w:rsidR="00761239" w:rsidRPr="0074512C">
        <w:t xml:space="preserve"> oprávněn požadovat uhrazení smluvní pokuty</w:t>
      </w:r>
      <w:r w:rsidR="00E937DD" w:rsidRPr="0074512C">
        <w:t xml:space="preserve"> ve výši</w:t>
      </w:r>
      <w:r w:rsidR="009B6CA1" w:rsidRPr="0074512C">
        <w:t>:</w:t>
      </w:r>
    </w:p>
    <w:p w14:paraId="07231F86" w14:textId="57F9A066" w:rsidR="009B6CA1" w:rsidRPr="0074512C" w:rsidRDefault="00E937DD" w:rsidP="006621D7">
      <w:pPr>
        <w:pStyle w:val="Odstavecseseznamem"/>
        <w:numPr>
          <w:ilvl w:val="0"/>
          <w:numId w:val="24"/>
        </w:numPr>
        <w:spacing w:before="0"/>
        <w:ind w:left="851" w:hanging="284"/>
      </w:pPr>
      <w:r w:rsidRPr="0074512C">
        <w:rPr>
          <w:b/>
        </w:rPr>
        <w:t>300 Kč</w:t>
      </w:r>
      <w:r w:rsidR="006621D7">
        <w:rPr>
          <w:b/>
        </w:rPr>
        <w:t xml:space="preserve"> </w:t>
      </w:r>
      <w:r w:rsidR="006621D7" w:rsidRPr="006621D7">
        <w:rPr>
          <w:b/>
          <w:bCs/>
        </w:rPr>
        <w:t>bez DPH</w:t>
      </w:r>
      <w:r w:rsidRPr="0074512C">
        <w:t xml:space="preserve"> za každou započatou hodinu prodlení s provizorním odstraněním vady, </w:t>
      </w:r>
    </w:p>
    <w:p w14:paraId="12221343" w14:textId="1552DDDF" w:rsidR="009B6CA1" w:rsidRPr="0074512C" w:rsidRDefault="00761239" w:rsidP="006621D7">
      <w:pPr>
        <w:pStyle w:val="Odstavecseseznamem"/>
        <w:numPr>
          <w:ilvl w:val="0"/>
          <w:numId w:val="24"/>
        </w:numPr>
        <w:spacing w:before="0"/>
        <w:ind w:left="851" w:hanging="284"/>
      </w:pPr>
      <w:r w:rsidRPr="0074512C">
        <w:rPr>
          <w:b/>
        </w:rPr>
        <w:t>2.</w:t>
      </w:r>
      <w:r w:rsidR="006621D7">
        <w:rPr>
          <w:b/>
        </w:rPr>
        <w:t>5</w:t>
      </w:r>
      <w:r w:rsidRPr="0074512C">
        <w:rPr>
          <w:rFonts w:cs="Segoe UI"/>
          <w:b/>
        </w:rPr>
        <w:t>00 Kč</w:t>
      </w:r>
      <w:r w:rsidR="006621D7">
        <w:rPr>
          <w:rFonts w:cs="Segoe UI"/>
          <w:b/>
        </w:rPr>
        <w:t xml:space="preserve"> </w:t>
      </w:r>
      <w:r w:rsidR="006621D7" w:rsidRPr="006621D7">
        <w:rPr>
          <w:b/>
          <w:bCs/>
        </w:rPr>
        <w:t>bez DPH</w:t>
      </w:r>
      <w:r w:rsidRPr="0074512C">
        <w:rPr>
          <w:rFonts w:cs="Segoe UI"/>
        </w:rPr>
        <w:t xml:space="preserve"> za každý započatý </w:t>
      </w:r>
      <w:r w:rsidR="0074512C">
        <w:rPr>
          <w:rFonts w:cs="Segoe UI"/>
        </w:rPr>
        <w:t xml:space="preserve">pracovní </w:t>
      </w:r>
      <w:r w:rsidRPr="0074512C">
        <w:rPr>
          <w:rFonts w:cs="Segoe UI"/>
        </w:rPr>
        <w:t>den prodlení</w:t>
      </w:r>
      <w:r w:rsidR="009B6CA1" w:rsidRPr="0074512C">
        <w:rPr>
          <w:rFonts w:cs="Segoe UI"/>
        </w:rPr>
        <w:t xml:space="preserve"> s trvalým odstraněním vady</w:t>
      </w:r>
      <w:r w:rsidR="0096311B" w:rsidRPr="0074512C">
        <w:rPr>
          <w:rFonts w:cs="Segoe UI"/>
        </w:rPr>
        <w:t>,</w:t>
      </w:r>
    </w:p>
    <w:p w14:paraId="18060947" w14:textId="2AF1E877" w:rsidR="00761239" w:rsidRDefault="007D49C2" w:rsidP="006621D7">
      <w:pPr>
        <w:ind w:left="567"/>
        <w:jc w:val="both"/>
      </w:pPr>
      <w:r w:rsidRPr="0074512C">
        <w:rPr>
          <w:rFonts w:cs="Segoe UI"/>
        </w:rPr>
        <w:t xml:space="preserve">a to od okamžiku marného uplynutí lhůty pro provizorní řešení vady/trvalé odstranění vady dle čl. </w:t>
      </w:r>
      <w:r w:rsidR="008A2A15">
        <w:rPr>
          <w:rFonts w:cs="Segoe UI"/>
        </w:rPr>
        <w:t>5</w:t>
      </w:r>
      <w:r w:rsidRPr="0074512C">
        <w:rPr>
          <w:rFonts w:cs="Segoe UI"/>
        </w:rPr>
        <w:t xml:space="preserve">.4.2 </w:t>
      </w:r>
      <w:r w:rsidR="00822556" w:rsidRPr="0074512C">
        <w:rPr>
          <w:rFonts w:cs="Segoe UI"/>
        </w:rPr>
        <w:t>Smlouv</w:t>
      </w:r>
      <w:r w:rsidRPr="0074512C">
        <w:rPr>
          <w:rFonts w:cs="Segoe UI"/>
        </w:rPr>
        <w:t>y.</w:t>
      </w:r>
      <w:r w:rsidRPr="009B6CA1">
        <w:rPr>
          <w:rFonts w:cs="Segoe UI"/>
        </w:rPr>
        <w:t xml:space="preserve">  </w:t>
      </w:r>
      <w:r w:rsidR="00761239">
        <w:t xml:space="preserve"> </w:t>
      </w:r>
    </w:p>
    <w:p w14:paraId="04C21FE4" w14:textId="694F9743" w:rsidR="00ED70A8" w:rsidRDefault="00761239" w:rsidP="002C1793">
      <w:pPr>
        <w:pStyle w:val="Odstavecseseznamem"/>
      </w:pPr>
      <w:r w:rsidRPr="00761239">
        <w:t xml:space="preserve">V případě prodlení </w:t>
      </w:r>
      <w:r w:rsidR="00822556">
        <w:t>Poskytovatel</w:t>
      </w:r>
      <w:r w:rsidRPr="00761239">
        <w:t xml:space="preserve">e s dodržením lhůty pro trvalé odstranění vady Kategorie </w:t>
      </w:r>
      <w:r>
        <w:t>C</w:t>
      </w:r>
      <w:r w:rsidRPr="00761239">
        <w:t xml:space="preserve"> je </w:t>
      </w:r>
      <w:r w:rsidR="00822556">
        <w:t>Objednatel</w:t>
      </w:r>
      <w:r w:rsidRPr="00761239">
        <w:t xml:space="preserve"> oprávněn požadovat uhrazení smluvní pokuty </w:t>
      </w:r>
      <w:r>
        <w:t xml:space="preserve">ve výši </w:t>
      </w:r>
      <w:r w:rsidRPr="004601C5">
        <w:rPr>
          <w:b/>
        </w:rPr>
        <w:t xml:space="preserve">1.000 </w:t>
      </w:r>
      <w:r w:rsidR="006621D7">
        <w:rPr>
          <w:b/>
        </w:rPr>
        <w:t xml:space="preserve">Kč </w:t>
      </w:r>
      <w:r w:rsidR="006621D7" w:rsidRPr="006621D7">
        <w:rPr>
          <w:b/>
          <w:bCs/>
        </w:rPr>
        <w:t>bez DPH</w:t>
      </w:r>
      <w:r w:rsidR="000368D0">
        <w:t xml:space="preserve"> za každý započatý den prodlení, a to od okamžiku marného uplynutí </w:t>
      </w:r>
      <w:r w:rsidR="000C5D1E">
        <w:t xml:space="preserve">lhůty pro trvalé odstranění vady </w:t>
      </w:r>
      <w:r w:rsidR="000C5D1E" w:rsidRPr="00761239">
        <w:t xml:space="preserve">dle čl. </w:t>
      </w:r>
      <w:r w:rsidR="008A2A15">
        <w:t>5</w:t>
      </w:r>
      <w:r w:rsidR="000C5D1E" w:rsidRPr="00761239">
        <w:t>.4.</w:t>
      </w:r>
      <w:r w:rsidR="000C5D1E">
        <w:t>3</w:t>
      </w:r>
      <w:r w:rsidR="000C5D1E" w:rsidRPr="00761239">
        <w:t xml:space="preserve"> </w:t>
      </w:r>
      <w:r w:rsidR="00822556">
        <w:t>Smlouv</w:t>
      </w:r>
      <w:r w:rsidR="000C5D1E" w:rsidRPr="00761239">
        <w:t>y</w:t>
      </w:r>
      <w:r w:rsidR="000C5D1E">
        <w:t>.</w:t>
      </w:r>
      <w:r w:rsidRPr="00761239">
        <w:t xml:space="preserve"> </w:t>
      </w:r>
      <w:r w:rsidR="0059259C">
        <w:t xml:space="preserve">   </w:t>
      </w:r>
      <w:r w:rsidR="00ED70A8">
        <w:t xml:space="preserve"> </w:t>
      </w:r>
    </w:p>
    <w:p w14:paraId="3C242B4E" w14:textId="3D644C25" w:rsidR="006621D7" w:rsidRPr="006621D7" w:rsidRDefault="006621D7" w:rsidP="006621D7">
      <w:pPr>
        <w:pStyle w:val="Odstavecseseznamem"/>
        <w:rPr>
          <w:rFonts w:cs="Segoe UI"/>
        </w:rPr>
      </w:pPr>
      <w:r>
        <w:t xml:space="preserve">Smluvní strany se dohodly, že celková </w:t>
      </w:r>
      <w:r w:rsidRPr="006E61B4">
        <w:t xml:space="preserve">výše </w:t>
      </w:r>
      <w:r>
        <w:t xml:space="preserve">smluvních pokut dle čl. </w:t>
      </w:r>
      <w:r w:rsidR="008A2A15">
        <w:t>6</w:t>
      </w:r>
      <w:r>
        <w:t xml:space="preserve">.2 až </w:t>
      </w:r>
      <w:r w:rsidR="008A2A15">
        <w:t>6</w:t>
      </w:r>
      <w:r>
        <w:t xml:space="preserve">.4 Smlouvy, na které vznikne Objednateli právo, nepřesáhne </w:t>
      </w:r>
      <w:r w:rsidRPr="006E61B4">
        <w:t>za jeden kal</w:t>
      </w:r>
      <w:r>
        <w:t xml:space="preserve">endářní měsíc částku ve výši </w:t>
      </w:r>
      <w:r w:rsidRPr="004F6B56">
        <w:rPr>
          <w:b/>
        </w:rPr>
        <w:t>20.000 Kč</w:t>
      </w:r>
      <w:r>
        <w:rPr>
          <w:b/>
        </w:rPr>
        <w:t xml:space="preserve"> bez DPH</w:t>
      </w:r>
      <w:r w:rsidRPr="006E61B4">
        <w:t>.</w:t>
      </w:r>
    </w:p>
    <w:p w14:paraId="24ACCBD3" w14:textId="65B98575" w:rsidR="00A95C0C" w:rsidRPr="00A95C0C" w:rsidRDefault="00CA3D69" w:rsidP="00A95C0C">
      <w:pPr>
        <w:pStyle w:val="Odstavecseseznamem"/>
        <w:rPr>
          <w:rFonts w:cs="Segoe UI"/>
        </w:rPr>
      </w:pPr>
      <w:r>
        <w:rPr>
          <w:rFonts w:cs="Segoe UI"/>
        </w:rPr>
        <w:t>V</w:t>
      </w:r>
      <w:r w:rsidR="00A95C0C" w:rsidRPr="00A95C0C">
        <w:rPr>
          <w:rFonts w:cs="Segoe UI"/>
        </w:rPr>
        <w:t xml:space="preserve"> případ</w:t>
      </w:r>
      <w:r w:rsidR="00397028">
        <w:rPr>
          <w:rFonts w:cs="Segoe UI"/>
        </w:rPr>
        <w:t xml:space="preserve">ě porušení povinnosti mlčenlivosti uvedené v čl. </w:t>
      </w:r>
      <w:r w:rsidR="008A2A15">
        <w:rPr>
          <w:rFonts w:cs="Segoe UI"/>
        </w:rPr>
        <w:t>7</w:t>
      </w:r>
      <w:r w:rsidR="00A95C0C" w:rsidRPr="00ED2C8E">
        <w:rPr>
          <w:rFonts w:cs="Segoe UI"/>
        </w:rPr>
        <w:t xml:space="preserve"> této</w:t>
      </w:r>
      <w:r w:rsidR="00A95C0C" w:rsidRPr="00A95C0C">
        <w:rPr>
          <w:rFonts w:cs="Segoe UI"/>
        </w:rPr>
        <w:t xml:space="preserve"> </w:t>
      </w:r>
      <w:r w:rsidR="00822556">
        <w:rPr>
          <w:rFonts w:cs="Segoe UI"/>
        </w:rPr>
        <w:t>Smlouv</w:t>
      </w:r>
      <w:r w:rsidR="00A95C0C" w:rsidRPr="00A95C0C">
        <w:rPr>
          <w:rFonts w:cs="Segoe UI"/>
        </w:rPr>
        <w:t>y,</w:t>
      </w:r>
      <w:r w:rsidR="00BF0D29">
        <w:rPr>
          <w:rFonts w:cs="Segoe UI"/>
        </w:rPr>
        <w:t xml:space="preserve"> </w:t>
      </w:r>
      <w:r w:rsidR="00A95C0C" w:rsidRPr="00A95C0C">
        <w:rPr>
          <w:rFonts w:cs="Segoe UI"/>
        </w:rPr>
        <w:t xml:space="preserve">jakéhokoliv neoprávněného užití dat </w:t>
      </w:r>
      <w:r w:rsidR="00822556">
        <w:rPr>
          <w:rFonts w:cs="Segoe UI"/>
        </w:rPr>
        <w:t>Objednatel</w:t>
      </w:r>
      <w:r w:rsidR="00A95C0C" w:rsidRPr="00A95C0C">
        <w:rPr>
          <w:rFonts w:cs="Segoe UI"/>
        </w:rPr>
        <w:t>e</w:t>
      </w:r>
      <w:r w:rsidR="00BF0D29">
        <w:rPr>
          <w:rFonts w:cs="Segoe UI"/>
        </w:rPr>
        <w:t xml:space="preserve"> anebo v případě nerespektování be</w:t>
      </w:r>
      <w:r w:rsidR="00BF0D29" w:rsidRPr="004D2D22">
        <w:rPr>
          <w:rFonts w:cs="Segoe UI"/>
        </w:rPr>
        <w:t>zpečnostní</w:t>
      </w:r>
      <w:r w:rsidR="00BF0D29">
        <w:rPr>
          <w:rFonts w:cs="Segoe UI"/>
        </w:rPr>
        <w:t>ch</w:t>
      </w:r>
      <w:r w:rsidR="00BF0D29" w:rsidRPr="004D2D22">
        <w:rPr>
          <w:rFonts w:cs="Segoe UI"/>
        </w:rPr>
        <w:t xml:space="preserve"> požadavk</w:t>
      </w:r>
      <w:r w:rsidR="00BF0D29">
        <w:rPr>
          <w:rFonts w:cs="Segoe UI"/>
        </w:rPr>
        <w:t>ů</w:t>
      </w:r>
      <w:r w:rsidR="00BF0D29" w:rsidRPr="004D2D22">
        <w:rPr>
          <w:rFonts w:cs="Segoe UI"/>
        </w:rPr>
        <w:t xml:space="preserve"> SFŽP ČR</w:t>
      </w:r>
      <w:r w:rsidR="00BF0D29">
        <w:rPr>
          <w:rFonts w:cs="Segoe UI"/>
        </w:rPr>
        <w:t xml:space="preserve"> uvedených v příloze č. 1 Smlouvy</w:t>
      </w:r>
      <w:r w:rsidR="00A95C0C" w:rsidRPr="00A95C0C">
        <w:rPr>
          <w:rFonts w:cs="Segoe UI"/>
        </w:rPr>
        <w:t xml:space="preserve">, za které bude odpovídat v rámci realizace předmětu této </w:t>
      </w:r>
      <w:r w:rsidR="00822556">
        <w:rPr>
          <w:rFonts w:cs="Segoe UI"/>
        </w:rPr>
        <w:t>Smlouv</w:t>
      </w:r>
      <w:r w:rsidR="00A95C0C" w:rsidRPr="00A95C0C">
        <w:rPr>
          <w:rFonts w:cs="Segoe UI"/>
        </w:rPr>
        <w:t xml:space="preserve">y </w:t>
      </w:r>
      <w:r w:rsidR="00822556">
        <w:rPr>
          <w:rFonts w:cs="Segoe UI"/>
        </w:rPr>
        <w:t>Poskytovatel</w:t>
      </w:r>
      <w:r w:rsidR="00A95C0C" w:rsidRPr="00A95C0C">
        <w:rPr>
          <w:rFonts w:cs="Segoe UI"/>
        </w:rPr>
        <w:t xml:space="preserve">, bude </w:t>
      </w:r>
      <w:r w:rsidR="00822556">
        <w:rPr>
          <w:rFonts w:cs="Segoe UI"/>
        </w:rPr>
        <w:t>Objednatel</w:t>
      </w:r>
      <w:r w:rsidR="00A95C0C" w:rsidRPr="00A95C0C">
        <w:rPr>
          <w:rFonts w:cs="Segoe UI"/>
        </w:rPr>
        <w:t xml:space="preserve"> oprávněn účtovat </w:t>
      </w:r>
      <w:r w:rsidR="00822556">
        <w:rPr>
          <w:rFonts w:cs="Segoe UI"/>
        </w:rPr>
        <w:t>Poskytovatel</w:t>
      </w:r>
      <w:r w:rsidR="00A95C0C" w:rsidRPr="00A95C0C">
        <w:rPr>
          <w:rFonts w:cs="Segoe UI"/>
        </w:rPr>
        <w:t xml:space="preserve">i smluvní pokutu ve výši </w:t>
      </w:r>
      <w:r w:rsidR="005D4735">
        <w:rPr>
          <w:rFonts w:cs="Segoe UI"/>
          <w:b/>
        </w:rPr>
        <w:t>10</w:t>
      </w:r>
      <w:r w:rsidR="00A95C0C" w:rsidRPr="004F6B56">
        <w:rPr>
          <w:rFonts w:cs="Segoe UI"/>
          <w:b/>
        </w:rPr>
        <w:t>0.000 Kč</w:t>
      </w:r>
      <w:r>
        <w:rPr>
          <w:rFonts w:cs="Segoe UI"/>
          <w:b/>
        </w:rPr>
        <w:t xml:space="preserve"> bez DPH</w:t>
      </w:r>
      <w:r w:rsidR="00397028" w:rsidRPr="004F6B56">
        <w:rPr>
          <w:rFonts w:cs="Segoe UI"/>
        </w:rPr>
        <w:t xml:space="preserve">, a </w:t>
      </w:r>
      <w:r w:rsidR="00397028" w:rsidRPr="00CA3D69">
        <w:rPr>
          <w:rFonts w:cs="Segoe UI"/>
        </w:rPr>
        <w:t xml:space="preserve">to </w:t>
      </w:r>
      <w:r w:rsidRPr="00CA3D69">
        <w:rPr>
          <w:rFonts w:cs="Segoe UI"/>
        </w:rPr>
        <w:t>i opakovaně</w:t>
      </w:r>
      <w:r>
        <w:rPr>
          <w:rFonts w:cs="Segoe UI"/>
          <w:b/>
        </w:rPr>
        <w:t xml:space="preserve"> </w:t>
      </w:r>
      <w:r w:rsidR="00C83D95">
        <w:rPr>
          <w:rFonts w:cs="Segoe UI"/>
        </w:rPr>
        <w:t>z</w:t>
      </w:r>
      <w:r w:rsidR="00A95C0C" w:rsidRPr="00A95C0C">
        <w:rPr>
          <w:rFonts w:cs="Segoe UI"/>
        </w:rPr>
        <w:t xml:space="preserve">a každý jednotlivý případ </w:t>
      </w:r>
      <w:r w:rsidR="00ED5881">
        <w:rPr>
          <w:rFonts w:cs="Segoe UI"/>
        </w:rPr>
        <w:t xml:space="preserve">takového </w:t>
      </w:r>
      <w:r w:rsidR="00A95C0C" w:rsidRPr="00A95C0C">
        <w:rPr>
          <w:rFonts w:cs="Segoe UI"/>
        </w:rPr>
        <w:t xml:space="preserve">porušení </w:t>
      </w:r>
      <w:r w:rsidR="00ED5881">
        <w:rPr>
          <w:rFonts w:cs="Segoe UI"/>
        </w:rPr>
        <w:t>povinnosti.</w:t>
      </w:r>
    </w:p>
    <w:p w14:paraId="233E65B1" w14:textId="71FD3F9C" w:rsidR="00A95C0C" w:rsidRPr="00A95C0C" w:rsidRDefault="00A95C0C" w:rsidP="00A95C0C">
      <w:pPr>
        <w:pStyle w:val="Odstavecseseznamem"/>
        <w:rPr>
          <w:rFonts w:cs="Segoe UI"/>
        </w:rPr>
      </w:pPr>
      <w:r w:rsidRPr="00A95C0C">
        <w:rPr>
          <w:rFonts w:cs="Segoe UI"/>
        </w:rPr>
        <w:t xml:space="preserve">V případě prodlení </w:t>
      </w:r>
      <w:r w:rsidR="00822556">
        <w:rPr>
          <w:rFonts w:cs="Segoe UI"/>
        </w:rPr>
        <w:t>Poskytovatel</w:t>
      </w:r>
      <w:r w:rsidRPr="00A95C0C">
        <w:rPr>
          <w:rFonts w:cs="Segoe UI"/>
        </w:rPr>
        <w:t>e s úhradou účelně vynaložených nákl</w:t>
      </w:r>
      <w:r w:rsidR="00CF7220">
        <w:rPr>
          <w:rFonts w:cs="Segoe UI"/>
        </w:rPr>
        <w:t xml:space="preserve">adů na odstranění vady dle čl. </w:t>
      </w:r>
      <w:r w:rsidR="008A2A15">
        <w:rPr>
          <w:rFonts w:cs="Segoe UI"/>
        </w:rPr>
        <w:t>5</w:t>
      </w:r>
      <w:r w:rsidR="00CF7220">
        <w:rPr>
          <w:rFonts w:cs="Segoe UI"/>
        </w:rPr>
        <w:t>.</w:t>
      </w:r>
      <w:r w:rsidRPr="00A95C0C">
        <w:rPr>
          <w:rFonts w:cs="Segoe UI"/>
        </w:rPr>
        <w:t xml:space="preserve">5 této </w:t>
      </w:r>
      <w:r w:rsidR="00822556">
        <w:rPr>
          <w:rFonts w:cs="Segoe UI"/>
        </w:rPr>
        <w:t>Smlouv</w:t>
      </w:r>
      <w:r w:rsidRPr="00A95C0C">
        <w:rPr>
          <w:rFonts w:cs="Segoe UI"/>
        </w:rPr>
        <w:t xml:space="preserve">y, je </w:t>
      </w:r>
      <w:r w:rsidR="00822556">
        <w:rPr>
          <w:rFonts w:cs="Segoe UI"/>
        </w:rPr>
        <w:t>Poskytovatel</w:t>
      </w:r>
      <w:r w:rsidRPr="00A95C0C">
        <w:rPr>
          <w:rFonts w:cs="Segoe UI"/>
        </w:rPr>
        <w:t xml:space="preserve"> povinen uhradit </w:t>
      </w:r>
      <w:r w:rsidR="00822556">
        <w:rPr>
          <w:rFonts w:cs="Segoe UI"/>
        </w:rPr>
        <w:t>Objednatel</w:t>
      </w:r>
      <w:r w:rsidRPr="00A95C0C">
        <w:rPr>
          <w:rFonts w:cs="Segoe UI"/>
        </w:rPr>
        <w:t>i úrok z prodlení ve výši stanovené předpisy občanského práva.</w:t>
      </w:r>
    </w:p>
    <w:p w14:paraId="66AA5535" w14:textId="5F462AEE" w:rsidR="00A95C0C" w:rsidRPr="004D2D22" w:rsidRDefault="00A95C0C" w:rsidP="008B6CB3">
      <w:pPr>
        <w:pStyle w:val="Odstavecseseznamem"/>
        <w:rPr>
          <w:rFonts w:cs="Segoe UI"/>
        </w:rPr>
      </w:pPr>
      <w:r w:rsidRPr="004D2D22">
        <w:rPr>
          <w:rFonts w:cs="Segoe UI"/>
        </w:rPr>
        <w:t xml:space="preserve">V případě prodlení </w:t>
      </w:r>
      <w:r w:rsidR="00822556">
        <w:rPr>
          <w:rFonts w:cs="Segoe UI"/>
        </w:rPr>
        <w:t>Objednatel</w:t>
      </w:r>
      <w:r w:rsidRPr="004D2D22">
        <w:rPr>
          <w:rFonts w:cs="Segoe UI"/>
        </w:rPr>
        <w:t xml:space="preserve">e s úhradou </w:t>
      </w:r>
      <w:r w:rsidR="00CF7220">
        <w:rPr>
          <w:rFonts w:cs="Segoe UI"/>
        </w:rPr>
        <w:t xml:space="preserve">odměny </w:t>
      </w:r>
      <w:r w:rsidRPr="004D2D22">
        <w:rPr>
          <w:rFonts w:cs="Segoe UI"/>
        </w:rPr>
        <w:t xml:space="preserve">za poskytnuté služby, je </w:t>
      </w:r>
      <w:r w:rsidR="00822556">
        <w:rPr>
          <w:rFonts w:cs="Segoe UI"/>
        </w:rPr>
        <w:t>Objednatel</w:t>
      </w:r>
      <w:r w:rsidRPr="004D2D22">
        <w:rPr>
          <w:rFonts w:cs="Segoe UI"/>
        </w:rPr>
        <w:t xml:space="preserve"> povinen uhradit </w:t>
      </w:r>
      <w:r w:rsidR="00822556">
        <w:rPr>
          <w:rFonts w:cs="Segoe UI"/>
        </w:rPr>
        <w:t>Poskytovatel</w:t>
      </w:r>
      <w:r w:rsidRPr="004D2D22">
        <w:rPr>
          <w:rFonts w:cs="Segoe UI"/>
        </w:rPr>
        <w:t xml:space="preserve">i úrok z prodlení ve výši stanovené předpisy občanského práva. </w:t>
      </w:r>
    </w:p>
    <w:p w14:paraId="77B60BA4" w14:textId="00AF3E20" w:rsidR="00051D1F" w:rsidRDefault="00ED5881" w:rsidP="00ED5881">
      <w:pPr>
        <w:pStyle w:val="Odstavecseseznamem"/>
      </w:pPr>
      <w:r w:rsidRPr="00ED5881">
        <w:rPr>
          <w:rFonts w:cs="Segoe UI"/>
        </w:rPr>
        <w:t xml:space="preserve">Smluvní strany se dohodly, že sjednání výše uvedených smluvních pokut se nedotýká práva </w:t>
      </w:r>
      <w:r w:rsidR="00822556">
        <w:rPr>
          <w:rFonts w:cs="Segoe UI"/>
        </w:rPr>
        <w:t>Objednatel</w:t>
      </w:r>
      <w:r>
        <w:rPr>
          <w:rFonts w:cs="Segoe UI"/>
        </w:rPr>
        <w:t>e</w:t>
      </w:r>
      <w:r w:rsidRPr="00ED5881">
        <w:rPr>
          <w:rFonts w:cs="Segoe UI"/>
        </w:rPr>
        <w:t xml:space="preserve"> domáhat se náhrady škody, která mu porušením povinností, ke kterým se smluvní pokuta vztahuje, vznikne a sjednávají tedy, že ust</w:t>
      </w:r>
      <w:r>
        <w:rPr>
          <w:rFonts w:cs="Segoe UI"/>
        </w:rPr>
        <w:t xml:space="preserve">. </w:t>
      </w:r>
      <w:r w:rsidRPr="00ED5881">
        <w:rPr>
          <w:rFonts w:cs="Segoe UI"/>
        </w:rPr>
        <w:t xml:space="preserve">§ 2050 občanského zákoníku se na tuto </w:t>
      </w:r>
      <w:r w:rsidR="00822556">
        <w:rPr>
          <w:rFonts w:cs="Segoe UI"/>
        </w:rPr>
        <w:t>Smlouv</w:t>
      </w:r>
      <w:r w:rsidRPr="00ED5881">
        <w:rPr>
          <w:rFonts w:cs="Segoe UI"/>
        </w:rPr>
        <w:t>u a vztahy z ní vyplývající nepoužije.</w:t>
      </w:r>
    </w:p>
    <w:p w14:paraId="6109160E" w14:textId="31647C57" w:rsidR="004B05DC" w:rsidRPr="00F27A81" w:rsidRDefault="004B05DC" w:rsidP="00C86B48">
      <w:pPr>
        <w:pStyle w:val="Odstavecseseznamem"/>
        <w:rPr>
          <w:rFonts w:cs="Segoe UI"/>
        </w:rPr>
      </w:pPr>
      <w:r w:rsidRPr="000A7480">
        <w:rPr>
          <w:rFonts w:cs="Segoe UI"/>
        </w:rPr>
        <w:t xml:space="preserve">Smluvní pokuty </w:t>
      </w:r>
      <w:r>
        <w:rPr>
          <w:rFonts w:cs="Segoe UI"/>
        </w:rPr>
        <w:t xml:space="preserve">a úroky z prodlení </w:t>
      </w:r>
      <w:r w:rsidRPr="000A7480">
        <w:rPr>
          <w:rFonts w:cs="Segoe UI"/>
        </w:rPr>
        <w:t xml:space="preserve">dle této </w:t>
      </w:r>
      <w:r>
        <w:rPr>
          <w:rFonts w:cs="Segoe UI"/>
        </w:rPr>
        <w:t>Smlouvy</w:t>
      </w:r>
      <w:r w:rsidRPr="000A7480">
        <w:rPr>
          <w:rFonts w:cs="Segoe UI"/>
        </w:rPr>
        <w:t xml:space="preserve"> jsou splatné po porušení uvedené povinnosti, a to do 10 dnů od doručení písemné výzvy oprávněné </w:t>
      </w:r>
      <w:r>
        <w:rPr>
          <w:rFonts w:cs="Segoe UI"/>
        </w:rPr>
        <w:t>S</w:t>
      </w:r>
      <w:r w:rsidRPr="000A7480">
        <w:rPr>
          <w:rFonts w:cs="Segoe UI"/>
        </w:rPr>
        <w:t xml:space="preserve">mluvní strany k její úhradě straně povinné, a to bezhotovostním převodem na bankovní účet oprávněné </w:t>
      </w:r>
      <w:r>
        <w:rPr>
          <w:rFonts w:cs="Segoe UI"/>
        </w:rPr>
        <w:t>Smluvní strany</w:t>
      </w:r>
      <w:r w:rsidRPr="000A7480">
        <w:rPr>
          <w:rFonts w:cs="Segoe UI"/>
        </w:rPr>
        <w:t xml:space="preserve"> uvedený v hlavičce této </w:t>
      </w:r>
      <w:r>
        <w:rPr>
          <w:rFonts w:cs="Segoe UI"/>
        </w:rPr>
        <w:t>Smlouvy</w:t>
      </w:r>
      <w:r w:rsidRPr="000A7480">
        <w:rPr>
          <w:rFonts w:cs="Segoe UI"/>
        </w:rPr>
        <w:t>.</w:t>
      </w:r>
    </w:p>
    <w:p w14:paraId="6248F986" w14:textId="1B504834" w:rsidR="00ED5881" w:rsidRDefault="001568D9" w:rsidP="004F6B56">
      <w:pPr>
        <w:pStyle w:val="Nadpis1"/>
        <w:rPr>
          <w:rFonts w:cs="Segoe UI"/>
        </w:rPr>
      </w:pPr>
      <w:r w:rsidRPr="3CDE6AC8">
        <w:rPr>
          <w:rFonts w:cs="Segoe UI"/>
        </w:rPr>
        <w:t xml:space="preserve">MLČENLIVOST a </w:t>
      </w:r>
      <w:r w:rsidR="00A27626" w:rsidRPr="3CDE6AC8">
        <w:rPr>
          <w:rFonts w:cs="Segoe UI"/>
        </w:rPr>
        <w:t>Ochrana osobních údajů</w:t>
      </w:r>
    </w:p>
    <w:p w14:paraId="086A5E6A" w14:textId="19B45BE4" w:rsidR="001568D9" w:rsidRPr="001568D9" w:rsidRDefault="001568D9" w:rsidP="009162E9">
      <w:pPr>
        <w:pStyle w:val="Odstavecseseznamem"/>
      </w:pPr>
      <w:r>
        <w:rPr>
          <w:rFonts w:cs="Segoe UI"/>
        </w:rPr>
        <w:t>Poskytovatel</w:t>
      </w:r>
      <w:r w:rsidRPr="004D2D22">
        <w:rPr>
          <w:rFonts w:cs="Segoe UI"/>
        </w:rPr>
        <w:t xml:space="preserve"> je povinen během plnění této </w:t>
      </w:r>
      <w:r>
        <w:rPr>
          <w:rFonts w:cs="Segoe UI"/>
        </w:rPr>
        <w:t>Smlouv</w:t>
      </w:r>
      <w:r w:rsidRPr="004D2D22">
        <w:rPr>
          <w:rFonts w:cs="Segoe UI"/>
        </w:rPr>
        <w:t>y i po jejím ukončení zachovávat mlčenlivost</w:t>
      </w:r>
      <w:r w:rsidR="002B69CD">
        <w:rPr>
          <w:rFonts w:cs="Segoe UI"/>
        </w:rPr>
        <w:br/>
      </w:r>
      <w:r w:rsidRPr="004D2D22">
        <w:rPr>
          <w:rFonts w:cs="Segoe UI"/>
        </w:rPr>
        <w:t xml:space="preserve">o všech skutečnostech, o kterých se v rámci poskytování plnění dle této </w:t>
      </w:r>
      <w:r>
        <w:rPr>
          <w:rFonts w:cs="Segoe UI"/>
        </w:rPr>
        <w:t>Smlouv</w:t>
      </w:r>
      <w:r w:rsidRPr="004D2D22">
        <w:rPr>
          <w:rFonts w:cs="Segoe UI"/>
        </w:rPr>
        <w:t xml:space="preserve">y dozvěděl, či se v budoucnu dozví, </w:t>
      </w:r>
      <w:r>
        <w:rPr>
          <w:rFonts w:cs="Segoe UI"/>
        </w:rPr>
        <w:t xml:space="preserve">které nejsou veřejně dostupné </w:t>
      </w:r>
      <w:r w:rsidRPr="004D2D22">
        <w:rPr>
          <w:rFonts w:cs="Segoe UI"/>
        </w:rPr>
        <w:t xml:space="preserve">a které by mohly </w:t>
      </w:r>
      <w:r>
        <w:rPr>
          <w:rFonts w:cs="Segoe UI"/>
        </w:rPr>
        <w:t>Objednatel</w:t>
      </w:r>
      <w:r w:rsidRPr="004D2D22">
        <w:rPr>
          <w:rFonts w:cs="Segoe UI"/>
        </w:rPr>
        <w:t>i způsobit škodu,</w:t>
      </w:r>
      <w:r w:rsidR="002B69CD">
        <w:rPr>
          <w:rFonts w:cs="Segoe UI"/>
        </w:rPr>
        <w:br/>
      </w:r>
      <w:r w:rsidRPr="004D2D22">
        <w:rPr>
          <w:rFonts w:cs="Segoe UI"/>
        </w:rPr>
        <w:t xml:space="preserve">a nesmí tyto skutečnosti použít ve prospěch svůj nebo třetí osoby. Povinnost mlčenlivosti </w:t>
      </w:r>
      <w:r>
        <w:rPr>
          <w:rFonts w:cs="Segoe UI"/>
        </w:rPr>
        <w:t xml:space="preserve">podle předchozí věty </w:t>
      </w:r>
      <w:r w:rsidRPr="004D2D22">
        <w:rPr>
          <w:rFonts w:cs="Segoe UI"/>
        </w:rPr>
        <w:t xml:space="preserve">se vztahuje též na zaměstnance </w:t>
      </w:r>
      <w:r>
        <w:rPr>
          <w:rFonts w:cs="Segoe UI"/>
        </w:rPr>
        <w:t>Poskytovatel</w:t>
      </w:r>
      <w:r w:rsidRPr="004D2D22">
        <w:rPr>
          <w:rFonts w:cs="Segoe UI"/>
        </w:rPr>
        <w:t>e,</w:t>
      </w:r>
      <w:r>
        <w:rPr>
          <w:rFonts w:cs="Segoe UI"/>
        </w:rPr>
        <w:t xml:space="preserve"> </w:t>
      </w:r>
      <w:r w:rsidRPr="004D2D22">
        <w:rPr>
          <w:rFonts w:cs="Segoe UI"/>
        </w:rPr>
        <w:t xml:space="preserve">za jejichž mlčenlivost odpovídá </w:t>
      </w:r>
      <w:r>
        <w:rPr>
          <w:rFonts w:cs="Segoe UI"/>
        </w:rPr>
        <w:t>Poskytovatel</w:t>
      </w:r>
      <w:r w:rsidRPr="004D2D22">
        <w:rPr>
          <w:rFonts w:cs="Segoe UI"/>
        </w:rPr>
        <w:t xml:space="preserve"> v plném rozsahu.</w:t>
      </w:r>
    </w:p>
    <w:p w14:paraId="62AC2138" w14:textId="4865E761" w:rsidR="009162E9" w:rsidRPr="009162E9" w:rsidRDefault="00ED5881" w:rsidP="009162E9">
      <w:pPr>
        <w:pStyle w:val="Odstavecseseznamem"/>
      </w:pPr>
      <w:r w:rsidRPr="009162E9">
        <w:rPr>
          <w:rFonts w:cs="Segoe UI"/>
        </w:rPr>
        <w:t xml:space="preserve">Smluvní strany berou na vědomí, že pokud dojde v souvislosti s plněním předmětu této </w:t>
      </w:r>
      <w:r w:rsidR="00822556">
        <w:rPr>
          <w:rFonts w:cs="Segoe UI"/>
        </w:rPr>
        <w:t>Smlouv</w:t>
      </w:r>
      <w:r w:rsidRPr="009162E9">
        <w:rPr>
          <w:rFonts w:cs="Segoe UI"/>
        </w:rPr>
        <w:t>y k předání/poskytnutí osobních údajů druhé straně, jsou Smluvní strany povinny:</w:t>
      </w:r>
      <w:r w:rsidR="009162E9" w:rsidRPr="009162E9">
        <w:rPr>
          <w:rFonts w:cs="Segoe UI"/>
        </w:rPr>
        <w:t xml:space="preserve"> </w:t>
      </w:r>
    </w:p>
    <w:p w14:paraId="0ED204A9" w14:textId="77777777" w:rsidR="009162E9" w:rsidRDefault="00ED5881" w:rsidP="00F842F0">
      <w:pPr>
        <w:pStyle w:val="Odstavecseseznamem"/>
        <w:numPr>
          <w:ilvl w:val="0"/>
          <w:numId w:val="19"/>
        </w:numPr>
      </w:pPr>
      <w:r w:rsidRPr="009162E9">
        <w:t>zajistit povinnost mlčenlivosti osob oprávněných k nakládání s poskytnutými osobními údaji;</w:t>
      </w:r>
      <w:r w:rsidR="009162E9">
        <w:t xml:space="preserve"> </w:t>
      </w:r>
    </w:p>
    <w:p w14:paraId="468BB2D0" w14:textId="77777777" w:rsidR="009162E9" w:rsidRDefault="00ED5881" w:rsidP="00F842F0">
      <w:pPr>
        <w:pStyle w:val="Odstavecseseznamem"/>
        <w:numPr>
          <w:ilvl w:val="0"/>
          <w:numId w:val="19"/>
        </w:numPr>
      </w:pPr>
      <w:r w:rsidRPr="009162E9">
        <w:t>zajistit bezpečnost poskytnutých osobních údajů;</w:t>
      </w:r>
      <w:r w:rsidR="009162E9">
        <w:t xml:space="preserve"> </w:t>
      </w:r>
    </w:p>
    <w:p w14:paraId="2A8BC5EA" w14:textId="558410F7" w:rsidR="009162E9" w:rsidRPr="009162E9" w:rsidRDefault="00ED5881" w:rsidP="00F842F0">
      <w:pPr>
        <w:pStyle w:val="Odstavecseseznamem"/>
        <w:numPr>
          <w:ilvl w:val="0"/>
          <w:numId w:val="19"/>
        </w:numPr>
      </w:pPr>
      <w:r w:rsidRPr="009162E9">
        <w:t>nakládat s poskytnutými osobními údaji pouze za účelem a po dobu nezbytnou k plnění předmětu této Dohody, a to v souladu s nařízením Evropského parlamentu a Rady (EU) 2016/679, ze dne 27. dubna 2016, o ochraně fyzických osob v souvislosti se zpracováním osobních údajů a o volném pohybu těchto údajů a o zrušení směrnice 95/46/ES (dále jen „GDPR“).</w:t>
      </w:r>
    </w:p>
    <w:p w14:paraId="740C2A17" w14:textId="1EE988F3" w:rsidR="009162E9" w:rsidRPr="009162E9" w:rsidRDefault="009162E9" w:rsidP="004F6B56">
      <w:pPr>
        <w:pStyle w:val="Odstavecseseznamem"/>
        <w:rPr>
          <w:rFonts w:cs="Segoe UI"/>
        </w:rPr>
      </w:pPr>
      <w:r w:rsidRPr="009162E9">
        <w:rPr>
          <w:rFonts w:cs="Segoe UI"/>
        </w:rPr>
        <w:t xml:space="preserve">Smluvní strany se výslovně dohodly, že osobní údaje předané/poskytnuté v souvislosti s plněním předmětu této </w:t>
      </w:r>
      <w:r w:rsidR="00822556">
        <w:rPr>
          <w:rFonts w:cs="Segoe UI"/>
        </w:rPr>
        <w:t>Smlouv</w:t>
      </w:r>
      <w:r w:rsidRPr="009162E9">
        <w:rPr>
          <w:rFonts w:cs="Segoe UI"/>
        </w:rPr>
        <w:t>y dále neposkytnou třetím stranám dle čl. 4 odst. 10 GDPR, ledaže by se jednalo o žádost oprávněného subjektu.</w:t>
      </w:r>
    </w:p>
    <w:p w14:paraId="77F2BB58" w14:textId="61A2E797" w:rsidR="0058784A" w:rsidRPr="0058784A" w:rsidRDefault="0058784A" w:rsidP="00897396">
      <w:pPr>
        <w:pStyle w:val="Odstavecseseznamem"/>
        <w:spacing w:after="120"/>
        <w:rPr>
          <w:rFonts w:cs="Segoe UI"/>
        </w:rPr>
      </w:pPr>
      <w:r w:rsidRPr="0058784A">
        <w:rPr>
          <w:rFonts w:cs="Segoe UI"/>
        </w:rPr>
        <w:t>Poskytov</w:t>
      </w:r>
      <w:r w:rsidR="00472E5B">
        <w:rPr>
          <w:rFonts w:cs="Segoe UI"/>
        </w:rPr>
        <w:t>atel bude jako zpracovatel pro O</w:t>
      </w:r>
      <w:r w:rsidRPr="0058784A">
        <w:rPr>
          <w:rFonts w:cs="Segoe UI"/>
        </w:rPr>
        <w:t>bjednatele jakožto správce při poskytování</w:t>
      </w:r>
      <w:r w:rsidR="00472E5B">
        <w:rPr>
          <w:rFonts w:cs="Segoe UI"/>
        </w:rPr>
        <w:t xml:space="preserve"> </w:t>
      </w:r>
      <w:r w:rsidRPr="0058784A">
        <w:rPr>
          <w:rFonts w:cs="Segoe UI"/>
        </w:rPr>
        <w:t>služeb zpracovávat rovněž osobní údaje ve smyslu článku 28 odstavce 3 GDPR.</w:t>
      </w:r>
    </w:p>
    <w:p w14:paraId="66B72B7D" w14:textId="429757F0" w:rsidR="0058784A" w:rsidRPr="0058784A" w:rsidRDefault="0058784A" w:rsidP="006E4956">
      <w:pPr>
        <w:pStyle w:val="Odstavecseseznamem"/>
        <w:spacing w:before="0" w:after="120"/>
        <w:rPr>
          <w:rFonts w:cs="Segoe UI"/>
        </w:rPr>
      </w:pPr>
      <w:r w:rsidRPr="0058784A">
        <w:rPr>
          <w:rFonts w:cs="Segoe UI"/>
        </w:rPr>
        <w:t>V souvislosti s poskytováním služ</w:t>
      </w:r>
      <w:r w:rsidR="00472E5B">
        <w:rPr>
          <w:rFonts w:cs="Segoe UI"/>
        </w:rPr>
        <w:t>e</w:t>
      </w:r>
      <w:r w:rsidRPr="0058784A">
        <w:rPr>
          <w:rFonts w:cs="Segoe UI"/>
        </w:rPr>
        <w:t xml:space="preserve">b podle této </w:t>
      </w:r>
      <w:r w:rsidR="00472E5B">
        <w:rPr>
          <w:rFonts w:cs="Segoe UI"/>
        </w:rPr>
        <w:t xml:space="preserve">Smlouvy </w:t>
      </w:r>
      <w:r w:rsidRPr="0058784A">
        <w:rPr>
          <w:rFonts w:cs="Segoe UI"/>
        </w:rPr>
        <w:t xml:space="preserve">pověřuje správce zpracovatele zpracováním osobních údajů, a to v následujícím rozsahu: </w:t>
      </w:r>
    </w:p>
    <w:p w14:paraId="7CF273B5" w14:textId="44B1F411" w:rsidR="0058784A" w:rsidRDefault="0058784A" w:rsidP="00AE2F81">
      <w:pPr>
        <w:pStyle w:val="slovanseznam"/>
        <w:numPr>
          <w:ilvl w:val="2"/>
          <w:numId w:val="36"/>
        </w:numPr>
        <w:ind w:left="1134" w:hanging="568"/>
      </w:pPr>
      <w:r w:rsidRPr="00FD0BD2">
        <w:t xml:space="preserve">kategorie subjektů: </w:t>
      </w:r>
    </w:p>
    <w:p w14:paraId="0EA5F4B8" w14:textId="77777777" w:rsidR="00A90F25" w:rsidRDefault="00EB0D1A" w:rsidP="00AE2F81">
      <w:pPr>
        <w:numPr>
          <w:ilvl w:val="3"/>
          <w:numId w:val="6"/>
        </w:numPr>
        <w:spacing w:before="120" w:after="120"/>
        <w:ind w:left="1985" w:hanging="851"/>
        <w:jc w:val="both"/>
      </w:pPr>
      <w:r>
        <w:t>uživatel informačního systému</w:t>
      </w:r>
      <w:r w:rsidR="392AF288">
        <w:t>,</w:t>
      </w:r>
    </w:p>
    <w:p w14:paraId="3C9AA334" w14:textId="77777777" w:rsidR="005F2C58" w:rsidRDefault="00A90F25" w:rsidP="00414EB3">
      <w:pPr>
        <w:numPr>
          <w:ilvl w:val="3"/>
          <w:numId w:val="6"/>
        </w:numPr>
        <w:spacing w:after="120"/>
        <w:ind w:left="1985" w:hanging="851"/>
        <w:jc w:val="both"/>
      </w:pPr>
      <w:r>
        <w:t xml:space="preserve">evidovaný </w:t>
      </w:r>
      <w:r w:rsidRPr="00863BC0">
        <w:t>subjekt</w:t>
      </w:r>
      <w:r w:rsidR="005F2C58">
        <w:t xml:space="preserve"> žadatele,</w:t>
      </w:r>
    </w:p>
    <w:p w14:paraId="50E19C86" w14:textId="33FE4256" w:rsidR="00753765" w:rsidRDefault="005F2C58" w:rsidP="00414EB3">
      <w:pPr>
        <w:numPr>
          <w:ilvl w:val="3"/>
          <w:numId w:val="6"/>
        </w:numPr>
        <w:spacing w:after="120"/>
        <w:ind w:left="1985" w:hanging="851"/>
        <w:jc w:val="both"/>
      </w:pPr>
      <w:r>
        <w:t>evidovaný subjekt zplnomocněné osoby.</w:t>
      </w:r>
    </w:p>
    <w:p w14:paraId="2AF9148C" w14:textId="481C3172" w:rsidR="0058784A" w:rsidRDefault="0058784A" w:rsidP="00AE2F81">
      <w:pPr>
        <w:pStyle w:val="slovanseznam"/>
        <w:numPr>
          <w:ilvl w:val="2"/>
          <w:numId w:val="36"/>
        </w:numPr>
        <w:ind w:left="1134" w:hanging="567"/>
      </w:pPr>
      <w:r w:rsidRPr="00FD0BD2">
        <w:t xml:space="preserve">typ osobních údajů: </w:t>
      </w:r>
    </w:p>
    <w:p w14:paraId="04254B92" w14:textId="5D07136E" w:rsidR="00A90F25" w:rsidRPr="00863BC0" w:rsidRDefault="00A90F25" w:rsidP="00AE2F81">
      <w:pPr>
        <w:numPr>
          <w:ilvl w:val="3"/>
          <w:numId w:val="36"/>
        </w:numPr>
        <w:spacing w:before="120" w:after="120"/>
        <w:ind w:left="1985" w:hanging="851"/>
        <w:jc w:val="both"/>
      </w:pPr>
      <w:r>
        <w:t xml:space="preserve">pro subjekt dle čl. </w:t>
      </w:r>
      <w:r w:rsidR="008A2A15">
        <w:t>7</w:t>
      </w:r>
      <w:r>
        <w:t>.5.1.1 jsou těmito údaji: jméno, příjmení, přihlašovací e-mail,</w:t>
      </w:r>
    </w:p>
    <w:p w14:paraId="5F7EF8D9" w14:textId="44F9FD1D" w:rsidR="0058784A" w:rsidRDefault="00A90F25" w:rsidP="00AE2F81">
      <w:pPr>
        <w:numPr>
          <w:ilvl w:val="3"/>
          <w:numId w:val="36"/>
        </w:numPr>
        <w:spacing w:after="120"/>
        <w:ind w:left="1985" w:hanging="851"/>
        <w:jc w:val="both"/>
      </w:pPr>
      <w:r>
        <w:t xml:space="preserve">pro subjekt dle čl. </w:t>
      </w:r>
      <w:r w:rsidR="008A2A15">
        <w:t>7</w:t>
      </w:r>
      <w:r>
        <w:t xml:space="preserve">.5.1.2 jsou těmito údaji: </w:t>
      </w:r>
      <w:r w:rsidR="001D3E71">
        <w:t>jméno, příjmení</w:t>
      </w:r>
      <w:r w:rsidR="00272023" w:rsidRPr="001F7B1E">
        <w:t xml:space="preserve">, </w:t>
      </w:r>
      <w:r>
        <w:t xml:space="preserve">datum narození, </w:t>
      </w:r>
      <w:r w:rsidR="00205A4A">
        <w:t xml:space="preserve">rodné číslo, </w:t>
      </w:r>
      <w:r>
        <w:t>nebo IČ</w:t>
      </w:r>
      <w:r w:rsidR="00863BC0">
        <w:t>O</w:t>
      </w:r>
      <w:r>
        <w:t xml:space="preserve">, název subjektu a zastupující osoba (dle typu žadatele), </w:t>
      </w:r>
      <w:r w:rsidR="00205A4A">
        <w:t xml:space="preserve">adresa trvalého pobytu, </w:t>
      </w:r>
      <w:r>
        <w:t xml:space="preserve">kontaktní </w:t>
      </w:r>
      <w:r w:rsidRPr="001F7B1E">
        <w:t>e</w:t>
      </w:r>
      <w:r>
        <w:t>-</w:t>
      </w:r>
      <w:r w:rsidRPr="001F7B1E">
        <w:t>mail,</w:t>
      </w:r>
      <w:r>
        <w:t xml:space="preserve"> </w:t>
      </w:r>
      <w:r w:rsidR="00205A4A">
        <w:t xml:space="preserve">doručovací adresa, </w:t>
      </w:r>
      <w:r>
        <w:t xml:space="preserve">ID datové schránky, </w:t>
      </w:r>
      <w:r w:rsidR="00205A4A">
        <w:t>číslo bankovního účtu</w:t>
      </w:r>
      <w:r w:rsidR="005F2C58">
        <w:t>,</w:t>
      </w:r>
    </w:p>
    <w:p w14:paraId="4773E118" w14:textId="76A39CE4" w:rsidR="005F2C58" w:rsidRPr="00FD0BD2" w:rsidRDefault="005F2C58" w:rsidP="00AE2F81">
      <w:pPr>
        <w:numPr>
          <w:ilvl w:val="3"/>
          <w:numId w:val="36"/>
        </w:numPr>
        <w:spacing w:after="120"/>
        <w:ind w:left="1985" w:hanging="851"/>
        <w:jc w:val="both"/>
      </w:pPr>
      <w:r>
        <w:t xml:space="preserve">pro subjekt dle čl. </w:t>
      </w:r>
      <w:r w:rsidR="008A2A15">
        <w:t>7</w:t>
      </w:r>
      <w:r>
        <w:t>.5.1.3 jsou těmito údaji: jméno, příjmení</w:t>
      </w:r>
      <w:r w:rsidRPr="001F7B1E">
        <w:t xml:space="preserve">, </w:t>
      </w:r>
      <w:r>
        <w:t>datum narození, nebo IČ</w:t>
      </w:r>
      <w:r w:rsidR="00863BC0">
        <w:t>O</w:t>
      </w:r>
      <w:r>
        <w:t xml:space="preserve"> a název subjektu (dle typu žadatele), kontaktní </w:t>
      </w:r>
      <w:r w:rsidRPr="001F7B1E">
        <w:t>e</w:t>
      </w:r>
      <w:r>
        <w:t>-</w:t>
      </w:r>
      <w:r w:rsidRPr="001F7B1E">
        <w:t>mail,</w:t>
      </w:r>
      <w:r>
        <w:t xml:space="preserve"> doručovací adresa, ID datové schránky.</w:t>
      </w:r>
    </w:p>
    <w:p w14:paraId="1E9678CE" w14:textId="74352EA7" w:rsidR="0058784A" w:rsidRPr="00FD0BD2" w:rsidRDefault="0058784A" w:rsidP="00AE2F81">
      <w:pPr>
        <w:pStyle w:val="Odstavecseseznamem"/>
        <w:numPr>
          <w:ilvl w:val="1"/>
          <w:numId w:val="36"/>
        </w:numPr>
        <w:spacing w:after="120"/>
        <w:ind w:left="567" w:hanging="567"/>
      </w:pPr>
      <w:r w:rsidRPr="00FD0BD2">
        <w:t xml:space="preserve">Zpracovatel při zpracování osobních údajů provádí operace v rozsahu plnění povinností zpracovatele na základě této </w:t>
      </w:r>
      <w:r w:rsidR="00472E5B">
        <w:t>Smlouvy</w:t>
      </w:r>
      <w:r w:rsidRPr="00FD0BD2">
        <w:t>, především nahlížení, uložení, zpřístupnění, apod.</w:t>
      </w:r>
    </w:p>
    <w:p w14:paraId="0DA52AEA" w14:textId="43D0407A" w:rsidR="0058784A" w:rsidRPr="00FD0BD2" w:rsidRDefault="005F4863" w:rsidP="00AE2F81">
      <w:pPr>
        <w:pStyle w:val="Odstavecseseznamem"/>
        <w:numPr>
          <w:ilvl w:val="1"/>
          <w:numId w:val="36"/>
        </w:numPr>
        <w:spacing w:after="120"/>
        <w:ind w:left="567" w:hanging="567"/>
      </w:pPr>
      <w:r w:rsidRPr="005F4863">
        <w:t>Zpracovatel prohlašuje, že si je vědom svých povinností podle právních předpisů, zejména GDPR, a zavazuje se, že zajistí jejich plnění, zejména tím, že zajistí prokazatelné seznámení svých zaměstnanců poskytujících služby na základě této Smlouvy a ostatních oprávněných osob s</w:t>
      </w:r>
      <w:r w:rsidR="003F2C9E">
        <w:t> </w:t>
      </w:r>
      <w:r w:rsidRPr="005F4863">
        <w:t>povinností mlčenlivosti a ostatními příslušnými povinnostmi dle právních předpisů. O prokazatelném seznámení oprávněných osob a ostatních svých zaměstnanců s povinnostmi, musí být pořízen písemný záznam, který musí být na vyžádání správce kdykoliv zpřístupněn.</w:t>
      </w:r>
    </w:p>
    <w:p w14:paraId="146C0FB4" w14:textId="77777777" w:rsidR="0058784A" w:rsidRPr="00FD0BD2" w:rsidRDefault="0058784A" w:rsidP="00AE2F81">
      <w:pPr>
        <w:pStyle w:val="Odstavecseseznamem"/>
        <w:numPr>
          <w:ilvl w:val="1"/>
          <w:numId w:val="36"/>
        </w:numPr>
        <w:spacing w:after="120"/>
        <w:ind w:left="567" w:hanging="567"/>
      </w:pPr>
      <w:r w:rsidRPr="00EE654F">
        <w:t>V případě zjištění narušení zabezpečení ochrany zpracovávaných osobních údajů, neoprávněného nebo nahodilého přístupu k osobním údajům, zničení či ztráty, neoprávněného přenosu, nebo jiného neoprávněného zpracování nebo zneužití, je zpracovatel povinen bezodkladně informovat správce a je povinen bezodkladně přijmout opatření k odstranění závadného stavu. O přijatých opatřeních je zpracovatel povinen bezodkladně písemně informovat správce.</w:t>
      </w:r>
    </w:p>
    <w:p w14:paraId="10A324D1" w14:textId="77777777" w:rsidR="0058784A" w:rsidRPr="00FD0BD2" w:rsidRDefault="0058784A" w:rsidP="00AE2F81">
      <w:pPr>
        <w:pStyle w:val="Odstavecseseznamem"/>
        <w:numPr>
          <w:ilvl w:val="1"/>
          <w:numId w:val="36"/>
        </w:numPr>
        <w:spacing w:after="120"/>
        <w:ind w:left="567" w:hanging="567"/>
      </w:pPr>
      <w:r w:rsidRPr="00EE654F">
        <w:t>Zpracovatel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zpracovatelem.</w:t>
      </w:r>
    </w:p>
    <w:p w14:paraId="5DC810C9" w14:textId="795F10AF" w:rsidR="0058784A" w:rsidRPr="00FD0BD2" w:rsidRDefault="0058784A" w:rsidP="00AE2F81">
      <w:pPr>
        <w:pStyle w:val="Odstavecseseznamem"/>
        <w:numPr>
          <w:ilvl w:val="1"/>
          <w:numId w:val="36"/>
        </w:numPr>
        <w:spacing w:after="120"/>
        <w:ind w:left="567" w:hanging="567"/>
      </w:pPr>
      <w:r w:rsidRPr="00EE654F">
        <w:t xml:space="preserve">Osobní údaje je možné zpracovávat pouze na pracovištích zpracovatele nebo jeho dodavatelů (subdodavatelů, poddodavatelů) schválených písemně správcem, a to na území Evropské unie. Zpracovatel i správce se zavazují dodržovat při zpracovávání osobních údajů na základě této </w:t>
      </w:r>
      <w:r w:rsidR="00472E5B">
        <w:t>S</w:t>
      </w:r>
      <w:r w:rsidRPr="00EE654F">
        <w:t>mlouvy povinnosti stanovené GDPR, popřípadě i dalšími obecně závaznými právními předpisy k této činnosti se vztahujícími.</w:t>
      </w:r>
    </w:p>
    <w:p w14:paraId="5F38C4F6" w14:textId="149DA987" w:rsidR="0058784A" w:rsidRPr="00FD0BD2" w:rsidRDefault="0058784A" w:rsidP="00AE2F81">
      <w:pPr>
        <w:pStyle w:val="Odstavecseseznamem"/>
        <w:numPr>
          <w:ilvl w:val="1"/>
          <w:numId w:val="36"/>
        </w:numPr>
        <w:spacing w:after="120"/>
        <w:ind w:left="567" w:hanging="567"/>
      </w:pPr>
      <w:r w:rsidRPr="00EE654F">
        <w:t xml:space="preserve">Správce tímto ve smyslu čl. 28 odst. 2 GDPR uděluje zpracovateli obecné povolení zapojit do zpracování osobních údajů další subjekt; zpracovatel však ještě před zapojením tohoto dalšího subjektu musí písemně informovat správce o veškerých zamýšlených změnách, týkajících se přijetí dalších subjektů nebo jejich nahrazení a poskytnout </w:t>
      </w:r>
      <w:r w:rsidR="00472E5B">
        <w:t>O</w:t>
      </w:r>
      <w:r w:rsidRPr="00EE654F">
        <w:t>bjednateli příležitost vyslovit vůči těmto změnám námitky. Zpracovatel musí uložit těmto dalším subjektům stejné povinnosti na ochranu osobních údajů, jaké jsou uloženy jemu.</w:t>
      </w:r>
    </w:p>
    <w:p w14:paraId="1FE8F852" w14:textId="33C4A71E" w:rsidR="0058784A" w:rsidRDefault="0058784A" w:rsidP="00AE2F81">
      <w:pPr>
        <w:pStyle w:val="Odstavecseseznamem"/>
        <w:numPr>
          <w:ilvl w:val="1"/>
          <w:numId w:val="36"/>
        </w:numPr>
        <w:spacing w:after="120"/>
        <w:ind w:left="567" w:hanging="567"/>
      </w:pPr>
      <w:r w:rsidRPr="00EE654F">
        <w:t xml:space="preserve">Smluvní strany se zavazují poskytnout si vzájemně veškerou potřebnou součinnost a podklady pro zajištění bezproblémové a efektivní realizace této </w:t>
      </w:r>
      <w:r w:rsidR="00472E5B">
        <w:t>Smlouv</w:t>
      </w:r>
      <w:r>
        <w:t>y</w:t>
      </w:r>
      <w:r w:rsidRPr="00EE654F">
        <w:t>, a to zejména v případě jednání s Úřadem pro ochranu osobních údajů nebo s jinými veřejnoprávními orgány.</w:t>
      </w:r>
    </w:p>
    <w:p w14:paraId="74E393F9" w14:textId="6C0B6C18" w:rsidR="00B727F2" w:rsidRPr="00995D97" w:rsidRDefault="00037CA2" w:rsidP="00AE2F81">
      <w:pPr>
        <w:pStyle w:val="Nadpis1"/>
        <w:numPr>
          <w:ilvl w:val="0"/>
          <w:numId w:val="36"/>
        </w:numPr>
        <w:rPr>
          <w:rFonts w:cs="Segoe UI"/>
        </w:rPr>
      </w:pPr>
      <w:r w:rsidRPr="00995D97">
        <w:rPr>
          <w:rFonts w:cs="Segoe UI"/>
        </w:rPr>
        <w:t xml:space="preserve">ZÁNIK </w:t>
      </w:r>
      <w:r w:rsidR="00822556" w:rsidRPr="00995D97">
        <w:rPr>
          <w:rFonts w:cs="Segoe UI"/>
        </w:rPr>
        <w:t>Smlouv</w:t>
      </w:r>
      <w:r w:rsidR="00E464FB" w:rsidRPr="00995D97">
        <w:rPr>
          <w:rFonts w:cs="Segoe UI"/>
        </w:rPr>
        <w:t>y</w:t>
      </w:r>
    </w:p>
    <w:p w14:paraId="60791A26" w14:textId="5938ADB8" w:rsidR="00DD7863" w:rsidRDefault="00E464FB" w:rsidP="00AE2F81">
      <w:pPr>
        <w:pStyle w:val="Odstavecseseznamem"/>
        <w:numPr>
          <w:ilvl w:val="1"/>
          <w:numId w:val="37"/>
        </w:numPr>
        <w:ind w:left="567" w:hanging="567"/>
        <w:rPr>
          <w:rFonts w:cs="Segoe UI"/>
        </w:rPr>
      </w:pPr>
      <w:r w:rsidRPr="00E464FB">
        <w:rPr>
          <w:rFonts w:cs="Segoe UI"/>
        </w:rPr>
        <w:t>T</w:t>
      </w:r>
      <w:r w:rsidR="00DD7863">
        <w:rPr>
          <w:rFonts w:cs="Segoe UI"/>
        </w:rPr>
        <w:t>a</w:t>
      </w:r>
      <w:r w:rsidRPr="00E464FB">
        <w:rPr>
          <w:rFonts w:cs="Segoe UI"/>
        </w:rPr>
        <w:t xml:space="preserve">to </w:t>
      </w:r>
      <w:r w:rsidR="00822556">
        <w:rPr>
          <w:rFonts w:cs="Segoe UI"/>
        </w:rPr>
        <w:t>Smlouv</w:t>
      </w:r>
      <w:r w:rsidR="00DD7863">
        <w:rPr>
          <w:rFonts w:cs="Segoe UI"/>
        </w:rPr>
        <w:t>a</w:t>
      </w:r>
      <w:r w:rsidRPr="00E464FB">
        <w:rPr>
          <w:rFonts w:cs="Segoe UI"/>
        </w:rPr>
        <w:t xml:space="preserve"> </w:t>
      </w:r>
      <w:r w:rsidR="00DD7863">
        <w:rPr>
          <w:rFonts w:cs="Segoe UI"/>
        </w:rPr>
        <w:t xml:space="preserve">může </w:t>
      </w:r>
      <w:r w:rsidR="00AE2F81">
        <w:rPr>
          <w:rFonts w:cs="Segoe UI"/>
        </w:rPr>
        <w:t xml:space="preserve">být </w:t>
      </w:r>
      <w:r w:rsidR="00DD7863">
        <w:rPr>
          <w:rFonts w:cs="Segoe UI"/>
        </w:rPr>
        <w:t>ukončena pouze písemně, a to:</w:t>
      </w:r>
    </w:p>
    <w:p w14:paraId="0DAB9A2F" w14:textId="7B057CB2" w:rsidR="00E464FB" w:rsidRPr="00995D97" w:rsidRDefault="00E464FB" w:rsidP="00AE2F81">
      <w:pPr>
        <w:pStyle w:val="slovanseznam"/>
        <w:numPr>
          <w:ilvl w:val="2"/>
          <w:numId w:val="37"/>
        </w:numPr>
      </w:pPr>
      <w:r w:rsidRPr="00995D97">
        <w:t xml:space="preserve">dohodou </w:t>
      </w:r>
      <w:r w:rsidR="00DD7863" w:rsidRPr="00995D97">
        <w:t xml:space="preserve">podepsanou oběma smluvními stranami, v tomto případě platnost a účinnost </w:t>
      </w:r>
      <w:r w:rsidR="00822556" w:rsidRPr="00995D97">
        <w:t>Smlouv</w:t>
      </w:r>
      <w:r w:rsidR="00DD7863" w:rsidRPr="00995D97">
        <w:t>y končí ke sjednanému dni,</w:t>
      </w:r>
    </w:p>
    <w:p w14:paraId="7EEEB392" w14:textId="3ED5D09C" w:rsidR="00DD7863" w:rsidRPr="00995D97" w:rsidRDefault="00DD7863" w:rsidP="00AE2F81">
      <w:pPr>
        <w:pStyle w:val="slovanseznam"/>
        <w:numPr>
          <w:ilvl w:val="2"/>
          <w:numId w:val="37"/>
        </w:numPr>
        <w:spacing w:after="120"/>
        <w:ind w:left="1287"/>
      </w:pPr>
      <w:r w:rsidRPr="00995D97">
        <w:t xml:space="preserve">odstoupením od této </w:t>
      </w:r>
      <w:r w:rsidR="00822556" w:rsidRPr="00995D97">
        <w:t>Smlouv</w:t>
      </w:r>
      <w:r w:rsidRPr="00995D97">
        <w:t xml:space="preserve">y v důsledku nesplnění povinnosti vyplývající z této </w:t>
      </w:r>
      <w:r w:rsidR="00822556" w:rsidRPr="00995D97">
        <w:t>Smlouv</w:t>
      </w:r>
      <w:r w:rsidRPr="00995D97">
        <w:t>y,</w:t>
      </w:r>
    </w:p>
    <w:p w14:paraId="3C59D765" w14:textId="39726876" w:rsidR="00DD7863" w:rsidRPr="00995D97" w:rsidRDefault="00DD7863" w:rsidP="00AE2F81">
      <w:pPr>
        <w:pStyle w:val="slovanseznam"/>
        <w:numPr>
          <w:ilvl w:val="2"/>
          <w:numId w:val="37"/>
        </w:numPr>
        <w:spacing w:before="0" w:after="120"/>
      </w:pPr>
      <w:r w:rsidRPr="00995D97">
        <w:t xml:space="preserve">odstoupením od této </w:t>
      </w:r>
      <w:r w:rsidR="00822556" w:rsidRPr="00995D97">
        <w:t>Smlouv</w:t>
      </w:r>
      <w:r w:rsidRPr="00995D97">
        <w:t>y v důsledku zahájení insolvenčního řízení vůči druhé smluvní straně,</w:t>
      </w:r>
    </w:p>
    <w:p w14:paraId="367D9E94" w14:textId="5D270B0E" w:rsidR="00DD7863" w:rsidRPr="00995D97" w:rsidRDefault="00DD7863" w:rsidP="00AE2F81">
      <w:pPr>
        <w:pStyle w:val="slovanseznam"/>
        <w:numPr>
          <w:ilvl w:val="2"/>
          <w:numId w:val="37"/>
        </w:numPr>
        <w:spacing w:before="0" w:after="120"/>
      </w:pPr>
      <w:r w:rsidRPr="00995D97">
        <w:t>jednostrannou výpovědí kterékoliv ze smluvních stran bez udání důvodu kdykoli v průběhu její účinnosti, když výpovědní doba</w:t>
      </w:r>
      <w:r w:rsidR="0011134D" w:rsidRPr="00995D97">
        <w:t xml:space="preserve"> činí 3 měsíce a počíná běžet prvním dnem měsíce následujícího po měsíci, ve kterém byla písemná výpověď druhé straně doručena.   </w:t>
      </w:r>
      <w:r w:rsidRPr="00995D97">
        <w:t xml:space="preserve">        </w:t>
      </w:r>
    </w:p>
    <w:p w14:paraId="45DE6BFE" w14:textId="0A89C8A1" w:rsidR="00E464FB" w:rsidRPr="00995D97" w:rsidRDefault="0011134D" w:rsidP="00AE2F81">
      <w:pPr>
        <w:pStyle w:val="Odstavecseseznamem"/>
        <w:numPr>
          <w:ilvl w:val="1"/>
          <w:numId w:val="37"/>
        </w:numPr>
        <w:ind w:left="567" w:hanging="567"/>
        <w:rPr>
          <w:rFonts w:cs="Segoe UI"/>
          <w:szCs w:val="22"/>
        </w:rPr>
      </w:pPr>
      <w:r w:rsidRPr="00995D97">
        <w:rPr>
          <w:rFonts w:cs="Segoe UI"/>
          <w:szCs w:val="22"/>
        </w:rPr>
        <w:t xml:space="preserve">Vedle důvodů stanovených občanským zákoníkem může </w:t>
      </w:r>
      <w:r w:rsidR="00822556" w:rsidRPr="00995D97">
        <w:rPr>
          <w:rFonts w:cs="Segoe UI"/>
          <w:szCs w:val="22"/>
        </w:rPr>
        <w:t>Objednatel</w:t>
      </w:r>
      <w:r w:rsidRPr="00995D97">
        <w:rPr>
          <w:rFonts w:cs="Segoe UI"/>
          <w:szCs w:val="22"/>
        </w:rPr>
        <w:t xml:space="preserve"> ods</w:t>
      </w:r>
      <w:r w:rsidR="00E464FB" w:rsidRPr="00995D97">
        <w:rPr>
          <w:rFonts w:cs="Segoe UI"/>
          <w:szCs w:val="22"/>
        </w:rPr>
        <w:t>toupit</w:t>
      </w:r>
      <w:r w:rsidRPr="00995D97">
        <w:rPr>
          <w:rFonts w:cs="Segoe UI"/>
          <w:szCs w:val="22"/>
        </w:rPr>
        <w:t xml:space="preserve"> pro podstatné porušení </w:t>
      </w:r>
      <w:r w:rsidR="00822556" w:rsidRPr="00995D97">
        <w:rPr>
          <w:rFonts w:cs="Segoe UI"/>
          <w:szCs w:val="22"/>
        </w:rPr>
        <w:t>Smlouv</w:t>
      </w:r>
      <w:r w:rsidRPr="00995D97">
        <w:rPr>
          <w:rFonts w:cs="Segoe UI"/>
          <w:szCs w:val="22"/>
        </w:rPr>
        <w:t>y</w:t>
      </w:r>
      <w:r w:rsidR="00E464FB" w:rsidRPr="00995D97">
        <w:rPr>
          <w:rFonts w:cs="Segoe UI"/>
          <w:szCs w:val="22"/>
        </w:rPr>
        <w:t xml:space="preserve"> </w:t>
      </w:r>
      <w:r w:rsidR="00822556" w:rsidRPr="00995D97">
        <w:rPr>
          <w:rFonts w:cs="Segoe UI"/>
          <w:szCs w:val="22"/>
        </w:rPr>
        <w:t>Poskytovatel</w:t>
      </w:r>
      <w:r w:rsidRPr="00995D97">
        <w:rPr>
          <w:rFonts w:cs="Segoe UI"/>
          <w:szCs w:val="22"/>
        </w:rPr>
        <w:t>em, kterým se rozumí zejména</w:t>
      </w:r>
      <w:r w:rsidR="007D2D24" w:rsidRPr="00995D97">
        <w:rPr>
          <w:rFonts w:cs="Segoe UI"/>
          <w:szCs w:val="22"/>
        </w:rPr>
        <w:t xml:space="preserve"> </w:t>
      </w:r>
      <w:r w:rsidR="00DF372E" w:rsidRPr="00995D97">
        <w:rPr>
          <w:rFonts w:cs="Segoe UI"/>
          <w:szCs w:val="22"/>
        </w:rPr>
        <w:t>opakované nedodržení</w:t>
      </w:r>
      <w:r w:rsidR="00633313" w:rsidRPr="00995D97">
        <w:rPr>
          <w:rFonts w:cs="Segoe UI"/>
          <w:szCs w:val="22"/>
        </w:rPr>
        <w:t xml:space="preserve"> lhůt</w:t>
      </w:r>
      <w:r w:rsidR="002B69CD" w:rsidRPr="00995D97">
        <w:rPr>
          <w:rFonts w:cs="Segoe UI"/>
          <w:szCs w:val="22"/>
        </w:rPr>
        <w:br/>
      </w:r>
      <w:r w:rsidR="007D2D24" w:rsidRPr="00995D97">
        <w:rPr>
          <w:rFonts w:cs="Segoe UI"/>
          <w:szCs w:val="22"/>
        </w:rPr>
        <w:t xml:space="preserve">pro </w:t>
      </w:r>
      <w:r w:rsidR="00633313" w:rsidRPr="00995D97">
        <w:rPr>
          <w:rFonts w:cs="Segoe UI"/>
          <w:szCs w:val="22"/>
        </w:rPr>
        <w:t xml:space="preserve">odstranění vad </w:t>
      </w:r>
      <w:r w:rsidR="007D2D24" w:rsidRPr="00995D97">
        <w:rPr>
          <w:rFonts w:cs="Segoe UI"/>
          <w:szCs w:val="22"/>
        </w:rPr>
        <w:t xml:space="preserve">dle čl. </w:t>
      </w:r>
      <w:r w:rsidR="008A2A15">
        <w:rPr>
          <w:rFonts w:cs="Segoe UI"/>
          <w:szCs w:val="22"/>
        </w:rPr>
        <w:t>5</w:t>
      </w:r>
      <w:r w:rsidR="007D2D24" w:rsidRPr="00995D97">
        <w:rPr>
          <w:rFonts w:cs="Segoe UI"/>
          <w:szCs w:val="22"/>
        </w:rPr>
        <w:t xml:space="preserve">.4 </w:t>
      </w:r>
      <w:r w:rsidR="00822556" w:rsidRPr="00995D97">
        <w:rPr>
          <w:rFonts w:cs="Segoe UI"/>
          <w:szCs w:val="22"/>
        </w:rPr>
        <w:t>Smlouv</w:t>
      </w:r>
      <w:r w:rsidR="007D2D24" w:rsidRPr="00995D97">
        <w:rPr>
          <w:rFonts w:cs="Segoe UI"/>
          <w:szCs w:val="22"/>
        </w:rPr>
        <w:t>y.</w:t>
      </w:r>
      <w:r w:rsidR="009D735A">
        <w:rPr>
          <w:rFonts w:cs="Segoe UI"/>
          <w:szCs w:val="22"/>
        </w:rPr>
        <w:t xml:space="preserve"> Za podstatné porušení Smlouvy je považováno také nerespektování bezpečnostních požadavků SFŽP ČR uvedených v příloze č. 1 Smlouvy.</w:t>
      </w:r>
    </w:p>
    <w:p w14:paraId="51A5078B" w14:textId="7FF32066" w:rsidR="00041EA8" w:rsidRDefault="007D2D24" w:rsidP="00AE2F81">
      <w:pPr>
        <w:pStyle w:val="Odstavecseseznamem"/>
        <w:numPr>
          <w:ilvl w:val="1"/>
          <w:numId w:val="37"/>
        </w:numPr>
        <w:ind w:left="567" w:hanging="567"/>
        <w:rPr>
          <w:rFonts w:cs="Segoe UI"/>
          <w:szCs w:val="22"/>
        </w:rPr>
      </w:pPr>
      <w:r>
        <w:rPr>
          <w:rFonts w:cs="Segoe UI"/>
          <w:szCs w:val="22"/>
        </w:rPr>
        <w:t>Odstoupení nabývá účinnosti dnem prokazatelného doručení druhé smluvní straně. V případě,</w:t>
      </w:r>
      <w:r w:rsidR="002B69CD">
        <w:rPr>
          <w:rFonts w:cs="Segoe UI"/>
          <w:szCs w:val="22"/>
        </w:rPr>
        <w:br/>
      </w:r>
      <w:r>
        <w:rPr>
          <w:rFonts w:cs="Segoe UI"/>
          <w:szCs w:val="22"/>
        </w:rPr>
        <w:t xml:space="preserve">že odstoupení od </w:t>
      </w:r>
      <w:r w:rsidR="00822556">
        <w:rPr>
          <w:rFonts w:cs="Segoe UI"/>
          <w:szCs w:val="22"/>
        </w:rPr>
        <w:t>Smlouv</w:t>
      </w:r>
      <w:r>
        <w:rPr>
          <w:rFonts w:cs="Segoe UI"/>
          <w:szCs w:val="22"/>
        </w:rPr>
        <w:t xml:space="preserve">y není možné doručit druhé smluvní straně ve lhůtě 10 dnů od odeslání, považuje se odstoupení od </w:t>
      </w:r>
      <w:r w:rsidR="00822556">
        <w:rPr>
          <w:rFonts w:cs="Segoe UI"/>
          <w:szCs w:val="22"/>
        </w:rPr>
        <w:t>Smlouv</w:t>
      </w:r>
      <w:r>
        <w:rPr>
          <w:rFonts w:cs="Segoe UI"/>
          <w:szCs w:val="22"/>
        </w:rPr>
        <w:t xml:space="preserve">y za doručené druhé smluvní straně uplynutím 10. dne ode dne prokazatelného odeslání takového odstoupení od </w:t>
      </w:r>
      <w:r w:rsidR="00822556">
        <w:rPr>
          <w:rFonts w:cs="Segoe UI"/>
          <w:szCs w:val="22"/>
        </w:rPr>
        <w:t>Smlouv</w:t>
      </w:r>
      <w:r>
        <w:rPr>
          <w:rFonts w:cs="Segoe UI"/>
          <w:szCs w:val="22"/>
        </w:rPr>
        <w:t>y druhé smluvní straně.</w:t>
      </w:r>
    </w:p>
    <w:p w14:paraId="114CB1B3" w14:textId="722D014D" w:rsidR="00886531" w:rsidRDefault="00041EA8" w:rsidP="00AE2F81">
      <w:pPr>
        <w:pStyle w:val="Odstavecseseznamem"/>
        <w:numPr>
          <w:ilvl w:val="1"/>
          <w:numId w:val="37"/>
        </w:numPr>
        <w:ind w:left="567" w:hanging="567"/>
      </w:pPr>
      <w:r>
        <w:t xml:space="preserve">V důsledku zániku </w:t>
      </w:r>
      <w:r w:rsidR="00822556">
        <w:t>Smlouv</w:t>
      </w:r>
      <w:r>
        <w:t xml:space="preserve">y nedochází k zániku nároků na náhradu škody vzniklých porušením této </w:t>
      </w:r>
      <w:r w:rsidR="00822556">
        <w:t>Smlouv</w:t>
      </w:r>
      <w:r>
        <w:t>y, nároků na uhrazení smluvních pokut, ani jiných ustanovení, která podle projevené vůle stran nebo vzhledem ke své povaze mají trvat i po jejím zániku.</w:t>
      </w:r>
      <w:r w:rsidR="007D2D24">
        <w:t xml:space="preserve"> </w:t>
      </w:r>
    </w:p>
    <w:p w14:paraId="6142E533" w14:textId="5A26FE19" w:rsidR="00886531" w:rsidRPr="0074512C" w:rsidRDefault="00886531" w:rsidP="00AE2F81">
      <w:pPr>
        <w:pStyle w:val="Odstavecseseznamem"/>
        <w:numPr>
          <w:ilvl w:val="1"/>
          <w:numId w:val="37"/>
        </w:numPr>
        <w:ind w:left="567" w:hanging="567"/>
      </w:pPr>
      <w:r w:rsidRPr="0074512C">
        <w:t xml:space="preserve">Smluvní strany se dohodly, že v případě zániku </w:t>
      </w:r>
      <w:r w:rsidR="00822556" w:rsidRPr="0074512C">
        <w:t>Smlouv</w:t>
      </w:r>
      <w:r w:rsidRPr="0074512C">
        <w:t xml:space="preserve">y si vzájemně vypořádají veškeré závazky a pohledávky do 30 dnů ode dne zániku </w:t>
      </w:r>
      <w:r w:rsidR="00822556" w:rsidRPr="0074512C">
        <w:t>Smlouv</w:t>
      </w:r>
      <w:r w:rsidRPr="0074512C">
        <w:t xml:space="preserve">y. </w:t>
      </w:r>
      <w:r w:rsidR="00822556" w:rsidRPr="0074512C">
        <w:t>Poskytovatel</w:t>
      </w:r>
      <w:r w:rsidRPr="0074512C">
        <w:t xml:space="preserve"> je povinen ve lhůtě dle předchozí věty předat osobní údaje </w:t>
      </w:r>
      <w:r w:rsidR="00822556" w:rsidRPr="0074512C">
        <w:t>Objednatel</w:t>
      </w:r>
      <w:r w:rsidRPr="0074512C">
        <w:t xml:space="preserve">i a provést likvidaci osobních údajů, které mu byly poskytnuty na základě této </w:t>
      </w:r>
      <w:r w:rsidR="00822556" w:rsidRPr="0074512C">
        <w:t>Smlouv</w:t>
      </w:r>
      <w:r w:rsidRPr="0074512C">
        <w:t xml:space="preserve">y. </w:t>
      </w:r>
    </w:p>
    <w:p w14:paraId="30FB3AED" w14:textId="24CFB6D6" w:rsidR="004D2D22" w:rsidRPr="0086699A" w:rsidRDefault="004D2D22" w:rsidP="00AE2F81">
      <w:pPr>
        <w:pStyle w:val="Nadpis1"/>
        <w:numPr>
          <w:ilvl w:val="0"/>
          <w:numId w:val="37"/>
        </w:numPr>
      </w:pPr>
      <w:r w:rsidRPr="0086699A">
        <w:t>Závěrečná ustanovení</w:t>
      </w:r>
    </w:p>
    <w:p w14:paraId="056E231D" w14:textId="0ADC0C0B" w:rsidR="004D2D22" w:rsidRPr="00ED2C8E" w:rsidRDefault="00ED2C8E" w:rsidP="00AE2F81">
      <w:pPr>
        <w:pStyle w:val="Odstavecseseznamem"/>
        <w:numPr>
          <w:ilvl w:val="1"/>
          <w:numId w:val="37"/>
        </w:numPr>
        <w:ind w:left="567" w:hanging="567"/>
      </w:pPr>
      <w:r w:rsidRPr="00ED2C8E">
        <w:rPr>
          <w:rFonts w:cs="Segoe UI"/>
          <w:szCs w:val="22"/>
        </w:rPr>
        <w:t xml:space="preserve">Vztahy, které nejsou v této </w:t>
      </w:r>
      <w:r w:rsidR="00822556">
        <w:rPr>
          <w:rFonts w:cs="Segoe UI"/>
          <w:szCs w:val="22"/>
        </w:rPr>
        <w:t>Smlouv</w:t>
      </w:r>
      <w:r w:rsidRPr="00ED2C8E">
        <w:rPr>
          <w:rFonts w:cs="Segoe UI"/>
          <w:szCs w:val="22"/>
        </w:rPr>
        <w:t>ě zvlášť upraveny, se řídí právním řádem České republiky, zejména občanským zákoníkem.</w:t>
      </w:r>
    </w:p>
    <w:p w14:paraId="06395F80" w14:textId="65CF4E9B" w:rsidR="00ED2C8E" w:rsidRDefault="00822556" w:rsidP="00AE2F81">
      <w:pPr>
        <w:pStyle w:val="Odstavecseseznamem"/>
        <w:numPr>
          <w:ilvl w:val="1"/>
          <w:numId w:val="37"/>
        </w:numPr>
        <w:ind w:left="567" w:hanging="567"/>
      </w:pPr>
      <w:r>
        <w:t>Poskytovatel</w:t>
      </w:r>
      <w:r w:rsidR="00ED2C8E" w:rsidRPr="00ED2C8E">
        <w:t xml:space="preserve"> je podle § 2 písm. e) zákona č. 320/2001 Sb., o finanční kontrole ve veřejné správě a</w:t>
      </w:r>
      <w:r w:rsidR="0086699A">
        <w:t> </w:t>
      </w:r>
      <w:r w:rsidR="00ED2C8E" w:rsidRPr="00ED2C8E">
        <w:t>o změně některých zákonů, v účinném znění, osobou povinnou spolupůsobit při výkonu finanční kontroly prováděné v souvislosti s úhradou zboží nebo služeb z veřejných výdajů, a zavazuje se v tomto ohledu poskytnout veškerou potřebnou součinnost.</w:t>
      </w:r>
    </w:p>
    <w:p w14:paraId="471D8E15" w14:textId="5A4D5269" w:rsidR="00491EB9" w:rsidRDefault="00822556" w:rsidP="00AE2F81">
      <w:pPr>
        <w:pStyle w:val="Odstavecseseznamem"/>
        <w:numPr>
          <w:ilvl w:val="1"/>
          <w:numId w:val="37"/>
        </w:numPr>
        <w:ind w:left="567" w:hanging="567"/>
      </w:pPr>
      <w:r>
        <w:t>Poskytovatel</w:t>
      </w:r>
      <w:r w:rsidR="00491EB9" w:rsidRPr="00491EB9">
        <w:t xml:space="preserve"> bere na vědomí, že </w:t>
      </w:r>
      <w:r>
        <w:t>Objednatel</w:t>
      </w:r>
      <w:r w:rsidR="00491EB9" w:rsidRPr="00491EB9">
        <w:t xml:space="preserve"> je povinným subjektem podle zákona č. 106/1999 Sb., o svobodném přístupu k informacím, v účinném znění, a tato </w:t>
      </w:r>
      <w:r>
        <w:t>Smlouv</w:t>
      </w:r>
      <w:r w:rsidR="00491EB9" w:rsidRPr="00491EB9">
        <w:t>a, popř. její část, může být předmětem poskytování informací.</w:t>
      </w:r>
    </w:p>
    <w:p w14:paraId="635F641A" w14:textId="67DA16EC" w:rsidR="00225E91" w:rsidRDefault="00225E91" w:rsidP="00AE2F81">
      <w:pPr>
        <w:pStyle w:val="Odstavecseseznamem"/>
        <w:numPr>
          <w:ilvl w:val="1"/>
          <w:numId w:val="37"/>
        </w:numPr>
        <w:ind w:left="567" w:hanging="567"/>
      </w:pPr>
      <w:r>
        <w:t xml:space="preserve">Objednatel jakožto povinná osoba podle </w:t>
      </w:r>
      <w:r w:rsidRPr="00225E91">
        <w:t>Vyhlášk</w:t>
      </w:r>
      <w:r>
        <w:t xml:space="preserve">y č. 82/2018 Sb., </w:t>
      </w:r>
      <w:r w:rsidRPr="00225E91">
        <w:t>o bezpečnostních opatřeních, kybernetických bezpečnostních incidentech, reaktivních opatřeních, náležitostech podání v oblasti kybernetické bezpečnosti a likvidaci dat (vyhláška o kybernetické bezpečnosti)</w:t>
      </w:r>
      <w:r>
        <w:t>, prohlašuje, že Poskytovatel je pro Objednatele významným dodavatelem.</w:t>
      </w:r>
    </w:p>
    <w:p w14:paraId="6E6F495B" w14:textId="011D654A" w:rsidR="00491EB9" w:rsidRDefault="00822556" w:rsidP="00AE2F81">
      <w:pPr>
        <w:pStyle w:val="Odstavecseseznamem"/>
        <w:numPr>
          <w:ilvl w:val="1"/>
          <w:numId w:val="37"/>
        </w:numPr>
        <w:ind w:left="567" w:hanging="567"/>
      </w:pPr>
      <w:r>
        <w:t>Poskytovatel</w:t>
      </w:r>
      <w:r w:rsidR="00886531">
        <w:t xml:space="preserve"> si v době uzavření této </w:t>
      </w:r>
      <w:r>
        <w:t>Smlouv</w:t>
      </w:r>
      <w:r w:rsidR="00491EB9" w:rsidRPr="00491EB9">
        <w:t xml:space="preserve">y není vědom žádných okolností, které by zakládaly možný střet zájmů, nebo které by mu zabraňovaly plnit povinnosti podle této </w:t>
      </w:r>
      <w:r>
        <w:t>Smlouv</w:t>
      </w:r>
      <w:r w:rsidR="00491EB9" w:rsidRPr="00491EB9">
        <w:t>y.</w:t>
      </w:r>
    </w:p>
    <w:p w14:paraId="392CBC42" w14:textId="4E07054E" w:rsidR="00491EB9" w:rsidRDefault="00822556" w:rsidP="00AE2F81">
      <w:pPr>
        <w:pStyle w:val="Odstavecseseznamem"/>
        <w:numPr>
          <w:ilvl w:val="1"/>
          <w:numId w:val="37"/>
        </w:numPr>
        <w:ind w:left="567" w:hanging="567"/>
      </w:pPr>
      <w:r>
        <w:t>Poskytovatel</w:t>
      </w:r>
      <w:r w:rsidR="00491EB9" w:rsidRPr="00491EB9">
        <w:t xml:space="preserve"> je povinen řádně uchovávat veškeré originály účetních dokladů a originály dalších dokumentů souvisejících s činností </w:t>
      </w:r>
      <w:r>
        <w:t>Poskytovatel</w:t>
      </w:r>
      <w:r w:rsidR="00491EB9">
        <w:t>e</w:t>
      </w:r>
      <w:r w:rsidR="00491EB9" w:rsidRPr="00491EB9">
        <w:t>. Účetní doklady budou uchovány způsobem uvedeným v zákoně č. 563/1991 Sb., o účetnictví, v účinném znění.</w:t>
      </w:r>
    </w:p>
    <w:p w14:paraId="406DB350" w14:textId="7EB4A6E1" w:rsidR="00491EB9" w:rsidRPr="00ED2C8E" w:rsidRDefault="00491EB9" w:rsidP="00AE2F81">
      <w:pPr>
        <w:pStyle w:val="Odstavecseseznamem"/>
        <w:numPr>
          <w:ilvl w:val="1"/>
          <w:numId w:val="37"/>
        </w:numPr>
        <w:ind w:left="567" w:hanging="567"/>
      </w:pPr>
      <w:r w:rsidRPr="00491EB9">
        <w:t xml:space="preserve">Nebude-li dohodnuto jinak, je </w:t>
      </w:r>
      <w:r w:rsidR="00822556">
        <w:t>Poskytovatel</w:t>
      </w:r>
      <w:r w:rsidRPr="00491EB9">
        <w:t xml:space="preserve"> povinen předkládat veškeré materiály a</w:t>
      </w:r>
      <w:r w:rsidR="0086699A">
        <w:t> </w:t>
      </w:r>
      <w:r w:rsidRPr="00491EB9">
        <w:t>korespondenci v českém jazyce. Smluvní strany se výslovně dohodly na tom, že za doručené se považují písemnosti doručené držitelem poštovní licence, písemnosti doručené prostřednictvím datové zprávy a dále písemnosti doručené na adresy elektronické pošty (e-mail) uvedené v</w:t>
      </w:r>
      <w:r w:rsidR="0086699A">
        <w:t> </w:t>
      </w:r>
      <w:r w:rsidRPr="00491EB9">
        <w:t xml:space="preserve">hlavičce této </w:t>
      </w:r>
      <w:r w:rsidR="00822556">
        <w:t>Smlouv</w:t>
      </w:r>
      <w:r w:rsidRPr="00491EB9">
        <w:t>y.</w:t>
      </w:r>
    </w:p>
    <w:p w14:paraId="6D45C69B" w14:textId="743A5266" w:rsidR="004D2D22" w:rsidRDefault="00491EB9" w:rsidP="00AE2F81">
      <w:pPr>
        <w:pStyle w:val="Odstavecseseznamem"/>
        <w:numPr>
          <w:ilvl w:val="1"/>
          <w:numId w:val="37"/>
        </w:numPr>
        <w:ind w:left="567" w:hanging="567"/>
        <w:rPr>
          <w:rFonts w:cs="Segoe UI"/>
          <w:szCs w:val="22"/>
        </w:rPr>
      </w:pPr>
      <w:r w:rsidRPr="00491EB9">
        <w:rPr>
          <w:rFonts w:cs="Segoe UI"/>
          <w:szCs w:val="22"/>
        </w:rPr>
        <w:t>Veškeré případné spory</w:t>
      </w:r>
      <w:r w:rsidR="00E94E91">
        <w:rPr>
          <w:rFonts w:cs="Segoe UI"/>
          <w:szCs w:val="22"/>
        </w:rPr>
        <w:t xml:space="preserve"> vzniklé na základě uzavřené </w:t>
      </w:r>
      <w:r w:rsidR="00822556">
        <w:rPr>
          <w:rFonts w:cs="Segoe UI"/>
          <w:szCs w:val="22"/>
        </w:rPr>
        <w:t>Smlouv</w:t>
      </w:r>
      <w:r w:rsidRPr="00491EB9">
        <w:rPr>
          <w:rFonts w:cs="Segoe UI"/>
          <w:szCs w:val="22"/>
        </w:rPr>
        <w:t xml:space="preserve">y budou řešeny primárně smírným jednáním </w:t>
      </w:r>
      <w:r w:rsidR="00822556">
        <w:rPr>
          <w:rFonts w:cs="Segoe UI"/>
          <w:szCs w:val="22"/>
        </w:rPr>
        <w:t>Objednatel</w:t>
      </w:r>
      <w:r>
        <w:rPr>
          <w:rFonts w:cs="Segoe UI"/>
          <w:szCs w:val="22"/>
        </w:rPr>
        <w:t>e</w:t>
      </w:r>
      <w:r w:rsidRPr="00491EB9">
        <w:rPr>
          <w:rFonts w:cs="Segoe UI"/>
          <w:szCs w:val="22"/>
        </w:rPr>
        <w:t xml:space="preserve"> a </w:t>
      </w:r>
      <w:r w:rsidR="00822556">
        <w:rPr>
          <w:rFonts w:cs="Segoe UI"/>
          <w:szCs w:val="22"/>
        </w:rPr>
        <w:t>Poskytovatel</w:t>
      </w:r>
      <w:r>
        <w:rPr>
          <w:rFonts w:cs="Segoe UI"/>
          <w:szCs w:val="22"/>
        </w:rPr>
        <w:t>e</w:t>
      </w:r>
      <w:r w:rsidRPr="00491EB9">
        <w:rPr>
          <w:rFonts w:cs="Segoe UI"/>
          <w:szCs w:val="22"/>
        </w:rPr>
        <w:t>, v případě přetrvávající neshody pak před soudy České republiky. Smluvní strany se dohodly ve smyslu ust. § 87 odst. 1 zákona č. 91/2012 Sb., o</w:t>
      </w:r>
      <w:r w:rsidR="0086699A">
        <w:rPr>
          <w:rFonts w:cs="Segoe UI"/>
          <w:szCs w:val="22"/>
        </w:rPr>
        <w:t> </w:t>
      </w:r>
      <w:r w:rsidRPr="00491EB9">
        <w:rPr>
          <w:rFonts w:cs="Segoe UI"/>
          <w:szCs w:val="22"/>
        </w:rPr>
        <w:t xml:space="preserve">mezinárodním právu soukromém, v </w:t>
      </w:r>
      <w:r w:rsidR="0086699A">
        <w:rPr>
          <w:rFonts w:cs="Segoe UI"/>
          <w:szCs w:val="22"/>
        </w:rPr>
        <w:t>účinném</w:t>
      </w:r>
      <w:r w:rsidRPr="00491EB9">
        <w:rPr>
          <w:rFonts w:cs="Segoe UI"/>
          <w:szCs w:val="22"/>
        </w:rPr>
        <w:t xml:space="preserve"> znění, že </w:t>
      </w:r>
      <w:r w:rsidR="00822556">
        <w:rPr>
          <w:rFonts w:cs="Segoe UI"/>
          <w:szCs w:val="22"/>
        </w:rPr>
        <w:t>Smlouv</w:t>
      </w:r>
      <w:r w:rsidRPr="00491EB9">
        <w:rPr>
          <w:rFonts w:cs="Segoe UI"/>
          <w:szCs w:val="22"/>
        </w:rPr>
        <w:t>a a práva a povinnosti z ní vyplývající se řídí právem České republiky, zejména příslušnými ustanoveními občanského zákoníku. Ke kolizním ustanovením českého právního řádu se přitom nepřihlíží.</w:t>
      </w:r>
    </w:p>
    <w:p w14:paraId="65CCD77F" w14:textId="14E827B1" w:rsidR="001D2DCE" w:rsidRPr="004D2D22" w:rsidRDefault="001D2DCE" w:rsidP="00AE2F81">
      <w:pPr>
        <w:pStyle w:val="Odstavecseseznamem"/>
        <w:numPr>
          <w:ilvl w:val="1"/>
          <w:numId w:val="37"/>
        </w:numPr>
        <w:ind w:left="567" w:hanging="567"/>
      </w:pPr>
      <w:r w:rsidRPr="00996A58">
        <w:rPr>
          <w:rFonts w:cs="Segoe UI"/>
          <w:szCs w:val="22"/>
        </w:rPr>
        <w:t xml:space="preserve">Tato </w:t>
      </w:r>
      <w:r w:rsidR="00822556">
        <w:rPr>
          <w:rFonts w:cs="Segoe UI"/>
          <w:szCs w:val="22"/>
        </w:rPr>
        <w:t>Smlouv</w:t>
      </w:r>
      <w:r w:rsidRPr="00996A58">
        <w:rPr>
          <w:rFonts w:cs="Segoe UI"/>
          <w:szCs w:val="22"/>
        </w:rPr>
        <w:t xml:space="preserve">a může být měněna nebo doplňována jen písemnými dodatky, číslovanými ve vzestupné řadě a podepsanými oprávněnými osobami. </w:t>
      </w:r>
      <w:r>
        <w:t xml:space="preserve"> </w:t>
      </w:r>
    </w:p>
    <w:p w14:paraId="24A138BD" w14:textId="2ECC88B5" w:rsidR="001D2DCE" w:rsidRPr="004D2D22" w:rsidRDefault="001D2DCE" w:rsidP="00AE2F81">
      <w:pPr>
        <w:pStyle w:val="Odstavecseseznamem"/>
        <w:numPr>
          <w:ilvl w:val="1"/>
          <w:numId w:val="37"/>
        </w:numPr>
        <w:ind w:left="567" w:hanging="567"/>
        <w:rPr>
          <w:rFonts w:cs="Segoe UI"/>
          <w:szCs w:val="22"/>
        </w:rPr>
      </w:pPr>
      <w:r w:rsidRPr="001D2DCE">
        <w:rPr>
          <w:rFonts w:cs="Segoe UI"/>
          <w:szCs w:val="22"/>
        </w:rPr>
        <w:t xml:space="preserve">Stane-li se některé ustanovení této </w:t>
      </w:r>
      <w:r w:rsidR="00822556">
        <w:rPr>
          <w:rFonts w:cs="Segoe UI"/>
          <w:szCs w:val="22"/>
        </w:rPr>
        <w:t>Smlouv</w:t>
      </w:r>
      <w:r w:rsidRPr="001D2DCE">
        <w:rPr>
          <w:rFonts w:cs="Segoe UI"/>
          <w:szCs w:val="22"/>
        </w:rPr>
        <w:t xml:space="preserve">y neúčinné, nedotýká se to ostatních ustanovení této </w:t>
      </w:r>
      <w:r w:rsidR="00822556">
        <w:rPr>
          <w:rFonts w:cs="Segoe UI"/>
          <w:szCs w:val="22"/>
        </w:rPr>
        <w:t>Smlouv</w:t>
      </w:r>
      <w:r w:rsidRPr="001D2DCE">
        <w:rPr>
          <w:rFonts w:cs="Segoe UI"/>
          <w:szCs w:val="22"/>
        </w:rPr>
        <w:t>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předpisů České republiky.</w:t>
      </w:r>
    </w:p>
    <w:p w14:paraId="5E04BC21" w14:textId="6A0F5C73" w:rsidR="004D2D22" w:rsidRPr="001D2DCE" w:rsidRDefault="004D2D22" w:rsidP="00AE2F81">
      <w:pPr>
        <w:pStyle w:val="Odstavecseseznamem"/>
        <w:numPr>
          <w:ilvl w:val="1"/>
          <w:numId w:val="37"/>
        </w:numPr>
        <w:ind w:left="567" w:hanging="567"/>
        <w:rPr>
          <w:rFonts w:cs="Segoe UI"/>
          <w:szCs w:val="22"/>
        </w:rPr>
      </w:pPr>
      <w:r w:rsidRPr="001D2DCE">
        <w:rPr>
          <w:rFonts w:cs="Segoe UI"/>
          <w:szCs w:val="22"/>
        </w:rPr>
        <w:t xml:space="preserve">Tato </w:t>
      </w:r>
      <w:r w:rsidR="00822556">
        <w:rPr>
          <w:rFonts w:cs="Segoe UI"/>
          <w:szCs w:val="22"/>
        </w:rPr>
        <w:t>Smlouv</w:t>
      </w:r>
      <w:r w:rsidRPr="001D2DCE">
        <w:rPr>
          <w:rFonts w:cs="Segoe UI"/>
          <w:szCs w:val="22"/>
        </w:rPr>
        <w:t>a je</w:t>
      </w:r>
      <w:r w:rsidR="001D2DCE" w:rsidRPr="001D2DCE">
        <w:rPr>
          <w:rFonts w:cs="Segoe UI"/>
          <w:szCs w:val="22"/>
        </w:rPr>
        <w:t xml:space="preserve"> </w:t>
      </w:r>
      <w:r w:rsidR="001D2DCE" w:rsidRPr="001D2DCE">
        <w:rPr>
          <w:rFonts w:cs="Segoe UI"/>
        </w:rPr>
        <w:t xml:space="preserve">vyhotovena ve třech stejnopisech, z nichž </w:t>
      </w:r>
      <w:r w:rsidR="00822556">
        <w:rPr>
          <w:rFonts w:cs="Segoe UI"/>
        </w:rPr>
        <w:t>Objednatel</w:t>
      </w:r>
      <w:r w:rsidR="001D2DCE" w:rsidRPr="001D2DCE">
        <w:rPr>
          <w:rFonts w:cs="Segoe UI"/>
        </w:rPr>
        <w:t xml:space="preserve"> obdrží dva stejnopisy a </w:t>
      </w:r>
      <w:r w:rsidR="00822556">
        <w:rPr>
          <w:rFonts w:cs="Segoe UI"/>
        </w:rPr>
        <w:t>Poskytovatel</w:t>
      </w:r>
      <w:r w:rsidR="001D2DCE" w:rsidRPr="001D2DCE">
        <w:rPr>
          <w:rFonts w:cs="Segoe UI"/>
        </w:rPr>
        <w:t xml:space="preserve"> </w:t>
      </w:r>
      <w:r w:rsidR="001D2DCE" w:rsidRPr="001D2DCE">
        <w:rPr>
          <w:rFonts w:cs="Segoe UI"/>
          <w:iCs/>
        </w:rPr>
        <w:t>jeden stejnopis</w:t>
      </w:r>
      <w:r w:rsidR="001D2DCE" w:rsidRPr="001D2DCE">
        <w:rPr>
          <w:rFonts w:cs="Segoe UI"/>
        </w:rPr>
        <w:t xml:space="preserve">. V případě elektronického podpisu </w:t>
      </w:r>
      <w:r w:rsidR="00822556">
        <w:rPr>
          <w:rFonts w:cs="Segoe UI"/>
        </w:rPr>
        <w:t>Smlouv</w:t>
      </w:r>
      <w:r w:rsidR="001D2DCE">
        <w:rPr>
          <w:rFonts w:cs="Segoe UI"/>
        </w:rPr>
        <w:t>y</w:t>
      </w:r>
      <w:r w:rsidR="001D2DCE" w:rsidRPr="001D2DCE">
        <w:rPr>
          <w:rFonts w:cs="Segoe UI"/>
        </w:rPr>
        <w:t xml:space="preserve"> se stejnopisy nevyhotovují.</w:t>
      </w:r>
    </w:p>
    <w:p w14:paraId="2C53EEA4" w14:textId="20D3A4A0" w:rsidR="004D2D22" w:rsidRPr="00AB0779" w:rsidRDefault="00822556" w:rsidP="00AE2F81">
      <w:pPr>
        <w:pStyle w:val="Odstavecseseznamem"/>
        <w:numPr>
          <w:ilvl w:val="1"/>
          <w:numId w:val="37"/>
        </w:numPr>
        <w:ind w:left="567" w:hanging="567"/>
      </w:pPr>
      <w:r>
        <w:rPr>
          <w:rFonts w:cs="Segoe UI"/>
          <w:szCs w:val="22"/>
        </w:rPr>
        <w:t>Smlouv</w:t>
      </w:r>
      <w:r w:rsidR="001D2DCE" w:rsidRPr="001D2DCE">
        <w:rPr>
          <w:rFonts w:cs="Segoe UI"/>
          <w:szCs w:val="22"/>
        </w:rPr>
        <w:t xml:space="preserve">a nabývá platnosti dnem podpisu oběma Smluvními stranami a účinnosti uveřejněním </w:t>
      </w:r>
      <w:r>
        <w:rPr>
          <w:rFonts w:cs="Segoe UI"/>
          <w:szCs w:val="22"/>
        </w:rPr>
        <w:t>Smlouv</w:t>
      </w:r>
      <w:r w:rsidR="001D2DCE" w:rsidRPr="001D2DCE">
        <w:rPr>
          <w:rFonts w:cs="Segoe UI"/>
          <w:szCs w:val="22"/>
        </w:rPr>
        <w:t xml:space="preserve">y v registru smluv v souladu se zákonem č. 340/2015 Sb., o zvláštních podmínkách účinnosti některých smluv, uveřejňování těchto smluv a o registru smluv (zákon o registru smluv). Uveřejnění </w:t>
      </w:r>
      <w:r>
        <w:rPr>
          <w:rFonts w:cs="Segoe UI"/>
          <w:szCs w:val="22"/>
        </w:rPr>
        <w:t>Smlouv</w:t>
      </w:r>
      <w:r w:rsidR="001D2DCE" w:rsidRPr="001D2DCE">
        <w:rPr>
          <w:rFonts w:cs="Segoe UI"/>
          <w:szCs w:val="22"/>
        </w:rPr>
        <w:t xml:space="preserve">y v registru smluv zajistí </w:t>
      </w:r>
      <w:r>
        <w:rPr>
          <w:rFonts w:cs="Segoe UI"/>
          <w:szCs w:val="22"/>
        </w:rPr>
        <w:t>Objednatel</w:t>
      </w:r>
      <w:r w:rsidR="001D2DCE">
        <w:rPr>
          <w:rFonts w:cs="Segoe UI"/>
          <w:szCs w:val="22"/>
        </w:rPr>
        <w:t xml:space="preserve"> </w:t>
      </w:r>
      <w:r w:rsidR="001D2DCE" w:rsidRPr="00C237C8">
        <w:rPr>
          <w:rFonts w:cs="Segoe UI"/>
        </w:rPr>
        <w:t xml:space="preserve">a bude o tom bezodkladně informovat </w:t>
      </w:r>
      <w:r>
        <w:rPr>
          <w:rFonts w:cs="Segoe UI"/>
        </w:rPr>
        <w:t>Poskytovatel</w:t>
      </w:r>
      <w:r w:rsidR="001D2DCE" w:rsidRPr="00C237C8">
        <w:rPr>
          <w:rFonts w:cs="Segoe UI"/>
        </w:rPr>
        <w:t>e</w:t>
      </w:r>
      <w:r w:rsidR="001D2DCE">
        <w:rPr>
          <w:rFonts w:cs="Segoe UI"/>
        </w:rPr>
        <w:t>.</w:t>
      </w:r>
    </w:p>
    <w:p w14:paraId="7E6689BC" w14:textId="77777777" w:rsidR="00AB0779" w:rsidRDefault="00AB0779" w:rsidP="00AE2F81">
      <w:pPr>
        <w:pStyle w:val="Odstavecseseznamem"/>
        <w:numPr>
          <w:ilvl w:val="1"/>
          <w:numId w:val="37"/>
        </w:numPr>
        <w:ind w:left="567" w:hanging="567"/>
      </w:pPr>
      <w: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BCD198F" w14:textId="71048FF7" w:rsidR="004D2D22" w:rsidRPr="00022A3B" w:rsidRDefault="001D2DCE" w:rsidP="00AE2F81">
      <w:pPr>
        <w:pStyle w:val="Odstavecseseznamem"/>
        <w:numPr>
          <w:ilvl w:val="1"/>
          <w:numId w:val="37"/>
        </w:numPr>
        <w:ind w:left="567" w:hanging="567"/>
      </w:pPr>
      <w:r w:rsidRPr="001D2DCE">
        <w:rPr>
          <w:rFonts w:cs="Segoe UI"/>
          <w:szCs w:val="22"/>
        </w:rPr>
        <w:t xml:space="preserve">Žádná ze Smluvních stran nepostoupí práva a povinnosti vyplývající z této </w:t>
      </w:r>
      <w:r w:rsidR="00822556">
        <w:rPr>
          <w:rFonts w:cs="Segoe UI"/>
          <w:szCs w:val="22"/>
        </w:rPr>
        <w:t>Smlouv</w:t>
      </w:r>
      <w:r w:rsidRPr="001D2DCE">
        <w:rPr>
          <w:rFonts w:cs="Segoe UI"/>
          <w:szCs w:val="22"/>
        </w:rPr>
        <w:t>y, bez předchozího písemného souhlasu druhé Smluvní strany. Jakékoliv postoupení v rozporu s</w:t>
      </w:r>
      <w:r w:rsidR="0086699A">
        <w:rPr>
          <w:rFonts w:cs="Segoe UI"/>
          <w:szCs w:val="22"/>
        </w:rPr>
        <w:t> </w:t>
      </w:r>
      <w:r w:rsidRPr="001D2DCE">
        <w:rPr>
          <w:rFonts w:cs="Segoe UI"/>
          <w:szCs w:val="22"/>
        </w:rPr>
        <w:t xml:space="preserve">podmínkami této </w:t>
      </w:r>
      <w:r w:rsidR="00822556">
        <w:rPr>
          <w:rFonts w:cs="Segoe UI"/>
          <w:szCs w:val="22"/>
        </w:rPr>
        <w:t>Smlouv</w:t>
      </w:r>
      <w:r w:rsidRPr="001D2DCE">
        <w:rPr>
          <w:rFonts w:cs="Segoe UI"/>
          <w:szCs w:val="22"/>
        </w:rPr>
        <w:t xml:space="preserve">y bude neplatné a neúčinné. Totéž platí pro postoupení </w:t>
      </w:r>
      <w:r w:rsidR="00822556">
        <w:rPr>
          <w:rFonts w:cs="Segoe UI"/>
          <w:szCs w:val="22"/>
        </w:rPr>
        <w:t>Smlouv</w:t>
      </w:r>
      <w:r w:rsidRPr="001D2DCE">
        <w:rPr>
          <w:rFonts w:cs="Segoe UI"/>
          <w:szCs w:val="22"/>
        </w:rPr>
        <w:t>y.</w:t>
      </w:r>
    </w:p>
    <w:p w14:paraId="5713F7FB" w14:textId="2AD6E264" w:rsidR="00022A3B" w:rsidRPr="004D2D22" w:rsidRDefault="00022A3B" w:rsidP="00AE2F81">
      <w:pPr>
        <w:pStyle w:val="Odstavecseseznamem"/>
        <w:numPr>
          <w:ilvl w:val="1"/>
          <w:numId w:val="37"/>
        </w:numPr>
        <w:ind w:left="567" w:hanging="567"/>
      </w:pPr>
      <w:r w:rsidRPr="008103AC">
        <w:rPr>
          <w:rFonts w:cs="Segoe UI"/>
        </w:rPr>
        <w:t xml:space="preserve">Tato </w:t>
      </w:r>
      <w:r>
        <w:rPr>
          <w:rFonts w:cs="Segoe UI"/>
        </w:rPr>
        <w:t>Smlouva</w:t>
      </w:r>
      <w:r w:rsidRPr="008103AC">
        <w:rPr>
          <w:rFonts w:cs="Segoe UI"/>
        </w:rPr>
        <w:t xml:space="preserve"> představuje úplnou </w:t>
      </w:r>
      <w:r>
        <w:rPr>
          <w:rFonts w:cs="Segoe UI"/>
        </w:rPr>
        <w:t>dohodu</w:t>
      </w:r>
      <w:r w:rsidRPr="008103AC">
        <w:rPr>
          <w:rFonts w:cs="Segoe UI"/>
        </w:rPr>
        <w:t xml:space="preserve"> smluvních stran ohledně předmětu plnění a nahrazuje veškeré předchozí </w:t>
      </w:r>
      <w:r>
        <w:rPr>
          <w:rFonts w:cs="Segoe UI"/>
        </w:rPr>
        <w:t>smlouvy</w:t>
      </w:r>
      <w:r w:rsidRPr="008103AC">
        <w:rPr>
          <w:rFonts w:cs="Segoe UI"/>
        </w:rPr>
        <w:t xml:space="preserve">, </w:t>
      </w:r>
      <w:r>
        <w:rPr>
          <w:rFonts w:cs="Segoe UI"/>
        </w:rPr>
        <w:t>dohody</w:t>
      </w:r>
      <w:r w:rsidRPr="008103AC">
        <w:rPr>
          <w:rFonts w:cs="Segoe UI"/>
        </w:rPr>
        <w:t xml:space="preserve"> a jiná ujednání učiněná ve vztahu k tomuto předmětu plnění smluvními stranami v minulosti, ať již v písemné, ústní či jiné formě.</w:t>
      </w:r>
    </w:p>
    <w:p w14:paraId="665A75AA" w14:textId="7B716666" w:rsidR="004D2D22" w:rsidRPr="004D2D22" w:rsidRDefault="001D2DCE" w:rsidP="00AE2F81">
      <w:pPr>
        <w:pStyle w:val="Odstavecseseznamem"/>
        <w:numPr>
          <w:ilvl w:val="1"/>
          <w:numId w:val="37"/>
        </w:numPr>
        <w:ind w:left="567" w:hanging="567"/>
      </w:pPr>
      <w:r w:rsidRPr="001D2DCE">
        <w:rPr>
          <w:rFonts w:cs="Segoe UI"/>
          <w:szCs w:val="22"/>
        </w:rPr>
        <w:t xml:space="preserve">Smluvní strany prohlašují, že s obsahem </w:t>
      </w:r>
      <w:r w:rsidR="00822556">
        <w:rPr>
          <w:rFonts w:cs="Segoe UI"/>
          <w:szCs w:val="22"/>
        </w:rPr>
        <w:t>Smlouv</w:t>
      </w:r>
      <w:r w:rsidRPr="001D2DCE">
        <w:rPr>
          <w:rFonts w:cs="Segoe UI"/>
          <w:szCs w:val="22"/>
        </w:rPr>
        <w:t xml:space="preserve">y souhlasí, že </w:t>
      </w:r>
      <w:r w:rsidR="00822556">
        <w:rPr>
          <w:rFonts w:cs="Segoe UI"/>
          <w:szCs w:val="22"/>
        </w:rPr>
        <w:t>Smlouv</w:t>
      </w:r>
      <w:r w:rsidRPr="001D2DCE">
        <w:rPr>
          <w:rFonts w:cs="Segoe UI"/>
          <w:szCs w:val="22"/>
        </w:rPr>
        <w:t xml:space="preserve">u uzavřely na základě své svobodné a vážné vůle, a že nebyla uzavřena v tísni ani za nápadně nevýhodných podmínek. Obsah </w:t>
      </w:r>
      <w:r w:rsidR="00822556">
        <w:rPr>
          <w:rFonts w:cs="Segoe UI"/>
          <w:szCs w:val="22"/>
        </w:rPr>
        <w:t>Smlouv</w:t>
      </w:r>
      <w:r w:rsidRPr="001D2DCE">
        <w:rPr>
          <w:rFonts w:cs="Segoe UI"/>
          <w:szCs w:val="22"/>
        </w:rPr>
        <w:t>y považují Smluvní strany za určitý a srozumitelný. Na základě těchto skutečnosti připojují své podpisy.</w:t>
      </w:r>
    </w:p>
    <w:p w14:paraId="714832EE" w14:textId="63B2E5EE" w:rsidR="004D2D22" w:rsidRPr="004D2D22" w:rsidRDefault="004D2D22" w:rsidP="00AE2F81">
      <w:pPr>
        <w:pStyle w:val="Odstavecseseznamem"/>
        <w:numPr>
          <w:ilvl w:val="1"/>
          <w:numId w:val="37"/>
        </w:numPr>
        <w:ind w:left="567" w:hanging="567"/>
        <w:rPr>
          <w:rFonts w:cs="Segoe UI"/>
        </w:rPr>
      </w:pPr>
      <w:r w:rsidRPr="004D2D22">
        <w:rPr>
          <w:rFonts w:cs="Segoe UI"/>
        </w:rPr>
        <w:t xml:space="preserve">Nedílnou součástí této </w:t>
      </w:r>
      <w:r w:rsidR="00822556">
        <w:rPr>
          <w:rFonts w:cs="Segoe UI"/>
        </w:rPr>
        <w:t>Smlouv</w:t>
      </w:r>
      <w:r w:rsidRPr="004D2D22">
        <w:rPr>
          <w:rFonts w:cs="Segoe UI"/>
        </w:rPr>
        <w:t>y jsou následující přílohy:</w:t>
      </w:r>
    </w:p>
    <w:p w14:paraId="79D6BF9B" w14:textId="48C0E584" w:rsidR="004D2D22" w:rsidRDefault="004D2D22" w:rsidP="00B55648">
      <w:pPr>
        <w:pStyle w:val="Odstavecseseznamem"/>
        <w:numPr>
          <w:ilvl w:val="0"/>
          <w:numId w:val="14"/>
        </w:numPr>
        <w:ind w:left="993" w:hanging="426"/>
        <w:rPr>
          <w:rFonts w:cs="Segoe UI"/>
        </w:rPr>
      </w:pPr>
      <w:r w:rsidRPr="004D2D22">
        <w:rPr>
          <w:rFonts w:cs="Segoe UI"/>
        </w:rPr>
        <w:t>Bezpečnostní požadavky SFŽP ČR;</w:t>
      </w:r>
    </w:p>
    <w:p w14:paraId="2B31DC89" w14:textId="0A892D28" w:rsidR="0086699A" w:rsidRDefault="00D03A44" w:rsidP="00B55648">
      <w:pPr>
        <w:pStyle w:val="Odstavecseseznamem"/>
        <w:numPr>
          <w:ilvl w:val="0"/>
          <w:numId w:val="14"/>
        </w:numPr>
        <w:ind w:left="993" w:hanging="426"/>
        <w:rPr>
          <w:rFonts w:cs="Segoe UI"/>
        </w:rPr>
      </w:pPr>
      <w:r>
        <w:rPr>
          <w:rFonts w:cs="Segoe UI"/>
        </w:rPr>
        <w:t>Čestné prohlášení k vyloučení střetu zájmů</w:t>
      </w:r>
    </w:p>
    <w:p w14:paraId="4B960F5A" w14:textId="15587F34" w:rsidR="00E72323" w:rsidRDefault="00E72323" w:rsidP="00B55648">
      <w:pPr>
        <w:pStyle w:val="Odstavecseseznamem"/>
        <w:numPr>
          <w:ilvl w:val="0"/>
          <w:numId w:val="14"/>
        </w:numPr>
        <w:ind w:left="993" w:hanging="426"/>
        <w:rPr>
          <w:rFonts w:cs="Segoe UI"/>
        </w:rPr>
      </w:pPr>
      <w:r>
        <w:rPr>
          <w:rFonts w:cs="Segoe UI"/>
        </w:rPr>
        <w:t>Čestné prohlášení o nevyužití poddodavatelů</w:t>
      </w:r>
    </w:p>
    <w:p w14:paraId="7F14B718" w14:textId="60AAFF8C" w:rsidR="00AC05E5" w:rsidRDefault="00AC05E5" w:rsidP="00B55648">
      <w:pPr>
        <w:pStyle w:val="Odstavecseseznamem"/>
        <w:numPr>
          <w:ilvl w:val="0"/>
          <w:numId w:val="14"/>
        </w:numPr>
        <w:ind w:left="993" w:hanging="426"/>
        <w:rPr>
          <w:rFonts w:cs="Segoe UI"/>
        </w:rPr>
      </w:pPr>
      <w:r>
        <w:rPr>
          <w:rFonts w:cs="Segoe UI"/>
        </w:rPr>
        <w:t xml:space="preserve">Harmonogram </w:t>
      </w:r>
      <w:r w:rsidR="008D1B06">
        <w:rPr>
          <w:rFonts w:cs="Segoe UI"/>
        </w:rPr>
        <w:t>poskytování služeb dle čl. 1.2.2 Smlouvy</w:t>
      </w:r>
    </w:p>
    <w:p w14:paraId="27AF4274" w14:textId="20699534" w:rsidR="001C58E8" w:rsidRDefault="001C58E8" w:rsidP="001C58E8">
      <w:pPr>
        <w:pStyle w:val="Odstavecseseznamem"/>
        <w:numPr>
          <w:ilvl w:val="0"/>
          <w:numId w:val="0"/>
        </w:numPr>
        <w:ind w:left="1287"/>
        <w:rPr>
          <w:rFonts w:cs="Segoe UI"/>
        </w:rPr>
      </w:pPr>
    </w:p>
    <w:p w14:paraId="4A0CB561" w14:textId="64973888" w:rsidR="00E13592" w:rsidRPr="0040178F" w:rsidRDefault="00E13592" w:rsidP="0040178F">
      <w:pPr>
        <w:rPr>
          <w:rFonts w:cs="Segoe UI"/>
        </w:rPr>
      </w:pPr>
    </w:p>
    <w:p w14:paraId="1860A1A2" w14:textId="77777777" w:rsidR="00E13592" w:rsidRPr="004D2D22" w:rsidRDefault="00E13592" w:rsidP="001C58E8">
      <w:pPr>
        <w:pStyle w:val="Odstavecseseznamem"/>
        <w:numPr>
          <w:ilvl w:val="0"/>
          <w:numId w:val="0"/>
        </w:numPr>
        <w:ind w:left="1287"/>
        <w:rPr>
          <w:rFonts w:cs="Segoe UI"/>
        </w:rPr>
      </w:pPr>
    </w:p>
    <w:p w14:paraId="4B5B758D" w14:textId="6C341CB6" w:rsidR="0027283C" w:rsidRPr="00F27A81" w:rsidRDefault="0027283C" w:rsidP="00454E25">
      <w:pPr>
        <w:pStyle w:val="Odstavecseseznamem"/>
        <w:numPr>
          <w:ilvl w:val="0"/>
          <w:numId w:val="0"/>
        </w:numPr>
        <w:tabs>
          <w:tab w:val="left" w:pos="4962"/>
          <w:tab w:val="right" w:leader="dot" w:pos="9072"/>
        </w:tabs>
        <w:spacing w:before="360" w:after="960"/>
        <w:rPr>
          <w:rFonts w:cs="Segoe UI"/>
        </w:rPr>
      </w:pPr>
      <w:r w:rsidRPr="00F27A81">
        <w:rPr>
          <w:rFonts w:cs="Segoe UI"/>
        </w:rPr>
        <w:t>V </w:t>
      </w:r>
      <w:r w:rsidR="006A3208" w:rsidRPr="00F27A81">
        <w:rPr>
          <w:rFonts w:cs="Segoe UI"/>
        </w:rPr>
        <w:t>Praze</w:t>
      </w:r>
      <w:r w:rsidRPr="00F27A81">
        <w:rPr>
          <w:rFonts w:cs="Segoe UI"/>
          <w:caps/>
        </w:rPr>
        <w:t xml:space="preserve"> </w:t>
      </w:r>
      <w:r w:rsidR="00454E25">
        <w:rPr>
          <w:rFonts w:cs="Segoe UI"/>
        </w:rPr>
        <w:t>dne 23. 12. 2021</w:t>
      </w:r>
      <w:bookmarkStart w:id="0" w:name="_GoBack"/>
      <w:bookmarkEnd w:id="0"/>
      <w:r w:rsidR="00454E25">
        <w:rPr>
          <w:rFonts w:cs="Segoe UI"/>
        </w:rPr>
        <w:tab/>
      </w:r>
      <w:r w:rsidRPr="00F27A81">
        <w:rPr>
          <w:rFonts w:cs="Segoe UI"/>
        </w:rPr>
        <w:t>V </w:t>
      </w:r>
      <w:r w:rsidR="0021120F">
        <w:rPr>
          <w:rFonts w:cs="Segoe UI"/>
        </w:rPr>
        <w:t>Praze</w:t>
      </w:r>
      <w:r w:rsidRPr="00F27A81">
        <w:rPr>
          <w:rFonts w:cs="Segoe UI"/>
        </w:rPr>
        <w:t xml:space="preserve"> dne</w:t>
      </w:r>
      <w:r w:rsidR="00077A4E">
        <w:rPr>
          <w:rFonts w:cs="Segoe UI"/>
        </w:rPr>
        <w:t xml:space="preserve"> 20. 12. 2021 </w:t>
      </w:r>
    </w:p>
    <w:p w14:paraId="0EB99158" w14:textId="77777777" w:rsidR="0027283C" w:rsidRPr="00F27A81" w:rsidRDefault="0027283C" w:rsidP="003B45FA">
      <w:pPr>
        <w:pStyle w:val="Odstavecseseznamem"/>
        <w:numPr>
          <w:ilvl w:val="0"/>
          <w:numId w:val="0"/>
        </w:numPr>
        <w:tabs>
          <w:tab w:val="left" w:leader="dot" w:pos="3969"/>
          <w:tab w:val="left" w:pos="4962"/>
          <w:tab w:val="right" w:leader="dot" w:pos="9072"/>
        </w:tabs>
        <w:spacing w:before="0"/>
        <w:rPr>
          <w:rFonts w:cs="Segoe UI"/>
        </w:rPr>
      </w:pPr>
      <w:r w:rsidRPr="00F27A81">
        <w:rPr>
          <w:rFonts w:cs="Segoe UI"/>
        </w:rPr>
        <w:tab/>
      </w:r>
      <w:r w:rsidRPr="00F27A81">
        <w:rPr>
          <w:rFonts w:cs="Segoe UI"/>
        </w:rPr>
        <w:tab/>
      </w:r>
      <w:r w:rsidRPr="00F27A81">
        <w:rPr>
          <w:rFonts w:cs="Segoe UI"/>
        </w:rPr>
        <w:tab/>
      </w:r>
    </w:p>
    <w:p w14:paraId="00099EC3" w14:textId="58D09B64" w:rsidR="0027283C" w:rsidRPr="00F27A81" w:rsidRDefault="0027283C" w:rsidP="003B45FA">
      <w:pPr>
        <w:pStyle w:val="Odstavecseseznamem"/>
        <w:numPr>
          <w:ilvl w:val="0"/>
          <w:numId w:val="0"/>
        </w:numPr>
        <w:tabs>
          <w:tab w:val="left" w:pos="4962"/>
        </w:tabs>
        <w:spacing w:before="0"/>
        <w:rPr>
          <w:rFonts w:cs="Segoe UI"/>
        </w:rPr>
      </w:pPr>
      <w:r w:rsidRPr="00F27A81">
        <w:rPr>
          <w:rFonts w:cs="Segoe UI"/>
          <w:i/>
          <w:szCs w:val="20"/>
        </w:rPr>
        <w:t xml:space="preserve">za </w:t>
      </w:r>
      <w:r w:rsidR="00822556">
        <w:rPr>
          <w:rFonts w:cs="Segoe UI"/>
          <w:i/>
          <w:szCs w:val="20"/>
        </w:rPr>
        <w:t>Objednatel</w:t>
      </w:r>
      <w:r w:rsidR="004D2D22">
        <w:rPr>
          <w:rFonts w:cs="Segoe UI"/>
          <w:i/>
          <w:szCs w:val="20"/>
        </w:rPr>
        <w:t>e</w:t>
      </w:r>
      <w:r w:rsidRPr="00F27A81">
        <w:rPr>
          <w:rFonts w:cs="Segoe UI"/>
        </w:rPr>
        <w:tab/>
      </w:r>
      <w:r w:rsidRPr="00F27A81">
        <w:rPr>
          <w:rFonts w:cs="Segoe UI"/>
          <w:i/>
          <w:szCs w:val="20"/>
        </w:rPr>
        <w:t xml:space="preserve">za </w:t>
      </w:r>
      <w:r w:rsidR="00822556">
        <w:rPr>
          <w:rFonts w:cs="Segoe UI"/>
          <w:i/>
          <w:szCs w:val="20"/>
        </w:rPr>
        <w:t>Poskytovatel</w:t>
      </w:r>
      <w:r w:rsidR="004D2D22">
        <w:rPr>
          <w:rFonts w:cs="Segoe UI"/>
          <w:i/>
          <w:szCs w:val="20"/>
        </w:rPr>
        <w:t>e</w:t>
      </w:r>
    </w:p>
    <w:p w14:paraId="0C1C3E63" w14:textId="008C6E27" w:rsidR="0027283C" w:rsidRPr="0021120F" w:rsidRDefault="006A3208" w:rsidP="003B45FA">
      <w:pPr>
        <w:pStyle w:val="Normalnicslovnabc"/>
        <w:numPr>
          <w:ilvl w:val="0"/>
          <w:numId w:val="0"/>
        </w:numPr>
        <w:tabs>
          <w:tab w:val="left" w:pos="4962"/>
        </w:tabs>
        <w:ind w:left="357" w:hanging="357"/>
        <w:rPr>
          <w:rFonts w:cs="Segoe UI"/>
        </w:rPr>
      </w:pPr>
      <w:r w:rsidRPr="00F27A81">
        <w:rPr>
          <w:rFonts w:cs="Segoe UI"/>
          <w:b/>
          <w:iCs/>
        </w:rPr>
        <w:t>Ing. Petr Valdman</w:t>
      </w:r>
      <w:r w:rsidR="0027283C" w:rsidRPr="00F27A81">
        <w:rPr>
          <w:rFonts w:cs="Segoe UI"/>
        </w:rPr>
        <w:tab/>
      </w:r>
      <w:r w:rsidR="0086699A">
        <w:rPr>
          <w:rFonts w:cs="Segoe UI"/>
          <w:b/>
        </w:rPr>
        <w:t>Ing. Josef Vančura, CSc.</w:t>
      </w:r>
    </w:p>
    <w:p w14:paraId="3F9661B8" w14:textId="0D1E0108" w:rsidR="00863BC0" w:rsidRDefault="006A3208" w:rsidP="005B16DD">
      <w:pPr>
        <w:pStyle w:val="Normalnicslovnabc"/>
        <w:numPr>
          <w:ilvl w:val="0"/>
          <w:numId w:val="0"/>
        </w:numPr>
        <w:tabs>
          <w:tab w:val="left" w:pos="4962"/>
        </w:tabs>
        <w:ind w:left="357" w:hanging="357"/>
        <w:rPr>
          <w:rFonts w:cs="Segoe UI"/>
        </w:rPr>
      </w:pPr>
      <w:r w:rsidRPr="0021120F">
        <w:rPr>
          <w:rFonts w:cs="Segoe UI"/>
        </w:rPr>
        <w:t>ředitel Státního fondu životního prostředí ČR</w:t>
      </w:r>
      <w:r w:rsidR="0027283C" w:rsidRPr="0021120F">
        <w:rPr>
          <w:rFonts w:cs="Segoe UI"/>
        </w:rPr>
        <w:tab/>
      </w:r>
      <w:r w:rsidR="004D2D22" w:rsidRPr="00550335">
        <w:rPr>
          <w:rFonts w:cs="Segoe UI"/>
        </w:rPr>
        <w:t xml:space="preserve">jednatel </w:t>
      </w:r>
      <w:r w:rsidR="0086699A" w:rsidRPr="0086699A">
        <w:rPr>
          <w:rFonts w:cs="Segoe UI"/>
        </w:rPr>
        <w:t>VUSTE-APIS, s.r.o.</w:t>
      </w:r>
      <w:r w:rsidR="00863BC0">
        <w:rPr>
          <w:rFonts w:cs="Segoe UI"/>
        </w:rPr>
        <w:br w:type="page"/>
      </w:r>
    </w:p>
    <w:p w14:paraId="73B1F337" w14:textId="77777777" w:rsidR="004F6B56" w:rsidRPr="007C46B8" w:rsidRDefault="004F6B56" w:rsidP="004F6B56">
      <w:pPr>
        <w:pStyle w:val="Nzev"/>
        <w:rPr>
          <w:rFonts w:cs="Segoe UI"/>
        </w:rPr>
      </w:pPr>
      <w:r w:rsidRPr="007C46B8">
        <w:rPr>
          <w:rFonts w:cs="Segoe UI"/>
          <w:spacing w:val="-16"/>
        </w:rPr>
        <w:t>Příloha č. 1 – Bezpečnostní požadavky SFŽP ČR</w:t>
      </w:r>
    </w:p>
    <w:p w14:paraId="02DBB514" w14:textId="77777777" w:rsidR="008354EC" w:rsidRPr="00B96672" w:rsidRDefault="008354EC" w:rsidP="00F842F0">
      <w:pPr>
        <w:pStyle w:val="Nadpis1"/>
        <w:keepLines/>
        <w:numPr>
          <w:ilvl w:val="0"/>
          <w:numId w:val="21"/>
        </w:numPr>
        <w:jc w:val="both"/>
        <w:textboxTightWrap w:val="none"/>
      </w:pPr>
      <w:r w:rsidRPr="00B96672">
        <w:t>Ochrana informací</w:t>
      </w:r>
    </w:p>
    <w:p w14:paraId="41BE80A1" w14:textId="027ED83B" w:rsidR="008354EC" w:rsidRDefault="008354EC" w:rsidP="00F842F0">
      <w:pPr>
        <w:pStyle w:val="Odstavecseseznamem"/>
        <w:numPr>
          <w:ilvl w:val="1"/>
          <w:numId w:val="21"/>
        </w:numPr>
        <w:spacing w:after="120"/>
      </w:pPr>
      <w:r>
        <w:t xml:space="preserve">Strany </w:t>
      </w:r>
      <w:r w:rsidR="00226D0B">
        <w:t>Smlouv</w:t>
      </w:r>
      <w:r>
        <w:t>y</w:t>
      </w:r>
      <w:r w:rsidRPr="00F57183">
        <w:t xml:space="preserve"> se zavazují, že uchovají v tajnosti veškeré informace o všech skutečnostech </w:t>
      </w:r>
      <w:r>
        <w:br/>
        <w:t>uživatele</w:t>
      </w:r>
      <w:r w:rsidRPr="0064673B">
        <w:t xml:space="preserve"> </w:t>
      </w:r>
      <w:r w:rsidRPr="00F57183">
        <w:t xml:space="preserve">týkajících se informačních aktiv, které získají v průběhu činnosti podle této </w:t>
      </w:r>
      <w:r w:rsidR="00226D0B">
        <w:t>Smlouv</w:t>
      </w:r>
      <w:r>
        <w:t>y</w:t>
      </w:r>
      <w:r w:rsidRPr="00F57183">
        <w:t>, jakož i</w:t>
      </w:r>
      <w:r>
        <w:t> </w:t>
      </w:r>
      <w:r w:rsidRPr="00F57183">
        <w:t xml:space="preserve">po jejím ukončení. Dále uchovají v tajnosti veškeré informace týkající se </w:t>
      </w:r>
      <w:r w:rsidR="00226D0B">
        <w:t>Poskytovatel</w:t>
      </w:r>
      <w:r>
        <w:t>e</w:t>
      </w:r>
      <w:r w:rsidRPr="00F57183">
        <w:t xml:space="preserve"> či </w:t>
      </w:r>
      <w:r>
        <w:t>Objednatele</w:t>
      </w:r>
      <w:r w:rsidRPr="00F57183">
        <w:t>, které nejsou veřejně přístupné</w:t>
      </w:r>
      <w:r>
        <w:t>, případně jsou označeny jako neveřejné</w:t>
      </w:r>
      <w:r w:rsidRPr="00F57183">
        <w:t xml:space="preserve">. V této souvislosti se </w:t>
      </w:r>
      <w:r>
        <w:t xml:space="preserve">strany </w:t>
      </w:r>
      <w:r w:rsidR="00226D0B">
        <w:t>Smlouv</w:t>
      </w:r>
      <w:r>
        <w:t>y zavazují zavázat k </w:t>
      </w:r>
      <w:r w:rsidRPr="00F57183">
        <w:t>utajování informací veškeré své zaměstnance nebo osoby, kter</w:t>
      </w:r>
      <w:r>
        <w:t>é jsou pověřeny dílčími úkoly v </w:t>
      </w:r>
      <w:r w:rsidRPr="00F57183">
        <w:t xml:space="preserve">souvislosti s realizací účelu </w:t>
      </w:r>
      <w:r>
        <w:t xml:space="preserve">této </w:t>
      </w:r>
      <w:r w:rsidR="00226D0B">
        <w:t>Smlouv</w:t>
      </w:r>
      <w:r>
        <w:t>y</w:t>
      </w:r>
      <w:r w:rsidRPr="00F57183">
        <w:t xml:space="preserve">. Tyto </w:t>
      </w:r>
      <w:r w:rsidRPr="00C951E6">
        <w:t xml:space="preserve">informace použijí výhradně pro touto </w:t>
      </w:r>
      <w:r w:rsidR="00226D0B">
        <w:t>Smlouv</w:t>
      </w:r>
      <w:r>
        <w:t>ou</w:t>
      </w:r>
      <w:r w:rsidRPr="00C951E6">
        <w:t xml:space="preserve"> </w:t>
      </w:r>
      <w:r w:rsidR="00226D0B">
        <w:t>dohodnutý</w:t>
      </w:r>
      <w:r w:rsidRPr="00C951E6">
        <w:t xml:space="preserve"> účel.</w:t>
      </w:r>
    </w:p>
    <w:p w14:paraId="44597B74" w14:textId="65720EA1" w:rsidR="008354EC" w:rsidRPr="005C5A50" w:rsidRDefault="00226D0B" w:rsidP="00F842F0">
      <w:pPr>
        <w:pStyle w:val="Odstavecseseznamem"/>
        <w:numPr>
          <w:ilvl w:val="1"/>
          <w:numId w:val="21"/>
        </w:numPr>
        <w:spacing w:after="120"/>
      </w:pPr>
      <w:r>
        <w:t>Poskytovatel</w:t>
      </w:r>
      <w:r w:rsidR="008354EC" w:rsidRPr="005C5A50">
        <w:t xml:space="preserve"> se dále zavazuje k mlčenlivosti o </w:t>
      </w:r>
      <w:r w:rsidR="008354EC">
        <w:t>postupech či metodikách, které Objednatel</w:t>
      </w:r>
      <w:r w:rsidR="008354EC" w:rsidRPr="005C5A50">
        <w:t>i navrhl a dodal, stejně tak o předmětu plnění jako takovém.</w:t>
      </w:r>
    </w:p>
    <w:p w14:paraId="37E1EF40" w14:textId="2C3D2C1B" w:rsidR="008354EC" w:rsidRDefault="00226D0B" w:rsidP="00F842F0">
      <w:pPr>
        <w:pStyle w:val="Odstavecseseznamem"/>
        <w:numPr>
          <w:ilvl w:val="1"/>
          <w:numId w:val="21"/>
        </w:numPr>
        <w:spacing w:after="120"/>
      </w:pPr>
      <w:r>
        <w:t>Poskytovatel</w:t>
      </w:r>
      <w:r w:rsidR="008354EC" w:rsidRPr="00F57183">
        <w:t xml:space="preserve"> se zavazuje shromažďovat jakékoli informace </w:t>
      </w:r>
      <w:r w:rsidR="008354EC">
        <w:t>Objednatele</w:t>
      </w:r>
      <w:r w:rsidR="008354EC" w:rsidRPr="00F57183">
        <w:t xml:space="preserve"> (</w:t>
      </w:r>
      <w:r w:rsidR="008354EC">
        <w:t xml:space="preserve">např. </w:t>
      </w:r>
      <w:r w:rsidR="008354EC" w:rsidRPr="00F57183">
        <w:t>zálohy dat, parciální zálohy dat, tabulek atd.)</w:t>
      </w:r>
      <w:r w:rsidR="008354EC">
        <w:t xml:space="preserve"> </w:t>
      </w:r>
      <w:r w:rsidR="008354EC" w:rsidRPr="00F57183">
        <w:t xml:space="preserve">pouze na základě předchozího písemného souhlasu </w:t>
      </w:r>
      <w:r w:rsidR="008354EC">
        <w:t xml:space="preserve">kontaktní osoby určené v </w:t>
      </w:r>
      <w:r>
        <w:t>Smlouv</w:t>
      </w:r>
      <w:r w:rsidR="008354EC">
        <w:t>ě</w:t>
      </w:r>
      <w:r w:rsidR="008354EC" w:rsidRPr="00F57183">
        <w:t xml:space="preserve">, k předem stanoveným účelům (převody dat, analýza chyby </w:t>
      </w:r>
      <w:r w:rsidR="008354EC">
        <w:t>apod.</w:t>
      </w:r>
      <w:r w:rsidR="008354EC" w:rsidRPr="00F57183">
        <w:t>) a na předem stanovenou dobu.</w:t>
      </w:r>
      <w:r w:rsidR="008354EC">
        <w:t xml:space="preserve"> </w:t>
      </w:r>
      <w:r w:rsidR="008354EC" w:rsidRPr="00F57183">
        <w:t xml:space="preserve">Bezprostředně po vyřešení požadavku či problému je </w:t>
      </w:r>
      <w:r>
        <w:t>Poskytovatel</w:t>
      </w:r>
      <w:r w:rsidR="008354EC" w:rsidRPr="00F57183">
        <w:t xml:space="preserve"> povinen ta</w:t>
      </w:r>
      <w:r w:rsidR="008354EC">
        <w:t>to data skartovat, pokud není v</w:t>
      </w:r>
      <w:r w:rsidR="00341E08">
        <w:t>e</w:t>
      </w:r>
      <w:r w:rsidR="008354EC" w:rsidRPr="00F57183">
        <w:t xml:space="preserve"> </w:t>
      </w:r>
      <w:r>
        <w:t>Smlouv</w:t>
      </w:r>
      <w:r w:rsidR="008354EC">
        <w:t>ě</w:t>
      </w:r>
      <w:r w:rsidR="008354EC" w:rsidRPr="00F57183">
        <w:t xml:space="preserve"> uvedeno jinak.</w:t>
      </w:r>
    </w:p>
    <w:p w14:paraId="71A4497B" w14:textId="64D82412" w:rsidR="008354EC" w:rsidRPr="001B11AF" w:rsidRDefault="008354EC" w:rsidP="00F842F0">
      <w:pPr>
        <w:pStyle w:val="Odstavecseseznamem"/>
        <w:numPr>
          <w:ilvl w:val="1"/>
          <w:numId w:val="21"/>
        </w:numPr>
        <w:spacing w:after="120"/>
      </w:pPr>
      <w:r w:rsidRPr="001B11AF">
        <w:t xml:space="preserve">Při přenosu a zpracování </w:t>
      </w:r>
      <w:r>
        <w:t>informací</w:t>
      </w:r>
      <w:r w:rsidRPr="001B11AF">
        <w:t xml:space="preserve"> je </w:t>
      </w:r>
      <w:r w:rsidR="00226D0B">
        <w:t>Poskytovatel</w:t>
      </w:r>
      <w:r w:rsidRPr="001B11AF">
        <w:t xml:space="preserve"> povinen přijmout náležitá bezpečností opatření, aby nedošlo k úniku nebo neoprávněnému použití </w:t>
      </w:r>
      <w:r>
        <w:t xml:space="preserve">neveřejných </w:t>
      </w:r>
      <w:r w:rsidRPr="001B11AF">
        <w:t xml:space="preserve">informací. </w:t>
      </w:r>
      <w:r w:rsidR="00226D0B">
        <w:t>Poskytovatel</w:t>
      </w:r>
      <w:r w:rsidRPr="001B11AF">
        <w:t xml:space="preserve"> předloží soupis přijatých </w:t>
      </w:r>
      <w:r>
        <w:t xml:space="preserve">bezpečnostních </w:t>
      </w:r>
      <w:r w:rsidRPr="001B11AF">
        <w:t xml:space="preserve">opatření </w:t>
      </w:r>
      <w:r>
        <w:t>Objednatel</w:t>
      </w:r>
      <w:r w:rsidRPr="001B11AF">
        <w:t xml:space="preserve">i ke schválení. Přenos a zpracování informací je </w:t>
      </w:r>
      <w:r w:rsidR="00226D0B">
        <w:t>Poskytovatel</w:t>
      </w:r>
      <w:r w:rsidRPr="001B11AF">
        <w:t xml:space="preserve"> oprávněn provádět až po jejich odsouhlasení bezpečnostním manaž</w:t>
      </w:r>
      <w:r>
        <w:t>erem – koordinátorem uvedeným v</w:t>
      </w:r>
      <w:r w:rsidR="00341E08">
        <w:t>e</w:t>
      </w:r>
      <w:r>
        <w:t xml:space="preserve"> </w:t>
      </w:r>
      <w:r w:rsidR="00226D0B">
        <w:t>Smlouv</w:t>
      </w:r>
      <w:r>
        <w:t>ě</w:t>
      </w:r>
      <w:r w:rsidRPr="001B11AF">
        <w:t>.</w:t>
      </w:r>
    </w:p>
    <w:p w14:paraId="46A3EEB7" w14:textId="2BD359A6" w:rsidR="008354EC" w:rsidRPr="00275C92" w:rsidRDefault="008354EC" w:rsidP="00F842F0">
      <w:pPr>
        <w:pStyle w:val="Nadpis1"/>
        <w:keepLines/>
        <w:numPr>
          <w:ilvl w:val="0"/>
          <w:numId w:val="21"/>
        </w:numPr>
        <w:jc w:val="both"/>
        <w:textboxTightWrap w:val="none"/>
      </w:pPr>
      <w:r w:rsidRPr="00275C92">
        <w:t xml:space="preserve">Vymezení povoleného přístupu </w:t>
      </w:r>
      <w:r w:rsidR="00226D0B">
        <w:t>Poskytovatel</w:t>
      </w:r>
      <w:r w:rsidRPr="00275C92">
        <w:t>e</w:t>
      </w:r>
    </w:p>
    <w:p w14:paraId="1A09C636" w14:textId="1C1495C1" w:rsidR="008354EC" w:rsidRPr="005C5A50" w:rsidRDefault="008354EC" w:rsidP="00F842F0">
      <w:pPr>
        <w:pStyle w:val="Odstavecseseznamem"/>
        <w:numPr>
          <w:ilvl w:val="1"/>
          <w:numId w:val="21"/>
        </w:numPr>
        <w:spacing w:after="120"/>
      </w:pPr>
      <w:r w:rsidRPr="005C5A50">
        <w:t xml:space="preserve">Přístup k informačním aktivům </w:t>
      </w:r>
      <w:r>
        <w:t>Objednatel</w:t>
      </w:r>
      <w:r w:rsidRPr="005C5A50">
        <w:t xml:space="preserve">e bude umožněn pracovníkům </w:t>
      </w:r>
      <w:r w:rsidR="00226D0B">
        <w:t>Poskytovatel</w:t>
      </w:r>
      <w:r w:rsidRPr="005C5A50">
        <w:t xml:space="preserve">e zapsaným v listině „Přístup k aktivům ICT“, která bude vyplněna nejpozději před zahájením plnění. Vyplnění listiny zajistí </w:t>
      </w:r>
      <w:r>
        <w:t>Objednatel</w:t>
      </w:r>
      <w:r w:rsidRPr="005C5A50">
        <w:t xml:space="preserve"> ve spolupráci s </w:t>
      </w:r>
      <w:r w:rsidR="00226D0B">
        <w:t>Poskytovatel</w:t>
      </w:r>
      <w:r w:rsidRPr="005C5A50">
        <w:t xml:space="preserve">em. V listině budou uvedena přidělená oprávnění jednotlivých pracovníků </w:t>
      </w:r>
      <w:r w:rsidR="00226D0B">
        <w:t>Poskytovatel</w:t>
      </w:r>
      <w:r w:rsidRPr="005C5A50">
        <w:t xml:space="preserve">e, podmínky, způsob a parametry přístupu do systému/ů </w:t>
      </w:r>
      <w:r>
        <w:t>Objednatel</w:t>
      </w:r>
      <w:r w:rsidRPr="005C5A50">
        <w:t xml:space="preserve">e. </w:t>
      </w:r>
    </w:p>
    <w:p w14:paraId="0405D665" w14:textId="4D8868EC" w:rsidR="008354EC" w:rsidRPr="00F57183" w:rsidRDefault="008354EC" w:rsidP="00F842F0">
      <w:pPr>
        <w:pStyle w:val="Odstavecseseznamem"/>
        <w:numPr>
          <w:ilvl w:val="1"/>
          <w:numId w:val="21"/>
        </w:numPr>
        <w:spacing w:after="120"/>
      </w:pPr>
      <w:r w:rsidRPr="00F57183">
        <w:t xml:space="preserve">Výměnu </w:t>
      </w:r>
      <w:r>
        <w:t>či doplnění pracovníka</w:t>
      </w:r>
      <w:r w:rsidRPr="00F57183">
        <w:t xml:space="preserve"> </w:t>
      </w:r>
      <w:r w:rsidR="00226D0B">
        <w:t>Poskytovatel</w:t>
      </w:r>
      <w:r>
        <w:t>e dle předchozího článku</w:t>
      </w:r>
      <w:r w:rsidRPr="00F57183">
        <w:t xml:space="preserve"> </w:t>
      </w:r>
      <w:r>
        <w:t xml:space="preserve">lze </w:t>
      </w:r>
      <w:r w:rsidRPr="00F57183">
        <w:t xml:space="preserve">provést </w:t>
      </w:r>
      <w:r>
        <w:t xml:space="preserve">pouze </w:t>
      </w:r>
      <w:r w:rsidRPr="00F57183">
        <w:t>na</w:t>
      </w:r>
      <w:r>
        <w:t> </w:t>
      </w:r>
      <w:r w:rsidRPr="00F57183">
        <w:t xml:space="preserve">základě </w:t>
      </w:r>
      <w:r>
        <w:t>schválení kontaktní osobou Objednatele</w:t>
      </w:r>
      <w:r w:rsidRPr="00F57183">
        <w:t xml:space="preserve">. </w:t>
      </w:r>
      <w:r>
        <w:t xml:space="preserve">Pokud </w:t>
      </w:r>
      <w:r w:rsidR="00226D0B">
        <w:t>Poskytovatel</w:t>
      </w:r>
      <w:r>
        <w:t xml:space="preserve"> prokazoval splnění kvalifikačních předpokladů v zadávacím řízení pracovníkem </w:t>
      </w:r>
      <w:r w:rsidR="00226D0B">
        <w:t>Poskytovatel</w:t>
      </w:r>
      <w:r>
        <w:t>e uvedeným v listině „Přístup k aktivům ICT“, lze výměnu</w:t>
      </w:r>
      <w:r w:rsidRPr="003360F2">
        <w:t xml:space="preserve"> </w:t>
      </w:r>
      <w:r>
        <w:t>či doplnění takového pracovníka</w:t>
      </w:r>
      <w:r w:rsidRPr="00F57183">
        <w:t xml:space="preserve"> </w:t>
      </w:r>
      <w:r w:rsidR="00226D0B">
        <w:t>Poskytovatel</w:t>
      </w:r>
      <w:r w:rsidRPr="00F57183">
        <w:t>e</w:t>
      </w:r>
      <w:r>
        <w:t xml:space="preserve"> provést, pouze pokud nový pracovník </w:t>
      </w:r>
      <w:r w:rsidR="00226D0B">
        <w:t>Poskytovatel</w:t>
      </w:r>
      <w:r>
        <w:t>e splňuje kvalifikační předpoklady požadované v zadávacím řízení.</w:t>
      </w:r>
    </w:p>
    <w:p w14:paraId="6EFE8CD2" w14:textId="5264888C" w:rsidR="008354EC" w:rsidRPr="00275C92" w:rsidRDefault="008354EC" w:rsidP="00F842F0">
      <w:pPr>
        <w:pStyle w:val="Nadpis1"/>
        <w:keepLines/>
        <w:numPr>
          <w:ilvl w:val="0"/>
          <w:numId w:val="21"/>
        </w:numPr>
        <w:jc w:val="both"/>
        <w:textboxTightWrap w:val="none"/>
      </w:pPr>
      <w:r w:rsidRPr="00275C92">
        <w:t xml:space="preserve">Ujednání o závazku </w:t>
      </w:r>
      <w:r w:rsidR="00226D0B">
        <w:t>Poskytovatel</w:t>
      </w:r>
      <w:r w:rsidRPr="00275C92">
        <w:t xml:space="preserve">e řídit se </w:t>
      </w:r>
      <w:r>
        <w:t>příslušnými</w:t>
      </w:r>
      <w:r w:rsidRPr="00275C92">
        <w:t xml:space="preserve"> vnitřními předpisy </w:t>
      </w:r>
      <w:r>
        <w:t>Objednatele</w:t>
      </w:r>
    </w:p>
    <w:p w14:paraId="366D53F8" w14:textId="5BEA6016" w:rsidR="008354EC" w:rsidRPr="00F57183" w:rsidRDefault="00226D0B" w:rsidP="00F842F0">
      <w:pPr>
        <w:pStyle w:val="Odstavecseseznamem"/>
        <w:numPr>
          <w:ilvl w:val="1"/>
          <w:numId w:val="21"/>
        </w:numPr>
        <w:spacing w:after="120"/>
      </w:pPr>
      <w:r>
        <w:t>Poskytovatel</w:t>
      </w:r>
      <w:r w:rsidR="008354EC" w:rsidRPr="00F57183">
        <w:t xml:space="preserve"> </w:t>
      </w:r>
      <w:r w:rsidR="008354EC">
        <w:t>je povinen</w:t>
      </w:r>
      <w:r w:rsidR="008354EC" w:rsidRPr="00F57183">
        <w:t xml:space="preserve"> řídit </w:t>
      </w:r>
      <w:r w:rsidR="008354EC">
        <w:t xml:space="preserve">se </w:t>
      </w:r>
      <w:r w:rsidR="008354EC" w:rsidRPr="00F57183">
        <w:t>bezpečnostní</w:t>
      </w:r>
      <w:r w:rsidR="008354EC">
        <w:t>mi</w:t>
      </w:r>
      <w:r w:rsidR="008354EC" w:rsidRPr="00F57183">
        <w:t xml:space="preserve"> </w:t>
      </w:r>
      <w:r w:rsidR="008354EC">
        <w:t>požadavky</w:t>
      </w:r>
      <w:r w:rsidR="008354EC" w:rsidRPr="00F57183">
        <w:t xml:space="preserve"> a příslušnými </w:t>
      </w:r>
      <w:r w:rsidR="008354EC">
        <w:t>vnitřními</w:t>
      </w:r>
      <w:r w:rsidR="008354EC" w:rsidRPr="00F57183">
        <w:t xml:space="preserve"> směrnicemi a</w:t>
      </w:r>
      <w:r w:rsidR="008354EC">
        <w:t> </w:t>
      </w:r>
      <w:r w:rsidR="008354EC" w:rsidRPr="00F57183">
        <w:t xml:space="preserve">manuály </w:t>
      </w:r>
      <w:r w:rsidR="008354EC">
        <w:t>Objednatele</w:t>
      </w:r>
      <w:r w:rsidR="008354EC" w:rsidRPr="00F57183">
        <w:t>.</w:t>
      </w:r>
    </w:p>
    <w:p w14:paraId="1B3B185A" w14:textId="169FD10F" w:rsidR="008354EC" w:rsidRDefault="00226D0B" w:rsidP="00F842F0">
      <w:pPr>
        <w:pStyle w:val="Odstavecseseznamem"/>
        <w:numPr>
          <w:ilvl w:val="1"/>
          <w:numId w:val="21"/>
        </w:numPr>
        <w:spacing w:after="120"/>
      </w:pPr>
      <w:r>
        <w:t>Poskytovatel</w:t>
      </w:r>
      <w:r w:rsidR="008354EC" w:rsidRPr="00F57183">
        <w:t xml:space="preserve"> ustanoví odpovědnou osobu, která bude odpovídat za adekvátní seznámení </w:t>
      </w:r>
      <w:r w:rsidR="008354EC">
        <w:t>se pracovníků</w:t>
      </w:r>
      <w:r w:rsidR="008354EC" w:rsidRPr="00F57183">
        <w:t xml:space="preserve"> </w:t>
      </w:r>
      <w:r>
        <w:t>Poskytovatel</w:t>
      </w:r>
      <w:r w:rsidR="008354EC" w:rsidRPr="00F57183">
        <w:t xml:space="preserve">e s bezpečnostními požadavky </w:t>
      </w:r>
      <w:r w:rsidR="008354EC">
        <w:t xml:space="preserve">Objednatele </w:t>
      </w:r>
      <w:r w:rsidR="008354EC" w:rsidRPr="00F57183">
        <w:t>a za dodržování těchto požadavků.</w:t>
      </w:r>
    </w:p>
    <w:p w14:paraId="45220492" w14:textId="2115E06E" w:rsidR="008354EC" w:rsidRDefault="008354EC" w:rsidP="00F842F0">
      <w:pPr>
        <w:pStyle w:val="Odstavecseseznamem"/>
        <w:numPr>
          <w:ilvl w:val="1"/>
          <w:numId w:val="21"/>
        </w:numPr>
        <w:spacing w:after="120"/>
      </w:pPr>
      <w:r>
        <w:t>Pracovníci</w:t>
      </w:r>
      <w:r w:rsidRPr="00F57183">
        <w:t xml:space="preserve"> </w:t>
      </w:r>
      <w:r w:rsidR="00226D0B">
        <w:t>Poskytovatel</w:t>
      </w:r>
      <w:r w:rsidRPr="00F57183">
        <w:t xml:space="preserve">e, kteří </w:t>
      </w:r>
      <w:r>
        <w:t>nakládají</w:t>
      </w:r>
      <w:r w:rsidRPr="00F57183">
        <w:t xml:space="preserve"> s neveřejnými informac</w:t>
      </w:r>
      <w:r>
        <w:t>emi uživatele, absolvují seznámení s </w:t>
      </w:r>
      <w:r w:rsidRPr="00F57183">
        <w:t xml:space="preserve">pravidly a postupy </w:t>
      </w:r>
      <w:r>
        <w:t>řízení bezpečnosti uživatele organizované kontaktní osobou určenou ve </w:t>
      </w:r>
      <w:r w:rsidR="00226D0B">
        <w:t>Smlouv</w:t>
      </w:r>
      <w:r>
        <w:t>ě</w:t>
      </w:r>
      <w:r w:rsidRPr="00F57183">
        <w:t xml:space="preserve">. </w:t>
      </w:r>
      <w:r>
        <w:t xml:space="preserve">Každý poučený pracovník </w:t>
      </w:r>
      <w:r w:rsidR="00226D0B">
        <w:t>Poskytovatel</w:t>
      </w:r>
      <w:r>
        <w:t>e následně podepíše „</w:t>
      </w:r>
      <w:r>
        <w:rPr>
          <w:i/>
        </w:rPr>
        <w:t>Prohlášení o </w:t>
      </w:r>
      <w:r w:rsidRPr="00F57183">
        <w:rPr>
          <w:i/>
        </w:rPr>
        <w:t xml:space="preserve">zajištění bezpečnosti informací </w:t>
      </w:r>
      <w:r>
        <w:rPr>
          <w:i/>
        </w:rPr>
        <w:t>Objednatele</w:t>
      </w:r>
      <w:r w:rsidRPr="00F57183">
        <w:rPr>
          <w:i/>
        </w:rPr>
        <w:t xml:space="preserve"> </w:t>
      </w:r>
      <w:r>
        <w:rPr>
          <w:i/>
        </w:rPr>
        <w:t>(</w:t>
      </w:r>
      <w:r w:rsidRPr="00F57183">
        <w:rPr>
          <w:i/>
        </w:rPr>
        <w:t>privilegovaný přístup</w:t>
      </w:r>
      <w:r>
        <w:rPr>
          <w:i/>
        </w:rPr>
        <w:t>)</w:t>
      </w:r>
      <w:r>
        <w:t>“, a to nejpozději před započetím prací, na nichž se podílí.</w:t>
      </w:r>
    </w:p>
    <w:p w14:paraId="451620A4" w14:textId="1139A9BA" w:rsidR="008354EC" w:rsidRPr="00275C92" w:rsidRDefault="008354EC" w:rsidP="00F842F0">
      <w:pPr>
        <w:pStyle w:val="Nadpis1"/>
        <w:keepLines/>
        <w:numPr>
          <w:ilvl w:val="0"/>
          <w:numId w:val="21"/>
        </w:numPr>
        <w:textboxTightWrap w:val="none"/>
      </w:pPr>
      <w:r w:rsidRPr="00275C92">
        <w:t xml:space="preserve">Odpovědnost </w:t>
      </w:r>
      <w:r w:rsidR="00226D0B">
        <w:t>Poskytovatel</w:t>
      </w:r>
      <w:r>
        <w:t>e</w:t>
      </w:r>
      <w:r w:rsidRPr="00275C92">
        <w:t>, je</w:t>
      </w:r>
      <w:r>
        <w:t>ho</w:t>
      </w:r>
      <w:r w:rsidRPr="00275C92">
        <w:t xml:space="preserve"> zaměstnanců</w:t>
      </w:r>
      <w:r>
        <w:t>,</w:t>
      </w:r>
      <w:r w:rsidRPr="00275C92">
        <w:t xml:space="preserve"> osob ve smluvním vztahu k</w:t>
      </w:r>
      <w:r>
        <w:t> </w:t>
      </w:r>
      <w:r w:rsidR="00226D0B">
        <w:t>Poskytovatel</w:t>
      </w:r>
      <w:r w:rsidRPr="00275C92">
        <w:t>i</w:t>
      </w:r>
    </w:p>
    <w:p w14:paraId="7CEF17FB" w14:textId="62E26DCD" w:rsidR="008354EC" w:rsidRPr="00B96672" w:rsidRDefault="00226D0B" w:rsidP="00F842F0">
      <w:pPr>
        <w:pStyle w:val="Odstavecseseznamem"/>
        <w:numPr>
          <w:ilvl w:val="1"/>
          <w:numId w:val="21"/>
        </w:numPr>
        <w:spacing w:after="120"/>
      </w:pPr>
      <w:r>
        <w:t>Poskytovatel</w:t>
      </w:r>
      <w:r w:rsidR="008354EC" w:rsidRPr="00F57183">
        <w:t xml:space="preserve"> zajistí promítnutí smluvních požadavků</w:t>
      </w:r>
      <w:r w:rsidR="008354EC">
        <w:t xml:space="preserve"> a povinností</w:t>
      </w:r>
      <w:r w:rsidR="008354EC" w:rsidRPr="00F57183">
        <w:t xml:space="preserve"> do povinností</w:t>
      </w:r>
      <w:r w:rsidR="008354EC">
        <w:t xml:space="preserve"> pracovníků </w:t>
      </w:r>
      <w:r>
        <w:t>Poskytovatel</w:t>
      </w:r>
      <w:r w:rsidR="008354EC">
        <w:t>e</w:t>
      </w:r>
      <w:r w:rsidR="008354EC" w:rsidRPr="00F57183">
        <w:t xml:space="preserve"> podílejících se na plnění </w:t>
      </w:r>
      <w:r>
        <w:t>Smlouv</w:t>
      </w:r>
      <w:r w:rsidR="008354EC">
        <w:t>y</w:t>
      </w:r>
      <w:r w:rsidR="008354EC" w:rsidRPr="00F57183">
        <w:t>.</w:t>
      </w:r>
    </w:p>
    <w:p w14:paraId="6D902339" w14:textId="77777777" w:rsidR="008354EC" w:rsidRPr="00275C92" w:rsidRDefault="008354EC" w:rsidP="00F842F0">
      <w:pPr>
        <w:pStyle w:val="Nadpis1"/>
        <w:keepLines/>
        <w:numPr>
          <w:ilvl w:val="0"/>
          <w:numId w:val="21"/>
        </w:numPr>
        <w:jc w:val="both"/>
        <w:textboxTightWrap w:val="none"/>
      </w:pPr>
      <w:r w:rsidRPr="00314CCB">
        <w:t>Závazek</w:t>
      </w:r>
      <w:r w:rsidRPr="00275C92">
        <w:t xml:space="preserve"> k hlášení a řešení bezpečnostních incidentů v souladu s postupy </w:t>
      </w:r>
      <w:r>
        <w:t>Objednatele</w:t>
      </w:r>
    </w:p>
    <w:p w14:paraId="4DA438D8" w14:textId="3D793B8F" w:rsidR="008354EC" w:rsidRPr="001B11AF" w:rsidRDefault="008354EC" w:rsidP="00F842F0">
      <w:pPr>
        <w:pStyle w:val="Odstavecseseznamem"/>
        <w:numPr>
          <w:ilvl w:val="1"/>
          <w:numId w:val="21"/>
        </w:numPr>
        <w:spacing w:after="120"/>
      </w:pPr>
      <w:r w:rsidRPr="001B11AF">
        <w:t xml:space="preserve">Ze strany </w:t>
      </w:r>
      <w:r w:rsidR="00226D0B">
        <w:t>Poskytovatel</w:t>
      </w:r>
      <w:r w:rsidRPr="001B11AF">
        <w:t xml:space="preserve">e budou </w:t>
      </w:r>
      <w:r>
        <w:t xml:space="preserve">bezodkladně </w:t>
      </w:r>
      <w:r w:rsidRPr="001B11AF">
        <w:t>hlášeny všechny skutečnosti, které vedou nebo by mohly vést k porušení bezpečnosti, integrity, spolehlivosti</w:t>
      </w:r>
      <w:r>
        <w:t xml:space="preserve"> předmětného</w:t>
      </w:r>
      <w:r w:rsidRPr="001B11AF">
        <w:t xml:space="preserve"> systému nebo souvisejících systémů</w:t>
      </w:r>
      <w:r>
        <w:t xml:space="preserve"> Objednatele</w:t>
      </w:r>
      <w:r w:rsidRPr="001B11AF">
        <w:t xml:space="preserve">. Takto budou hlášeny i skutečnosti, které již byly při údržbě napraveny. Kontaktní osobou </w:t>
      </w:r>
      <w:r>
        <w:t>Objednatele</w:t>
      </w:r>
      <w:r w:rsidRPr="001B11AF">
        <w:t xml:space="preserve"> pro hlášení těchto tzv. „bezpečnostních incidentů“ je bez</w:t>
      </w:r>
      <w:r>
        <w:t>pečnostní manažer ICT uvedený v</w:t>
      </w:r>
      <w:r w:rsidRPr="001B11AF">
        <w:t xml:space="preserve"> </w:t>
      </w:r>
      <w:r w:rsidR="00226D0B">
        <w:t>Smlouv</w:t>
      </w:r>
      <w:r>
        <w:t>ě</w:t>
      </w:r>
      <w:r w:rsidRPr="001B11AF">
        <w:t>.</w:t>
      </w:r>
      <w:r>
        <w:t xml:space="preserve"> Řešení bezpečnostních incidentů probíhá za plné informovanosti bezpečnostního manažera ICT.</w:t>
      </w:r>
    </w:p>
    <w:p w14:paraId="3025891E" w14:textId="77777777" w:rsidR="008354EC" w:rsidRPr="000040A0" w:rsidRDefault="008354EC" w:rsidP="00F842F0">
      <w:pPr>
        <w:pStyle w:val="Nadpis1"/>
        <w:keepLines/>
        <w:numPr>
          <w:ilvl w:val="0"/>
          <w:numId w:val="21"/>
        </w:numPr>
        <w:jc w:val="both"/>
        <w:textboxTightWrap w:val="none"/>
      </w:pPr>
      <w:r w:rsidRPr="00314CCB">
        <w:t>Požadavky</w:t>
      </w:r>
      <w:r w:rsidRPr="000040A0">
        <w:t xml:space="preserve"> na zajištění kontinuity poskytovaných produktů a</w:t>
      </w:r>
      <w:r>
        <w:t> </w:t>
      </w:r>
      <w:r w:rsidRPr="000040A0">
        <w:t>služeb</w:t>
      </w:r>
      <w:r>
        <w:t xml:space="preserve"> a právo kontroly dodržování bezpečnostních požadavků</w:t>
      </w:r>
    </w:p>
    <w:p w14:paraId="2B0A04CA" w14:textId="58C45F96" w:rsidR="008354EC" w:rsidRDefault="00226D0B" w:rsidP="00F842F0">
      <w:pPr>
        <w:pStyle w:val="Odstavecseseznamem"/>
        <w:numPr>
          <w:ilvl w:val="1"/>
          <w:numId w:val="21"/>
        </w:numPr>
        <w:spacing w:after="120"/>
      </w:pPr>
      <w:r>
        <w:rPr>
          <w:shd w:val="clear" w:color="auto" w:fill="FFFFFF"/>
        </w:rPr>
        <w:t>Poskytovatel</w:t>
      </w:r>
      <w:r w:rsidR="008354EC">
        <w:rPr>
          <w:shd w:val="clear" w:color="auto" w:fill="FFFFFF"/>
        </w:rPr>
        <w:t xml:space="preserve"> je povinen archivovat z</w:t>
      </w:r>
      <w:r w:rsidR="008354EC" w:rsidRPr="000040A0">
        <w:rPr>
          <w:shd w:val="clear" w:color="auto" w:fill="FFFFFF"/>
        </w:rPr>
        <w:t>áznam</w:t>
      </w:r>
      <w:r w:rsidR="008354EC">
        <w:rPr>
          <w:shd w:val="clear" w:color="auto" w:fill="FFFFFF"/>
        </w:rPr>
        <w:t>y</w:t>
      </w:r>
      <w:r w:rsidR="008354EC" w:rsidRPr="000040A0">
        <w:rPr>
          <w:shd w:val="clear" w:color="auto" w:fill="FFFFFF"/>
        </w:rPr>
        <w:t xml:space="preserve"> o provedených úkonech v rámci plnění </w:t>
      </w:r>
      <w:r>
        <w:rPr>
          <w:shd w:val="clear" w:color="auto" w:fill="FFFFFF"/>
        </w:rPr>
        <w:t>Smlouv</w:t>
      </w:r>
      <w:r w:rsidR="008354EC">
        <w:rPr>
          <w:shd w:val="clear" w:color="auto" w:fill="FFFFFF"/>
        </w:rPr>
        <w:t>y,</w:t>
      </w:r>
      <w:r w:rsidR="008354EC" w:rsidRPr="000040A0">
        <w:rPr>
          <w:shd w:val="clear" w:color="auto" w:fill="FFFFFF"/>
        </w:rPr>
        <w:t xml:space="preserve"> </w:t>
      </w:r>
      <w:r w:rsidR="008354EC">
        <w:rPr>
          <w:shd w:val="clear" w:color="auto" w:fill="FFFFFF"/>
        </w:rPr>
        <w:t>a to </w:t>
      </w:r>
      <w:r w:rsidR="008354EC" w:rsidRPr="000040A0">
        <w:rPr>
          <w:shd w:val="clear" w:color="auto" w:fill="FFFFFF"/>
        </w:rPr>
        <w:t xml:space="preserve">minimálně po dobu trvání </w:t>
      </w:r>
      <w:r>
        <w:rPr>
          <w:shd w:val="clear" w:color="auto" w:fill="FFFFFF"/>
        </w:rPr>
        <w:t>Smlouv</w:t>
      </w:r>
      <w:r w:rsidR="008354EC">
        <w:rPr>
          <w:shd w:val="clear" w:color="auto" w:fill="FFFFFF"/>
        </w:rPr>
        <w:t>y</w:t>
      </w:r>
      <w:r w:rsidR="008354EC" w:rsidRPr="000040A0">
        <w:rPr>
          <w:shd w:val="clear" w:color="auto" w:fill="FFFFFF"/>
        </w:rPr>
        <w:t>.</w:t>
      </w:r>
      <w:r w:rsidR="008354EC" w:rsidRPr="00284661">
        <w:t xml:space="preserve"> </w:t>
      </w:r>
    </w:p>
    <w:p w14:paraId="3A667866" w14:textId="77777777" w:rsidR="008354EC" w:rsidRDefault="008354EC" w:rsidP="00F842F0">
      <w:pPr>
        <w:pStyle w:val="Odstavecseseznamem"/>
        <w:numPr>
          <w:ilvl w:val="1"/>
          <w:numId w:val="21"/>
        </w:numPr>
        <w:spacing w:after="120"/>
      </w:pPr>
      <w:r w:rsidRPr="000040A0">
        <w:t xml:space="preserve">Všechny přístupy budou důsledně logovány, aby bylo možné zpětně </w:t>
      </w:r>
      <w:r>
        <w:t>analyzovat proběhlé skutečnosti.</w:t>
      </w:r>
    </w:p>
    <w:p w14:paraId="572C9AF5" w14:textId="783BFD57" w:rsidR="004F6B56" w:rsidRPr="007C46B8" w:rsidRDefault="008354EC" w:rsidP="00F842F0">
      <w:pPr>
        <w:pStyle w:val="Odstavecseseznamem"/>
        <w:numPr>
          <w:ilvl w:val="1"/>
          <w:numId w:val="21"/>
        </w:numPr>
        <w:spacing w:after="120"/>
        <w:rPr>
          <w:rFonts w:cs="Segoe UI"/>
        </w:rPr>
      </w:pPr>
      <w:r>
        <w:t>Objednatel</w:t>
      </w:r>
      <w:r w:rsidRPr="000040A0">
        <w:t xml:space="preserve"> je oprávněn kontrolovat plnění bezpečnostních požadavků na straně </w:t>
      </w:r>
      <w:r w:rsidR="00226D0B">
        <w:t>Poskytovatel</w:t>
      </w:r>
      <w:r w:rsidRPr="000040A0">
        <w:t xml:space="preserve">e. </w:t>
      </w:r>
      <w:r w:rsidR="00226D0B">
        <w:t>Poskytovatel</w:t>
      </w:r>
      <w:r w:rsidRPr="000040A0">
        <w:t xml:space="preserve"> je povinen poskytnout </w:t>
      </w:r>
      <w:r>
        <w:t>Objednateli</w:t>
      </w:r>
      <w:r w:rsidRPr="000040A0">
        <w:t xml:space="preserve"> nezbytné podklady, součinnost, případně umožnit kontrolu na místě.</w:t>
      </w:r>
    </w:p>
    <w:p w14:paraId="4DF6F959" w14:textId="47531BD7" w:rsidR="00874838" w:rsidRPr="00F27A81" w:rsidRDefault="00874838">
      <w:pPr>
        <w:spacing w:after="200" w:line="276" w:lineRule="auto"/>
        <w:rPr>
          <w:rFonts w:cs="Segoe UI"/>
          <w:szCs w:val="20"/>
          <w:highlight w:val="lightGray"/>
        </w:rPr>
      </w:pPr>
    </w:p>
    <w:p w14:paraId="24BF4902" w14:textId="379384FD" w:rsidR="0021120F" w:rsidRDefault="0021120F" w:rsidP="00874838">
      <w:pPr>
        <w:pStyle w:val="Nzev"/>
        <w:spacing w:after="120"/>
        <w:jc w:val="both"/>
        <w:rPr>
          <w:rFonts w:cs="Segoe UI"/>
        </w:rPr>
      </w:pPr>
    </w:p>
    <w:p w14:paraId="3161A3BF" w14:textId="329CC15D" w:rsidR="00725A65" w:rsidRDefault="00725A65" w:rsidP="0089279E"/>
    <w:p w14:paraId="42B2DD1C" w14:textId="6D415131" w:rsidR="00725A65" w:rsidRDefault="00725A65" w:rsidP="0089279E"/>
    <w:p w14:paraId="7DD4BEB5" w14:textId="35A6DB11" w:rsidR="00725A65" w:rsidRDefault="00725A65" w:rsidP="0089279E"/>
    <w:p w14:paraId="5D2EE641" w14:textId="0564B917" w:rsidR="00725A65" w:rsidRDefault="00725A65" w:rsidP="0089279E"/>
    <w:p w14:paraId="041D6074" w14:textId="3D4247FF" w:rsidR="00725A65" w:rsidRDefault="00725A65" w:rsidP="0089279E"/>
    <w:p w14:paraId="32D0C838" w14:textId="2F2D4847" w:rsidR="00725A65" w:rsidRDefault="00725A65" w:rsidP="0089279E"/>
    <w:p w14:paraId="773A9478" w14:textId="77777777" w:rsidR="00725A65" w:rsidRPr="00725A65" w:rsidRDefault="00725A65" w:rsidP="0089279E"/>
    <w:p w14:paraId="385F827C" w14:textId="77777777" w:rsidR="0086699A" w:rsidRDefault="0086699A" w:rsidP="0086699A">
      <w:pPr>
        <w:pStyle w:val="Nadpishlavn"/>
        <w:spacing w:before="360"/>
        <w:jc w:val="both"/>
      </w:pPr>
    </w:p>
    <w:p w14:paraId="1638B3A2" w14:textId="7B6AEDC3" w:rsidR="0086699A" w:rsidRPr="00E8566D" w:rsidRDefault="0086699A" w:rsidP="0086699A">
      <w:pPr>
        <w:pStyle w:val="Nadpishlavn"/>
        <w:spacing w:before="360"/>
        <w:jc w:val="both"/>
      </w:pPr>
      <w:r w:rsidRPr="007C46B8">
        <w:rPr>
          <w:rFonts w:cs="Segoe UI"/>
          <w:spacing w:val="-16"/>
        </w:rPr>
        <w:t xml:space="preserve">Příloha č. </w:t>
      </w:r>
      <w:r>
        <w:rPr>
          <w:rFonts w:cs="Segoe UI"/>
          <w:spacing w:val="-16"/>
        </w:rPr>
        <w:t>2</w:t>
      </w:r>
      <w:r w:rsidRPr="007C46B8">
        <w:rPr>
          <w:rFonts w:cs="Segoe UI"/>
          <w:spacing w:val="-16"/>
        </w:rPr>
        <w:t xml:space="preserve"> – </w:t>
      </w:r>
      <w:r>
        <w:t>Čestné prohlášení k vyloučení střetu zájmů</w:t>
      </w:r>
    </w:p>
    <w:p w14:paraId="185002AE" w14:textId="77777777" w:rsidR="0086699A" w:rsidRPr="00844A11" w:rsidRDefault="0086699A" w:rsidP="0086699A">
      <w:pPr>
        <w:pStyle w:val="Bezmezer"/>
        <w:pBdr>
          <w:bottom w:val="single" w:sz="4" w:space="1" w:color="auto"/>
        </w:pBdr>
        <w:spacing w:before="360" w:after="60"/>
        <w:rPr>
          <w:b/>
        </w:rPr>
      </w:pPr>
      <w:r w:rsidRPr="00844A11">
        <w:rPr>
          <w:b/>
        </w:rPr>
        <w:t>Název zakázky:</w:t>
      </w:r>
    </w:p>
    <w:p w14:paraId="508382DC" w14:textId="77777777" w:rsidR="0086699A" w:rsidRPr="004C6BA2" w:rsidRDefault="0086699A" w:rsidP="0086699A">
      <w:pPr>
        <w:pStyle w:val="Podnadpis"/>
        <w:rPr>
          <w:b/>
          <w:caps/>
        </w:rPr>
      </w:pPr>
      <w:r w:rsidRPr="00B01A2D">
        <w:t>Údržba a úpravy ekonomického SW Řízení akcí</w:t>
      </w:r>
    </w:p>
    <w:p w14:paraId="60400DDB" w14:textId="77777777" w:rsidR="0086699A" w:rsidRDefault="0086699A" w:rsidP="0086699A">
      <w:pPr>
        <w:pBdr>
          <w:bottom w:val="single" w:sz="8" w:space="1" w:color="73767D"/>
        </w:pBdr>
        <w:spacing w:before="120" w:after="60"/>
        <w:rPr>
          <w:rFonts w:eastAsia="Calibri"/>
          <w:b/>
          <w:szCs w:val="22"/>
          <w:lang w:eastAsia="en-US"/>
        </w:rPr>
      </w:pPr>
    </w:p>
    <w:p w14:paraId="146085E5" w14:textId="77777777" w:rsidR="0086699A" w:rsidRPr="00111FB3" w:rsidRDefault="0086699A" w:rsidP="0086699A">
      <w:pPr>
        <w:pBdr>
          <w:bottom w:val="single" w:sz="8" w:space="1" w:color="73767D"/>
        </w:pBdr>
        <w:spacing w:before="120" w:after="60"/>
        <w:rPr>
          <w:rFonts w:eastAsia="Calibri"/>
          <w:b/>
          <w:szCs w:val="22"/>
          <w:lang w:eastAsia="en-US"/>
        </w:rPr>
      </w:pPr>
      <w:r w:rsidRPr="00111FB3">
        <w:rPr>
          <w:rFonts w:eastAsia="Calibri"/>
          <w:b/>
          <w:szCs w:val="22"/>
          <w:lang w:eastAsia="en-US"/>
        </w:rPr>
        <w:t>Identifikační údaje dodavatele:</w:t>
      </w:r>
    </w:p>
    <w:tbl>
      <w:tblPr>
        <w:tblStyle w:val="Mkatabulky3"/>
        <w:tblW w:w="0" w:type="auto"/>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3828"/>
        <w:gridCol w:w="5271"/>
      </w:tblGrid>
      <w:tr w:rsidR="0086699A" w:rsidRPr="00111FB3" w14:paraId="54D0EC3A" w14:textId="77777777" w:rsidTr="000F5F58">
        <w:trPr>
          <w:trHeight w:val="353"/>
        </w:trPr>
        <w:tc>
          <w:tcPr>
            <w:tcW w:w="3828" w:type="dxa"/>
            <w:vAlign w:val="center"/>
          </w:tcPr>
          <w:p w14:paraId="55FD54EB" w14:textId="79CBAF46" w:rsidR="0086699A" w:rsidRPr="00111FB3" w:rsidRDefault="0086699A" w:rsidP="000F5F58">
            <w:pPr>
              <w:ind w:left="-108"/>
            </w:pPr>
            <w:r w:rsidRPr="00111FB3">
              <w:t>Obchodní firma:</w:t>
            </w:r>
          </w:p>
        </w:tc>
        <w:tc>
          <w:tcPr>
            <w:tcW w:w="5271" w:type="dxa"/>
            <w:vAlign w:val="center"/>
          </w:tcPr>
          <w:p w14:paraId="72AF9415" w14:textId="57AECC4B" w:rsidR="0086699A" w:rsidRPr="009E6AB0" w:rsidRDefault="009E6AB0" w:rsidP="000F5F58">
            <w:pPr>
              <w:rPr>
                <w:rFonts w:cs="Segoe UI"/>
              </w:rPr>
            </w:pPr>
            <w:r w:rsidRPr="009E6AB0">
              <w:rPr>
                <w:rFonts w:cs="Segoe UI"/>
              </w:rPr>
              <w:t>VUSTE-APIS, s.r.o.</w:t>
            </w:r>
          </w:p>
        </w:tc>
      </w:tr>
      <w:tr w:rsidR="0086699A" w:rsidRPr="00111FB3" w14:paraId="434FA54A" w14:textId="77777777" w:rsidTr="000F5F58">
        <w:trPr>
          <w:trHeight w:val="353"/>
        </w:trPr>
        <w:tc>
          <w:tcPr>
            <w:tcW w:w="3828" w:type="dxa"/>
            <w:vAlign w:val="center"/>
          </w:tcPr>
          <w:p w14:paraId="6E035DFC" w14:textId="77777777" w:rsidR="0086699A" w:rsidRPr="00111FB3" w:rsidRDefault="0086699A" w:rsidP="000F5F58">
            <w:pPr>
              <w:ind w:left="-108"/>
            </w:pPr>
            <w:r w:rsidRPr="00111FB3">
              <w:t>Sídlo:</w:t>
            </w:r>
          </w:p>
        </w:tc>
        <w:tc>
          <w:tcPr>
            <w:tcW w:w="5271" w:type="dxa"/>
          </w:tcPr>
          <w:p w14:paraId="1239827D" w14:textId="329E2D57" w:rsidR="0086699A" w:rsidRPr="009E6AB0" w:rsidRDefault="009E6AB0" w:rsidP="000F5F58">
            <w:pPr>
              <w:rPr>
                <w:rFonts w:cs="Segoe UI"/>
              </w:rPr>
            </w:pPr>
            <w:r w:rsidRPr="009E6AB0">
              <w:rPr>
                <w:rFonts w:cs="Segoe UI"/>
              </w:rPr>
              <w:t>Velflíkova 1428/4, 160 00 Praha 6 – Dejvice</w:t>
            </w:r>
          </w:p>
        </w:tc>
      </w:tr>
      <w:tr w:rsidR="0086699A" w:rsidRPr="00111FB3" w14:paraId="1B76D64E" w14:textId="77777777" w:rsidTr="000F5F58">
        <w:trPr>
          <w:trHeight w:val="353"/>
        </w:trPr>
        <w:tc>
          <w:tcPr>
            <w:tcW w:w="3828" w:type="dxa"/>
            <w:vAlign w:val="center"/>
          </w:tcPr>
          <w:p w14:paraId="6184E458" w14:textId="77777777" w:rsidR="0086699A" w:rsidRPr="00111FB3" w:rsidRDefault="0086699A" w:rsidP="000F5F58">
            <w:pPr>
              <w:ind w:left="-108"/>
            </w:pPr>
            <w:r w:rsidRPr="00111FB3">
              <w:t>IČO:</w:t>
            </w:r>
          </w:p>
        </w:tc>
        <w:tc>
          <w:tcPr>
            <w:tcW w:w="5271" w:type="dxa"/>
          </w:tcPr>
          <w:p w14:paraId="4238E35A" w14:textId="30F7C710" w:rsidR="0086699A" w:rsidRPr="009E6AB0" w:rsidRDefault="009E6AB0" w:rsidP="000F5F58">
            <w:pPr>
              <w:rPr>
                <w:rFonts w:cs="Segoe UI"/>
              </w:rPr>
            </w:pPr>
            <w:r w:rsidRPr="009E6AB0">
              <w:rPr>
                <w:rFonts w:cs="Segoe UI"/>
              </w:rPr>
              <w:t>48108219</w:t>
            </w:r>
          </w:p>
        </w:tc>
      </w:tr>
      <w:tr w:rsidR="0086699A" w:rsidRPr="00111FB3" w14:paraId="05DDEF01" w14:textId="77777777" w:rsidTr="000F5F58">
        <w:trPr>
          <w:trHeight w:val="353"/>
        </w:trPr>
        <w:tc>
          <w:tcPr>
            <w:tcW w:w="3828" w:type="dxa"/>
            <w:vAlign w:val="center"/>
          </w:tcPr>
          <w:p w14:paraId="39082350" w14:textId="77777777" w:rsidR="0086699A" w:rsidRPr="00111FB3" w:rsidRDefault="0086699A" w:rsidP="000F5F58">
            <w:pPr>
              <w:ind w:left="-108"/>
            </w:pPr>
            <w:r w:rsidRPr="00111FB3">
              <w:t>Právní forma:</w:t>
            </w:r>
          </w:p>
        </w:tc>
        <w:tc>
          <w:tcPr>
            <w:tcW w:w="5271" w:type="dxa"/>
          </w:tcPr>
          <w:p w14:paraId="083F77A7" w14:textId="10609E67" w:rsidR="0086699A" w:rsidRPr="00276DA1" w:rsidRDefault="00276DA1" w:rsidP="000F5F58">
            <w:pPr>
              <w:rPr>
                <w:rFonts w:cs="Segoe UI"/>
              </w:rPr>
            </w:pPr>
            <w:r w:rsidRPr="00276DA1">
              <w:rPr>
                <w:rFonts w:cs="Segoe UI"/>
              </w:rPr>
              <w:t>společnost s ručením omezeným</w:t>
            </w:r>
          </w:p>
        </w:tc>
      </w:tr>
    </w:tbl>
    <w:p w14:paraId="2E26A8B8" w14:textId="77777777" w:rsidR="0086699A" w:rsidRDefault="0086699A" w:rsidP="0086699A">
      <w:pPr>
        <w:pStyle w:val="Normlnweb"/>
        <w:spacing w:before="0"/>
      </w:pPr>
    </w:p>
    <w:p w14:paraId="1C236CE5" w14:textId="77777777" w:rsidR="0086699A" w:rsidRPr="00111FB3" w:rsidRDefault="0086699A" w:rsidP="00AE2F81">
      <w:pPr>
        <w:spacing w:after="240"/>
        <w:jc w:val="both"/>
        <w:rPr>
          <w:rFonts w:eastAsia="Calibri" w:cs="Segoe UI"/>
          <w:sz w:val="22"/>
          <w:szCs w:val="22"/>
          <w:lang w:eastAsia="en-US"/>
        </w:rPr>
      </w:pPr>
      <w:r w:rsidRPr="00111FB3">
        <w:rPr>
          <w:rFonts w:eastAsia="Calibri" w:cs="Segoe UI"/>
          <w:szCs w:val="22"/>
          <w:lang w:eastAsia="en-US"/>
        </w:rPr>
        <w:t xml:space="preserve">Dodavatel tímto prohlašuje, že fyzickou osobou (fyzickými osobami), která (které) vlastní podíl představující alespoň 25 % účasti společníka v obchodní společnosti je (jsou): </w:t>
      </w:r>
    </w:p>
    <w:tbl>
      <w:tblPr>
        <w:tblStyle w:val="Mkatabulky4"/>
        <w:tblW w:w="9072" w:type="dxa"/>
        <w:tblInd w:w="-5" w:type="dxa"/>
        <w:tblLook w:val="04A0" w:firstRow="1" w:lastRow="0" w:firstColumn="1" w:lastColumn="0" w:noHBand="0" w:noVBand="1"/>
      </w:tblPr>
      <w:tblGrid>
        <w:gridCol w:w="3024"/>
        <w:gridCol w:w="3024"/>
        <w:gridCol w:w="3024"/>
      </w:tblGrid>
      <w:tr w:rsidR="0086699A" w:rsidRPr="00111FB3" w14:paraId="01417C33" w14:textId="77777777" w:rsidTr="000F5F58">
        <w:tc>
          <w:tcPr>
            <w:tcW w:w="3024" w:type="dxa"/>
            <w:vAlign w:val="center"/>
          </w:tcPr>
          <w:p w14:paraId="16153CB3" w14:textId="77777777" w:rsidR="0086699A" w:rsidRPr="00111FB3" w:rsidRDefault="0086699A" w:rsidP="000F5F58">
            <w:pPr>
              <w:spacing w:after="120" w:line="259" w:lineRule="auto"/>
              <w:jc w:val="center"/>
              <w:rPr>
                <w:rFonts w:cs="Segoe UI"/>
              </w:rPr>
            </w:pPr>
            <w:r w:rsidRPr="00111FB3">
              <w:rPr>
                <w:rFonts w:cs="Segoe UI"/>
              </w:rPr>
              <w:t>Jméno</w:t>
            </w:r>
          </w:p>
        </w:tc>
        <w:tc>
          <w:tcPr>
            <w:tcW w:w="3024" w:type="dxa"/>
            <w:vAlign w:val="center"/>
          </w:tcPr>
          <w:p w14:paraId="47C658A6" w14:textId="77777777" w:rsidR="0086699A" w:rsidRPr="00111FB3" w:rsidRDefault="0086699A" w:rsidP="000F5F58">
            <w:pPr>
              <w:spacing w:after="120" w:line="259" w:lineRule="auto"/>
              <w:jc w:val="center"/>
              <w:rPr>
                <w:rFonts w:cs="Segoe UI"/>
              </w:rPr>
            </w:pPr>
            <w:r w:rsidRPr="00111FB3">
              <w:rPr>
                <w:rFonts w:cs="Segoe UI"/>
              </w:rPr>
              <w:t>Příjmení</w:t>
            </w:r>
          </w:p>
        </w:tc>
        <w:tc>
          <w:tcPr>
            <w:tcW w:w="3024" w:type="dxa"/>
            <w:vAlign w:val="center"/>
          </w:tcPr>
          <w:p w14:paraId="1F43A5EF" w14:textId="77777777" w:rsidR="0086699A" w:rsidRPr="00111FB3" w:rsidRDefault="0086699A" w:rsidP="000F5F58">
            <w:pPr>
              <w:spacing w:after="120" w:line="259" w:lineRule="auto"/>
              <w:jc w:val="center"/>
              <w:rPr>
                <w:rFonts w:cs="Segoe UI"/>
              </w:rPr>
            </w:pPr>
            <w:r w:rsidRPr="00111FB3">
              <w:rPr>
                <w:rFonts w:cs="Segoe UI"/>
              </w:rPr>
              <w:t>Datum narození</w:t>
            </w:r>
          </w:p>
        </w:tc>
      </w:tr>
      <w:tr w:rsidR="0086699A" w:rsidRPr="00111FB3" w14:paraId="689C3FB8" w14:textId="77777777" w:rsidTr="000F5F58">
        <w:tc>
          <w:tcPr>
            <w:tcW w:w="3024" w:type="dxa"/>
            <w:vAlign w:val="center"/>
          </w:tcPr>
          <w:p w14:paraId="484650BF"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4C948D46"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79FC8C38"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r>
      <w:tr w:rsidR="0086699A" w:rsidRPr="00111FB3" w14:paraId="14741403" w14:textId="77777777" w:rsidTr="000F5F58">
        <w:tc>
          <w:tcPr>
            <w:tcW w:w="3024" w:type="dxa"/>
            <w:vAlign w:val="center"/>
          </w:tcPr>
          <w:p w14:paraId="4D456DF4"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7B9809FF"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12C46C1B"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r>
      <w:tr w:rsidR="0086699A" w:rsidRPr="00111FB3" w14:paraId="6E147410" w14:textId="77777777" w:rsidTr="000F5F58">
        <w:tc>
          <w:tcPr>
            <w:tcW w:w="3024" w:type="dxa"/>
            <w:vAlign w:val="center"/>
          </w:tcPr>
          <w:p w14:paraId="44308684"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14A53E1D"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224C8EF1"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r>
      <w:tr w:rsidR="0086699A" w:rsidRPr="00111FB3" w14:paraId="42229E9E" w14:textId="77777777" w:rsidTr="000F5F58">
        <w:tc>
          <w:tcPr>
            <w:tcW w:w="3024" w:type="dxa"/>
            <w:vAlign w:val="center"/>
          </w:tcPr>
          <w:p w14:paraId="21B572B7"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48FE9558"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69B43A04"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r>
      <w:tr w:rsidR="0086699A" w:rsidRPr="00111FB3" w14:paraId="1960A8A7" w14:textId="77777777" w:rsidTr="000F5F58">
        <w:tc>
          <w:tcPr>
            <w:tcW w:w="3024" w:type="dxa"/>
            <w:vAlign w:val="center"/>
          </w:tcPr>
          <w:p w14:paraId="452BF435"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424462CE"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c>
          <w:tcPr>
            <w:tcW w:w="3024" w:type="dxa"/>
            <w:vAlign w:val="center"/>
          </w:tcPr>
          <w:p w14:paraId="548F5299" w14:textId="77777777" w:rsidR="0086699A" w:rsidRPr="00111FB3" w:rsidRDefault="0086699A" w:rsidP="000F5F58">
            <w:pPr>
              <w:spacing w:after="120" w:line="259" w:lineRule="auto"/>
              <w:jc w:val="center"/>
              <w:rPr>
                <w:rFonts w:cs="Segoe UI"/>
              </w:rPr>
            </w:pPr>
            <w:r w:rsidRPr="00111FB3">
              <w:rPr>
                <w:rFonts w:cs="Segoe UI"/>
                <w:highlight w:val="yellow"/>
              </w:rPr>
              <w:t>[VYPLNÍ DODAVATEL]</w:t>
            </w:r>
          </w:p>
        </w:tc>
      </w:tr>
    </w:tbl>
    <w:p w14:paraId="2C32C5D1" w14:textId="77777777" w:rsidR="0086699A" w:rsidRPr="00111FB3" w:rsidRDefault="0086699A" w:rsidP="0086699A">
      <w:pPr>
        <w:spacing w:before="120" w:after="120" w:line="259" w:lineRule="auto"/>
        <w:rPr>
          <w:rFonts w:eastAsia="Calibri" w:cs="Segoe UI"/>
          <w:lang w:eastAsia="en-US"/>
        </w:rPr>
      </w:pPr>
      <w:r w:rsidRPr="00111FB3">
        <w:rPr>
          <w:rFonts w:eastAsia="Calibri" w:cs="Segoe UI"/>
          <w:lang w:eastAsia="en-US"/>
        </w:rPr>
        <w:t xml:space="preserve">* </w:t>
      </w:r>
      <w:r w:rsidRPr="00111FB3">
        <w:rPr>
          <w:rFonts w:eastAsia="Calibri" w:cs="Segoe UI"/>
          <w:i/>
          <w:sz w:val="18"/>
          <w:lang w:eastAsia="en-US"/>
        </w:rPr>
        <w:t xml:space="preserve">Pokud taková osoba (osoby) neexistuje, dodavatel ponechá </w:t>
      </w:r>
      <w:r>
        <w:rPr>
          <w:rFonts w:eastAsia="Calibri" w:cs="Segoe UI"/>
          <w:i/>
          <w:sz w:val="18"/>
          <w:lang w:eastAsia="en-US"/>
        </w:rPr>
        <w:t xml:space="preserve">tabulku </w:t>
      </w:r>
      <w:r w:rsidRPr="00111FB3">
        <w:rPr>
          <w:rFonts w:eastAsia="Calibri" w:cs="Segoe UI"/>
          <w:i/>
          <w:sz w:val="18"/>
          <w:lang w:eastAsia="en-US"/>
        </w:rPr>
        <w:t>nevyplněnou, příp. ji proškrtne.</w:t>
      </w:r>
      <w:r w:rsidRPr="00111FB3">
        <w:rPr>
          <w:rFonts w:eastAsia="Calibri" w:cs="Segoe UI"/>
          <w:lang w:eastAsia="en-US"/>
        </w:rPr>
        <w:t xml:space="preserve"> </w:t>
      </w:r>
    </w:p>
    <w:p w14:paraId="32DBB0C7" w14:textId="77777777" w:rsidR="0086699A" w:rsidRPr="00111FB3" w:rsidRDefault="0086699A" w:rsidP="00AE2F81">
      <w:pPr>
        <w:spacing w:before="240" w:after="120" w:line="259" w:lineRule="auto"/>
        <w:jc w:val="both"/>
        <w:rPr>
          <w:rFonts w:eastAsia="Calibri" w:cs="Segoe UI"/>
          <w:szCs w:val="22"/>
          <w:lang w:eastAsia="en-US"/>
        </w:rPr>
      </w:pPr>
      <w:r w:rsidRPr="00111FB3">
        <w:rPr>
          <w:rFonts w:eastAsia="Calibri" w:cs="Segoe UI"/>
          <w:szCs w:val="22"/>
          <w:lang w:eastAsia="en-US"/>
        </w:rPr>
        <w:t xml:space="preserve">Dodavatel tímto v souladu s § 4b zákona č. 159/2006 Sb., o střetu zájmů, ve znění pozdějších předpisů (dále jen „zákon o střetu zájmů“) čestně prohlašuje, že </w:t>
      </w:r>
      <w:r>
        <w:rPr>
          <w:rFonts w:eastAsia="Calibri" w:cs="Segoe UI"/>
          <w:szCs w:val="22"/>
          <w:lang w:eastAsia="en-US"/>
        </w:rPr>
        <w:t xml:space="preserve">není </w:t>
      </w:r>
      <w:r w:rsidRPr="00111FB3">
        <w:rPr>
          <w:rFonts w:eastAsia="Calibri" w:cs="Segoe UI"/>
          <w:szCs w:val="22"/>
          <w:lang w:eastAsia="en-US"/>
        </w:rPr>
        <w:t>obchodní společností, ve které veřejný funkcionář uvedený v § 2 odst. 1 písm. c) zákona o střetu zájmů</w:t>
      </w:r>
      <w:r w:rsidRPr="00111FB3">
        <w:rPr>
          <w:rFonts w:eastAsia="Calibri" w:cs="Segoe UI"/>
          <w:szCs w:val="22"/>
          <w:vertAlign w:val="superscript"/>
          <w:lang w:eastAsia="en-US"/>
        </w:rPr>
        <w:footnoteReference w:id="1"/>
      </w:r>
      <w:r w:rsidRPr="00111FB3">
        <w:rPr>
          <w:rFonts w:eastAsia="Calibri" w:cs="Segoe UI"/>
          <w:szCs w:val="22"/>
          <w:lang w:eastAsia="en-US"/>
        </w:rPr>
        <w:t>, nebo jím ovládaná osoba vlastní podíl představující alespoň 25 % účasti společníka v obchodní společnosti.</w:t>
      </w:r>
    </w:p>
    <w:p w14:paraId="31199191" w14:textId="77777777" w:rsidR="0086699A" w:rsidRPr="00111FB3" w:rsidRDefault="0086699A" w:rsidP="0086699A">
      <w:pPr>
        <w:spacing w:after="120" w:line="259" w:lineRule="auto"/>
        <w:rPr>
          <w:rFonts w:eastAsia="Calibri" w:cs="Segoe UI"/>
          <w:sz w:val="22"/>
          <w:szCs w:val="22"/>
          <w:lang w:eastAsia="en-US"/>
        </w:rPr>
      </w:pPr>
    </w:p>
    <w:p w14:paraId="3CF24842" w14:textId="77777777" w:rsidR="0086699A" w:rsidRPr="00111FB3" w:rsidRDefault="0086699A" w:rsidP="0086699A">
      <w:pPr>
        <w:tabs>
          <w:tab w:val="left" w:pos="6255"/>
        </w:tabs>
        <w:spacing w:before="1080" w:after="120" w:line="259" w:lineRule="auto"/>
        <w:rPr>
          <w:rFonts w:eastAsia="Calibri" w:cs="Segoe UI"/>
          <w:sz w:val="22"/>
          <w:szCs w:val="22"/>
          <w:lang w:eastAsia="en-US"/>
        </w:rPr>
      </w:pPr>
      <w:r w:rsidRPr="00111FB3">
        <w:rPr>
          <w:rFonts w:eastAsia="Calibri" w:cs="Segoe UI"/>
          <w:sz w:val="22"/>
          <w:szCs w:val="22"/>
          <w:lang w:eastAsia="en-US"/>
        </w:rPr>
        <w:t>……………………………………………</w:t>
      </w:r>
      <w:r>
        <w:rPr>
          <w:rFonts w:eastAsia="Calibri" w:cs="Segoe UI"/>
          <w:sz w:val="22"/>
          <w:szCs w:val="22"/>
          <w:lang w:eastAsia="en-US"/>
        </w:rPr>
        <w:t>…………………………………….</w:t>
      </w:r>
      <w:r>
        <w:rPr>
          <w:rFonts w:eastAsia="Calibri" w:cs="Segoe UI"/>
          <w:sz w:val="22"/>
          <w:szCs w:val="22"/>
          <w:lang w:eastAsia="en-US"/>
        </w:rPr>
        <w:tab/>
      </w:r>
    </w:p>
    <w:p w14:paraId="35CAEAFD" w14:textId="5FC9AD91" w:rsidR="0086699A" w:rsidRDefault="0086699A" w:rsidP="0086699A">
      <w:pPr>
        <w:spacing w:after="120" w:line="259" w:lineRule="auto"/>
        <w:rPr>
          <w:rFonts w:eastAsia="Calibri" w:cs="Segoe UI"/>
          <w:b/>
          <w:szCs w:val="22"/>
          <w:lang w:eastAsia="en-US"/>
        </w:rPr>
      </w:pPr>
      <w:r>
        <w:rPr>
          <w:rFonts w:eastAsia="Calibri" w:cs="Segoe UI"/>
          <w:b/>
          <w:szCs w:val="22"/>
          <w:lang w:eastAsia="en-US"/>
        </w:rPr>
        <w:t>Datum a p</w:t>
      </w:r>
      <w:r w:rsidRPr="00AB600A">
        <w:rPr>
          <w:rFonts w:eastAsia="Calibri" w:cs="Segoe UI"/>
          <w:b/>
          <w:szCs w:val="22"/>
          <w:lang w:eastAsia="en-US"/>
        </w:rPr>
        <w:t>odpis osoby oprávněné jednat za dodavatele</w:t>
      </w:r>
    </w:p>
    <w:p w14:paraId="6772AD6D" w14:textId="77777777" w:rsidR="004E4394" w:rsidRDefault="004E4394" w:rsidP="004E4394">
      <w:pPr>
        <w:tabs>
          <w:tab w:val="left" w:pos="3090"/>
        </w:tabs>
        <w:rPr>
          <w:rFonts w:cs="Segoe UI"/>
          <w:sz w:val="16"/>
        </w:rPr>
      </w:pPr>
    </w:p>
    <w:p w14:paraId="357419BF" w14:textId="0B72A8FE" w:rsidR="004E4394" w:rsidRPr="00E8566D" w:rsidRDefault="004E4394" w:rsidP="004E4394">
      <w:pPr>
        <w:pStyle w:val="Nadpishlavn"/>
        <w:spacing w:before="360"/>
        <w:jc w:val="both"/>
      </w:pPr>
      <w:r w:rsidRPr="007C46B8">
        <w:rPr>
          <w:rFonts w:cs="Segoe UI"/>
          <w:spacing w:val="-16"/>
        </w:rPr>
        <w:t xml:space="preserve">Příloha č. </w:t>
      </w:r>
      <w:r>
        <w:rPr>
          <w:rFonts w:cs="Segoe UI"/>
          <w:spacing w:val="-16"/>
        </w:rPr>
        <w:t>3</w:t>
      </w:r>
      <w:r w:rsidRPr="007C46B8">
        <w:rPr>
          <w:rFonts w:cs="Segoe UI"/>
          <w:spacing w:val="-16"/>
        </w:rPr>
        <w:t xml:space="preserve"> – </w:t>
      </w:r>
      <w:r>
        <w:t>Čestné prohlášení O NEVYUŽITÍ PODDODAVATELŮ</w:t>
      </w:r>
    </w:p>
    <w:p w14:paraId="420C847C" w14:textId="77777777" w:rsidR="004E4394" w:rsidRPr="00844A11" w:rsidRDefault="004E4394" w:rsidP="004E4394">
      <w:pPr>
        <w:pStyle w:val="Bezmezer"/>
        <w:pBdr>
          <w:bottom w:val="single" w:sz="4" w:space="1" w:color="auto"/>
        </w:pBdr>
        <w:spacing w:before="360" w:after="60"/>
        <w:rPr>
          <w:b/>
        </w:rPr>
      </w:pPr>
      <w:r w:rsidRPr="00844A11">
        <w:rPr>
          <w:b/>
        </w:rPr>
        <w:t>Název zakázky:</w:t>
      </w:r>
    </w:p>
    <w:p w14:paraId="7543698D" w14:textId="77777777" w:rsidR="004E4394" w:rsidRPr="004C6BA2" w:rsidRDefault="004E4394" w:rsidP="004E4394">
      <w:pPr>
        <w:pStyle w:val="Podnadpis"/>
        <w:rPr>
          <w:b/>
          <w:caps/>
        </w:rPr>
      </w:pPr>
      <w:r w:rsidRPr="00B01A2D">
        <w:t>Údržba a úpravy ekonomického SW Řízení akcí</w:t>
      </w:r>
    </w:p>
    <w:p w14:paraId="363544A1" w14:textId="77777777" w:rsidR="004E4394" w:rsidRDefault="004E4394" w:rsidP="004E4394">
      <w:pPr>
        <w:pBdr>
          <w:bottom w:val="single" w:sz="8" w:space="1" w:color="73767D"/>
        </w:pBdr>
        <w:spacing w:before="120" w:after="60"/>
        <w:rPr>
          <w:rFonts w:eastAsia="Calibri"/>
          <w:b/>
          <w:szCs w:val="22"/>
          <w:lang w:eastAsia="en-US"/>
        </w:rPr>
      </w:pPr>
    </w:p>
    <w:p w14:paraId="34969873" w14:textId="77777777" w:rsidR="004E4394" w:rsidRPr="00111FB3" w:rsidRDefault="004E4394" w:rsidP="004E4394">
      <w:pPr>
        <w:pBdr>
          <w:bottom w:val="single" w:sz="8" w:space="1" w:color="73767D"/>
        </w:pBdr>
        <w:spacing w:before="120" w:after="60"/>
        <w:rPr>
          <w:rFonts w:eastAsia="Calibri"/>
          <w:b/>
          <w:szCs w:val="22"/>
          <w:lang w:eastAsia="en-US"/>
        </w:rPr>
      </w:pPr>
      <w:r w:rsidRPr="00111FB3">
        <w:rPr>
          <w:rFonts w:eastAsia="Calibri"/>
          <w:b/>
          <w:szCs w:val="22"/>
          <w:lang w:eastAsia="en-US"/>
        </w:rPr>
        <w:t>Identifikační údaje dodavatele:</w:t>
      </w:r>
    </w:p>
    <w:tbl>
      <w:tblPr>
        <w:tblStyle w:val="Mkatabulky3"/>
        <w:tblW w:w="0" w:type="auto"/>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3828"/>
        <w:gridCol w:w="5271"/>
      </w:tblGrid>
      <w:tr w:rsidR="004E4394" w:rsidRPr="00111FB3" w14:paraId="7180C808" w14:textId="77777777" w:rsidTr="00C64591">
        <w:trPr>
          <w:trHeight w:val="353"/>
        </w:trPr>
        <w:tc>
          <w:tcPr>
            <w:tcW w:w="3828" w:type="dxa"/>
            <w:vAlign w:val="center"/>
          </w:tcPr>
          <w:p w14:paraId="106343F4" w14:textId="77777777" w:rsidR="004E4394" w:rsidRPr="00111FB3" w:rsidRDefault="004E4394" w:rsidP="00C64591">
            <w:pPr>
              <w:ind w:left="-108"/>
            </w:pPr>
            <w:r w:rsidRPr="00111FB3">
              <w:t>Obchodní firma:</w:t>
            </w:r>
          </w:p>
        </w:tc>
        <w:tc>
          <w:tcPr>
            <w:tcW w:w="5271" w:type="dxa"/>
            <w:vAlign w:val="center"/>
          </w:tcPr>
          <w:p w14:paraId="4B32A8C1" w14:textId="77777777" w:rsidR="004E4394" w:rsidRPr="009E6AB0" w:rsidRDefault="004E4394" w:rsidP="00C64591">
            <w:pPr>
              <w:rPr>
                <w:rFonts w:cs="Segoe UI"/>
              </w:rPr>
            </w:pPr>
            <w:r w:rsidRPr="009E6AB0">
              <w:rPr>
                <w:rFonts w:cs="Segoe UI"/>
              </w:rPr>
              <w:t>VUSTE-APIS, s.r.o.</w:t>
            </w:r>
          </w:p>
        </w:tc>
      </w:tr>
      <w:tr w:rsidR="004E4394" w:rsidRPr="00111FB3" w14:paraId="5A2A014B" w14:textId="77777777" w:rsidTr="00C64591">
        <w:trPr>
          <w:trHeight w:val="353"/>
        </w:trPr>
        <w:tc>
          <w:tcPr>
            <w:tcW w:w="3828" w:type="dxa"/>
            <w:vAlign w:val="center"/>
          </w:tcPr>
          <w:p w14:paraId="7486C587" w14:textId="77777777" w:rsidR="004E4394" w:rsidRPr="00111FB3" w:rsidRDefault="004E4394" w:rsidP="00C64591">
            <w:pPr>
              <w:ind w:left="-108"/>
            </w:pPr>
            <w:r w:rsidRPr="00111FB3">
              <w:t>Sídlo:</w:t>
            </w:r>
          </w:p>
        </w:tc>
        <w:tc>
          <w:tcPr>
            <w:tcW w:w="5271" w:type="dxa"/>
          </w:tcPr>
          <w:p w14:paraId="7154B829" w14:textId="77777777" w:rsidR="004E4394" w:rsidRPr="009E6AB0" w:rsidRDefault="004E4394" w:rsidP="00C64591">
            <w:pPr>
              <w:rPr>
                <w:rFonts w:cs="Segoe UI"/>
              </w:rPr>
            </w:pPr>
            <w:r w:rsidRPr="009E6AB0">
              <w:rPr>
                <w:rFonts w:cs="Segoe UI"/>
              </w:rPr>
              <w:t>Velflíkova 1428/4, 160 00 Praha 6 – Dejvice</w:t>
            </w:r>
          </w:p>
        </w:tc>
      </w:tr>
      <w:tr w:rsidR="004E4394" w:rsidRPr="00111FB3" w14:paraId="554DAA55" w14:textId="77777777" w:rsidTr="00C64591">
        <w:trPr>
          <w:trHeight w:val="353"/>
        </w:trPr>
        <w:tc>
          <w:tcPr>
            <w:tcW w:w="3828" w:type="dxa"/>
            <w:vAlign w:val="center"/>
          </w:tcPr>
          <w:p w14:paraId="18807297" w14:textId="77777777" w:rsidR="004E4394" w:rsidRPr="00111FB3" w:rsidRDefault="004E4394" w:rsidP="00C64591">
            <w:pPr>
              <w:ind w:left="-108"/>
            </w:pPr>
            <w:r w:rsidRPr="00111FB3">
              <w:t>IČO:</w:t>
            </w:r>
          </w:p>
        </w:tc>
        <w:tc>
          <w:tcPr>
            <w:tcW w:w="5271" w:type="dxa"/>
          </w:tcPr>
          <w:p w14:paraId="12B8C441" w14:textId="77777777" w:rsidR="004E4394" w:rsidRPr="009E6AB0" w:rsidRDefault="004E4394" w:rsidP="00C64591">
            <w:pPr>
              <w:rPr>
                <w:rFonts w:cs="Segoe UI"/>
              </w:rPr>
            </w:pPr>
            <w:r w:rsidRPr="009E6AB0">
              <w:rPr>
                <w:rFonts w:cs="Segoe UI"/>
              </w:rPr>
              <w:t>48108219</w:t>
            </w:r>
          </w:p>
        </w:tc>
      </w:tr>
      <w:tr w:rsidR="004E4394" w:rsidRPr="00111FB3" w14:paraId="367E5B3E" w14:textId="77777777" w:rsidTr="00C64591">
        <w:trPr>
          <w:trHeight w:val="353"/>
        </w:trPr>
        <w:tc>
          <w:tcPr>
            <w:tcW w:w="3828" w:type="dxa"/>
            <w:vAlign w:val="center"/>
          </w:tcPr>
          <w:p w14:paraId="1F8C6BFA" w14:textId="77777777" w:rsidR="004E4394" w:rsidRPr="00111FB3" w:rsidRDefault="004E4394" w:rsidP="00C64591">
            <w:pPr>
              <w:ind w:left="-108"/>
            </w:pPr>
            <w:r w:rsidRPr="00111FB3">
              <w:t>Právní forma:</w:t>
            </w:r>
          </w:p>
        </w:tc>
        <w:tc>
          <w:tcPr>
            <w:tcW w:w="5271" w:type="dxa"/>
          </w:tcPr>
          <w:p w14:paraId="69171B47" w14:textId="77777777" w:rsidR="004E4394" w:rsidRPr="00276DA1" w:rsidRDefault="004E4394" w:rsidP="00C64591">
            <w:pPr>
              <w:rPr>
                <w:rFonts w:cs="Segoe UI"/>
              </w:rPr>
            </w:pPr>
            <w:r w:rsidRPr="00276DA1">
              <w:rPr>
                <w:rFonts w:cs="Segoe UI"/>
              </w:rPr>
              <w:t>společnost s ručením omezeným</w:t>
            </w:r>
          </w:p>
        </w:tc>
      </w:tr>
    </w:tbl>
    <w:p w14:paraId="287F3B4E" w14:textId="77777777" w:rsidR="004E4394" w:rsidRDefault="004E4394" w:rsidP="004E4394">
      <w:pPr>
        <w:pStyle w:val="Normlnweb"/>
        <w:spacing w:before="0"/>
      </w:pPr>
    </w:p>
    <w:p w14:paraId="3412FAC0" w14:textId="05B0A1AE" w:rsidR="004E4394" w:rsidRPr="00111FB3" w:rsidRDefault="004E4394" w:rsidP="004E4394">
      <w:pPr>
        <w:spacing w:after="240"/>
        <w:jc w:val="both"/>
        <w:rPr>
          <w:rFonts w:eastAsia="Calibri" w:cs="Segoe UI"/>
          <w:sz w:val="22"/>
          <w:szCs w:val="22"/>
          <w:lang w:eastAsia="en-US"/>
        </w:rPr>
      </w:pPr>
      <w:r w:rsidRPr="00111FB3">
        <w:rPr>
          <w:rFonts w:eastAsia="Calibri" w:cs="Segoe UI"/>
          <w:szCs w:val="22"/>
          <w:lang w:eastAsia="en-US"/>
        </w:rPr>
        <w:t xml:space="preserve">Dodavatel tímto prohlašuje, </w:t>
      </w:r>
      <w:r w:rsidR="0067240F">
        <w:t>že při realizaci služeb pro Objednatele podle čl. 1.2 Smlouvy nevyužije žádného poddodavatele.</w:t>
      </w:r>
    </w:p>
    <w:p w14:paraId="704786D3" w14:textId="77777777" w:rsidR="004E4394" w:rsidRPr="00111FB3" w:rsidRDefault="004E4394" w:rsidP="004E4394">
      <w:pPr>
        <w:spacing w:after="120" w:line="259" w:lineRule="auto"/>
        <w:rPr>
          <w:rFonts w:eastAsia="Calibri" w:cs="Segoe UI"/>
          <w:sz w:val="22"/>
          <w:szCs w:val="22"/>
          <w:lang w:eastAsia="en-US"/>
        </w:rPr>
      </w:pPr>
    </w:p>
    <w:p w14:paraId="030C4A16" w14:textId="77777777" w:rsidR="004E4394" w:rsidRPr="00111FB3" w:rsidRDefault="004E4394" w:rsidP="004E4394">
      <w:pPr>
        <w:tabs>
          <w:tab w:val="left" w:pos="6255"/>
        </w:tabs>
        <w:spacing w:before="1080" w:after="120" w:line="259" w:lineRule="auto"/>
        <w:rPr>
          <w:rFonts w:eastAsia="Calibri" w:cs="Segoe UI"/>
          <w:sz w:val="22"/>
          <w:szCs w:val="22"/>
          <w:lang w:eastAsia="en-US"/>
        </w:rPr>
      </w:pPr>
      <w:r w:rsidRPr="00111FB3">
        <w:rPr>
          <w:rFonts w:eastAsia="Calibri" w:cs="Segoe UI"/>
          <w:sz w:val="22"/>
          <w:szCs w:val="22"/>
          <w:lang w:eastAsia="en-US"/>
        </w:rPr>
        <w:t>……………………………………………</w:t>
      </w:r>
      <w:r>
        <w:rPr>
          <w:rFonts w:eastAsia="Calibri" w:cs="Segoe UI"/>
          <w:sz w:val="22"/>
          <w:szCs w:val="22"/>
          <w:lang w:eastAsia="en-US"/>
        </w:rPr>
        <w:t>…………………………………….</w:t>
      </w:r>
      <w:r>
        <w:rPr>
          <w:rFonts w:eastAsia="Calibri" w:cs="Segoe UI"/>
          <w:sz w:val="22"/>
          <w:szCs w:val="22"/>
          <w:lang w:eastAsia="en-US"/>
        </w:rPr>
        <w:tab/>
      </w:r>
    </w:p>
    <w:p w14:paraId="0982E42B" w14:textId="77777777" w:rsidR="004E4394" w:rsidRPr="00AB600A" w:rsidRDefault="004E4394" w:rsidP="004E4394">
      <w:pPr>
        <w:spacing w:after="120" w:line="259" w:lineRule="auto"/>
        <w:rPr>
          <w:rFonts w:cs="Segoe UI"/>
          <w:color w:val="000000"/>
          <w:sz w:val="16"/>
        </w:rPr>
      </w:pPr>
      <w:r>
        <w:rPr>
          <w:rFonts w:eastAsia="Calibri" w:cs="Segoe UI"/>
          <w:b/>
          <w:szCs w:val="22"/>
          <w:lang w:eastAsia="en-US"/>
        </w:rPr>
        <w:t>Datum a p</w:t>
      </w:r>
      <w:r w:rsidRPr="00AB600A">
        <w:rPr>
          <w:rFonts w:eastAsia="Calibri" w:cs="Segoe UI"/>
          <w:b/>
          <w:szCs w:val="22"/>
          <w:lang w:eastAsia="en-US"/>
        </w:rPr>
        <w:t>odpis osoby oprávněné jednat za dodavatele</w:t>
      </w:r>
    </w:p>
    <w:p w14:paraId="57148484" w14:textId="67F0E279" w:rsidR="005B16DD" w:rsidRDefault="004E4394" w:rsidP="004E4394">
      <w:pPr>
        <w:tabs>
          <w:tab w:val="left" w:pos="3090"/>
        </w:tabs>
        <w:rPr>
          <w:rFonts w:cs="Segoe UI"/>
          <w:sz w:val="16"/>
        </w:rPr>
      </w:pPr>
      <w:r>
        <w:rPr>
          <w:rFonts w:cs="Segoe UI"/>
          <w:sz w:val="16"/>
        </w:rPr>
        <w:tab/>
      </w:r>
    </w:p>
    <w:p w14:paraId="1F2D2562" w14:textId="77777777" w:rsidR="005B16DD" w:rsidRDefault="005B16DD">
      <w:pPr>
        <w:spacing w:after="200" w:line="276" w:lineRule="auto"/>
        <w:rPr>
          <w:rFonts w:cs="Segoe UI"/>
          <w:sz w:val="16"/>
        </w:rPr>
      </w:pPr>
      <w:r>
        <w:rPr>
          <w:rFonts w:cs="Segoe UI"/>
          <w:sz w:val="16"/>
        </w:rPr>
        <w:br w:type="page"/>
      </w:r>
    </w:p>
    <w:p w14:paraId="39B99D26" w14:textId="01EA6C0F" w:rsidR="005B16DD" w:rsidRDefault="005B16DD" w:rsidP="005B16DD">
      <w:pPr>
        <w:pStyle w:val="Nadpishlavn"/>
        <w:spacing w:before="360"/>
        <w:jc w:val="both"/>
      </w:pPr>
      <w:r w:rsidRPr="007C46B8">
        <w:rPr>
          <w:rFonts w:cs="Segoe UI"/>
          <w:spacing w:val="-16"/>
        </w:rPr>
        <w:t xml:space="preserve">Příloha č. </w:t>
      </w:r>
      <w:r>
        <w:rPr>
          <w:rFonts w:cs="Segoe UI"/>
          <w:spacing w:val="-16"/>
        </w:rPr>
        <w:t>4</w:t>
      </w:r>
      <w:r w:rsidRPr="007C46B8">
        <w:rPr>
          <w:rFonts w:cs="Segoe UI"/>
          <w:spacing w:val="-16"/>
        </w:rPr>
        <w:t xml:space="preserve"> – </w:t>
      </w:r>
      <w:r>
        <w:t>Harmonogram poskytování služeb</w:t>
      </w:r>
      <w:r w:rsidR="008D1B06">
        <w:t xml:space="preserve"> dle čl. 1.2.2 smlouvy</w:t>
      </w:r>
    </w:p>
    <w:p w14:paraId="55DE9343" w14:textId="77777777" w:rsidR="005B16DD" w:rsidRPr="005B16DD" w:rsidRDefault="005B16DD" w:rsidP="005B16DD">
      <w:pPr>
        <w:kinsoku w:val="0"/>
        <w:overflowPunct w:val="0"/>
        <w:autoSpaceDE w:val="0"/>
        <w:autoSpaceDN w:val="0"/>
        <w:adjustRightInd w:val="0"/>
        <w:spacing w:line="240" w:lineRule="auto"/>
        <w:rPr>
          <w:rFonts w:ascii="Times New Roman" w:eastAsiaTheme="minorHAnsi" w:hAnsi="Times New Roman"/>
          <w:szCs w:val="20"/>
          <w:lang w:eastAsia="en-US"/>
        </w:rPr>
      </w:pPr>
    </w:p>
    <w:p w14:paraId="56C4499B" w14:textId="77777777" w:rsidR="005B16DD" w:rsidRPr="005B16DD" w:rsidRDefault="005B16DD" w:rsidP="005B16DD">
      <w:pPr>
        <w:kinsoku w:val="0"/>
        <w:overflowPunct w:val="0"/>
        <w:autoSpaceDE w:val="0"/>
        <w:autoSpaceDN w:val="0"/>
        <w:adjustRightInd w:val="0"/>
        <w:spacing w:line="240" w:lineRule="auto"/>
        <w:rPr>
          <w:rFonts w:ascii="Times New Roman" w:eastAsiaTheme="minorHAnsi" w:hAnsi="Times New Roman"/>
          <w:szCs w:val="20"/>
          <w:lang w:eastAsia="en-US"/>
        </w:rPr>
      </w:pPr>
    </w:p>
    <w:p w14:paraId="43489819" w14:textId="77777777" w:rsidR="005B16DD" w:rsidRPr="005B16DD" w:rsidRDefault="005B16DD" w:rsidP="005B16DD">
      <w:pPr>
        <w:kinsoku w:val="0"/>
        <w:overflowPunct w:val="0"/>
        <w:autoSpaceDE w:val="0"/>
        <w:autoSpaceDN w:val="0"/>
        <w:adjustRightInd w:val="0"/>
        <w:spacing w:line="240" w:lineRule="auto"/>
        <w:rPr>
          <w:rFonts w:ascii="Times New Roman" w:eastAsiaTheme="minorHAnsi" w:hAnsi="Times New Roman"/>
          <w:szCs w:val="20"/>
          <w:lang w:eastAsia="en-US"/>
        </w:rPr>
      </w:pPr>
    </w:p>
    <w:p w14:paraId="52FFDA49" w14:textId="77777777" w:rsidR="005B16DD" w:rsidRPr="005B16DD" w:rsidRDefault="005B16DD" w:rsidP="005B16DD">
      <w:pPr>
        <w:kinsoku w:val="0"/>
        <w:overflowPunct w:val="0"/>
        <w:autoSpaceDE w:val="0"/>
        <w:autoSpaceDN w:val="0"/>
        <w:adjustRightInd w:val="0"/>
        <w:spacing w:line="240" w:lineRule="auto"/>
        <w:rPr>
          <w:rFonts w:ascii="Times New Roman" w:eastAsiaTheme="minorHAnsi" w:hAnsi="Times New Roman"/>
          <w:szCs w:val="20"/>
          <w:lang w:eastAsia="en-US"/>
        </w:rPr>
      </w:pPr>
    </w:p>
    <w:p w14:paraId="3C660F3E" w14:textId="2F463971" w:rsidR="005B16DD" w:rsidRPr="005B16DD" w:rsidRDefault="008D1B06" w:rsidP="005B16DD">
      <w:pPr>
        <w:kinsoku w:val="0"/>
        <w:overflowPunct w:val="0"/>
        <w:autoSpaceDE w:val="0"/>
        <w:autoSpaceDN w:val="0"/>
        <w:adjustRightInd w:val="0"/>
        <w:spacing w:before="11" w:line="240" w:lineRule="auto"/>
        <w:rPr>
          <w:rFonts w:ascii="Times New Roman" w:eastAsiaTheme="minorHAnsi" w:hAnsi="Times New Roman"/>
          <w:sz w:val="26"/>
          <w:szCs w:val="26"/>
          <w:lang w:eastAsia="en-US"/>
        </w:rPr>
      </w:pPr>
      <w:bookmarkStart w:id="1" w:name="_bookmark2"/>
      <w:bookmarkEnd w:id="1"/>
      <w:r w:rsidRPr="008D1B06">
        <w:rPr>
          <w:rFonts w:eastAsiaTheme="minorHAnsi"/>
          <w:noProof/>
        </w:rPr>
        <w:drawing>
          <wp:inline distT="0" distB="0" distL="0" distR="0" wp14:anchorId="31308797" wp14:editId="4EB84960">
            <wp:extent cx="5759450" cy="1629380"/>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629380"/>
                    </a:xfrm>
                    <a:prstGeom prst="rect">
                      <a:avLst/>
                    </a:prstGeom>
                    <a:noFill/>
                    <a:ln>
                      <a:noFill/>
                    </a:ln>
                  </pic:spPr>
                </pic:pic>
              </a:graphicData>
            </a:graphic>
          </wp:inline>
        </w:drawing>
      </w:r>
    </w:p>
    <w:p w14:paraId="1F997385" w14:textId="77777777" w:rsidR="005B16DD" w:rsidRPr="00E8566D" w:rsidRDefault="005B16DD" w:rsidP="005B16DD">
      <w:pPr>
        <w:pStyle w:val="Nadpishlavn"/>
        <w:spacing w:before="360"/>
        <w:jc w:val="both"/>
      </w:pPr>
      <w:bookmarkStart w:id="2" w:name="_bookmark0"/>
      <w:bookmarkStart w:id="3" w:name="_bookmark1"/>
      <w:bookmarkEnd w:id="2"/>
      <w:bookmarkEnd w:id="3"/>
    </w:p>
    <w:p w14:paraId="190174F7" w14:textId="77777777" w:rsidR="004E4394" w:rsidRPr="004E4394" w:rsidRDefault="004E4394" w:rsidP="004E4394">
      <w:pPr>
        <w:tabs>
          <w:tab w:val="left" w:pos="3090"/>
        </w:tabs>
        <w:rPr>
          <w:rFonts w:cs="Segoe UI"/>
          <w:sz w:val="16"/>
        </w:rPr>
      </w:pPr>
    </w:p>
    <w:sectPr w:rsidR="004E4394" w:rsidRPr="004E4394" w:rsidSect="00273F8D">
      <w:headerReference w:type="default" r:id="rId10"/>
      <w:footerReference w:type="default" r:id="rId11"/>
      <w:headerReference w:type="first" r:id="rId12"/>
      <w:footerReference w:type="first" r:id="rId13"/>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82F27" w14:textId="77777777" w:rsidR="00E5135B" w:rsidRDefault="00E5135B" w:rsidP="002919BE">
      <w:r>
        <w:separator/>
      </w:r>
    </w:p>
  </w:endnote>
  <w:endnote w:type="continuationSeparator" w:id="0">
    <w:p w14:paraId="485C5F90" w14:textId="77777777" w:rsidR="00E5135B" w:rsidRDefault="00E5135B"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JohnSans Text Pro">
    <w:altName w:val="Calibri"/>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5AD2D6BA" w:rsidR="005D4735" w:rsidRDefault="00641703">
    <w:pPr>
      <w:pStyle w:val="Zpat"/>
    </w:pPr>
    <w:r w:rsidRPr="00641703">
      <w:rPr>
        <w:rFonts w:cs="Segoe UI"/>
        <w:noProof/>
      </w:rPr>
      <w:t xml:space="preserve">Smlouva o údržbě a úpravách ekonomického </w:t>
    </w:r>
    <w:r>
      <w:rPr>
        <w:rFonts w:cs="Segoe UI"/>
        <w:noProof/>
      </w:rPr>
      <w:t xml:space="preserve">SW </w:t>
    </w:r>
    <w:r w:rsidRPr="00641703">
      <w:rPr>
        <w:rFonts w:cs="Segoe UI"/>
        <w:noProof/>
      </w:rPr>
      <w:t>řízení akcí</w:t>
    </w:r>
    <w:r w:rsidR="005D4735">
      <w:t xml:space="preserve"> </w:t>
    </w:r>
    <w:r w:rsidR="005D473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3500FF30" w:rsidR="005D4735" w:rsidRPr="00983C4B" w:rsidRDefault="005D473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54E25">
                            <w:rPr>
                              <w:rStyle w:val="slostrnky"/>
                              <w:rFonts w:cs="Segoe UI"/>
                              <w:noProof/>
                              <w:sz w:val="16"/>
                              <w:szCs w:val="16"/>
                            </w:rPr>
                            <w:t>17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54E25">
                            <w:rPr>
                              <w:rStyle w:val="slostrnky"/>
                              <w:rFonts w:cs="Segoe UI"/>
                              <w:noProof/>
                              <w:sz w:val="16"/>
                              <w:szCs w:val="16"/>
                            </w:rPr>
                            <w:t>17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3500FF30" w:rsidR="005D4735" w:rsidRPr="00983C4B" w:rsidRDefault="005D473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54E25">
                      <w:rPr>
                        <w:rStyle w:val="slostrnky"/>
                        <w:rFonts w:cs="Segoe UI"/>
                        <w:noProof/>
                        <w:sz w:val="16"/>
                        <w:szCs w:val="16"/>
                      </w:rPr>
                      <w:t>17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54E25">
                      <w:rPr>
                        <w:rStyle w:val="slostrnky"/>
                        <w:rFonts w:cs="Segoe UI"/>
                        <w:noProof/>
                        <w:sz w:val="16"/>
                        <w:szCs w:val="16"/>
                      </w:rPr>
                      <w:t>17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C417" w14:textId="12A7B67C" w:rsidR="005D4735" w:rsidRPr="00346E8C" w:rsidRDefault="005D4735" w:rsidP="0055454E">
    <w:pPr>
      <w:pStyle w:val="Zpat"/>
      <w:rPr>
        <w:rFonts w:cs="Segoe UI"/>
      </w:rPr>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6BB381D4" w:rsidR="005D4735" w:rsidRPr="00F02675" w:rsidRDefault="005D4735"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54E2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54E2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6BB381D4" w:rsidR="005D4735" w:rsidRPr="00F02675" w:rsidRDefault="005D4735"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54E2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54E2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Pr="00346E8C">
      <w:rPr>
        <w:rFonts w:cs="Segoe UI"/>
        <w:noProof/>
      </w:rPr>
      <w:t xml:space="preserve"> </w:t>
    </w:r>
    <w:r w:rsidR="00641703" w:rsidRPr="00641703">
      <w:rPr>
        <w:rFonts w:cs="Segoe UI"/>
        <w:noProof/>
      </w:rPr>
      <w:t xml:space="preserve">Smlouva o údržbě a úpravách ekonomického </w:t>
    </w:r>
    <w:r w:rsidR="00641703">
      <w:rPr>
        <w:rFonts w:cs="Segoe UI"/>
        <w:noProof/>
      </w:rPr>
      <w:t xml:space="preserve">SW </w:t>
    </w:r>
    <w:r w:rsidR="00641703" w:rsidRPr="00641703">
      <w:rPr>
        <w:rFonts w:cs="Segoe UI"/>
        <w:noProof/>
      </w:rPr>
      <w:t>řízení akcí</w:t>
    </w:r>
  </w:p>
  <w:p w14:paraId="70825C36" w14:textId="3935F383" w:rsidR="005D4735" w:rsidRDefault="005D47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0DB8" w14:textId="77777777" w:rsidR="00E5135B" w:rsidRDefault="00E5135B" w:rsidP="002919BE">
      <w:r>
        <w:separator/>
      </w:r>
    </w:p>
  </w:footnote>
  <w:footnote w:type="continuationSeparator" w:id="0">
    <w:p w14:paraId="7641BB69" w14:textId="77777777" w:rsidR="00E5135B" w:rsidRDefault="00E5135B" w:rsidP="002919BE">
      <w:r>
        <w:continuationSeparator/>
      </w:r>
    </w:p>
  </w:footnote>
  <w:footnote w:id="1">
    <w:p w14:paraId="44A5ABAD" w14:textId="77777777" w:rsidR="0086699A" w:rsidRPr="00AE2F81" w:rsidRDefault="0086699A" w:rsidP="0086699A">
      <w:pPr>
        <w:pStyle w:val="Textpoznpodarou"/>
        <w:jc w:val="both"/>
        <w:rPr>
          <w:rFonts w:cs="Segoe UI"/>
          <w:sz w:val="18"/>
          <w:szCs w:val="16"/>
        </w:rPr>
      </w:pPr>
      <w:r w:rsidRPr="00AE2F81">
        <w:rPr>
          <w:rStyle w:val="Znakapoznpodarou"/>
          <w:rFonts w:cs="Segoe UI"/>
          <w:sz w:val="18"/>
          <w:szCs w:val="16"/>
        </w:rPr>
        <w:footnoteRef/>
      </w:r>
      <w:r w:rsidRPr="00AE2F81">
        <w:rPr>
          <w:rFonts w:cs="Segoe UI"/>
          <w:sz w:val="18"/>
          <w:szCs w:val="16"/>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5D4735" w:rsidRDefault="005D4735" w:rsidP="00A63F70">
    <w:pPr>
      <w:pStyle w:val="Zhlav"/>
      <w:tabs>
        <w:tab w:val="clear" w:pos="4536"/>
        <w:tab w:val="clear" w:pos="9072"/>
        <w:tab w:val="left" w:pos="1970"/>
      </w:tabs>
    </w:pPr>
    <w:r>
      <w:rPr>
        <w:noProof/>
      </w:rPr>
      <w:tab/>
    </w:r>
  </w:p>
  <w:p w14:paraId="2F895D7D" w14:textId="77777777" w:rsidR="005D4735" w:rsidRDefault="005D47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5D4735" w:rsidRDefault="3CDE6AC8">
    <w:pPr>
      <w:pStyle w:val="Zhlav"/>
    </w:pPr>
    <w:r>
      <w:rPr>
        <w:noProof/>
      </w:rPr>
      <w:drawing>
        <wp:inline distT="0" distB="0" distL="0" distR="0" wp14:anchorId="66806D55" wp14:editId="78E56664">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2394000" cy="6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8A0C6F8"/>
    <w:lvl w:ilvl="0">
      <w:start w:val="1"/>
      <w:numFmt w:val="decimal"/>
      <w:pStyle w:val="slovanseznam3"/>
      <w:lvlText w:val="%1."/>
      <w:lvlJc w:val="left"/>
      <w:pPr>
        <w:tabs>
          <w:tab w:val="num" w:pos="926"/>
        </w:tabs>
        <w:ind w:left="926" w:hanging="360"/>
      </w:pPr>
    </w:lvl>
  </w:abstractNum>
  <w:abstractNum w:abstractNumId="1"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2" w15:restartNumberingAfterBreak="0">
    <w:nsid w:val="FFFFFF81"/>
    <w:multiLevelType w:val="singleLevel"/>
    <w:tmpl w:val="BE30D822"/>
    <w:lvl w:ilvl="0">
      <w:start w:val="1"/>
      <w:numFmt w:val="bullet"/>
      <w:pStyle w:val="Seznamsodrkami4"/>
      <w:lvlText w:val=""/>
      <w:lvlJc w:val="left"/>
      <w:pPr>
        <w:tabs>
          <w:tab w:val="num" w:pos="1209"/>
        </w:tabs>
        <w:ind w:left="1209" w:hanging="360"/>
      </w:pPr>
      <w:rPr>
        <w:rFonts w:ascii="Symbol" w:hAnsi="Symbol" w:hint="default"/>
      </w:rPr>
    </w:lvl>
  </w:abstractNum>
  <w:abstractNum w:abstractNumId="3"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3A1607D"/>
    <w:multiLevelType w:val="hybridMultilevel"/>
    <w:tmpl w:val="D578E798"/>
    <w:lvl w:ilvl="0" w:tplc="04050017">
      <w:start w:val="1"/>
      <w:numFmt w:val="lowerLetter"/>
      <w:lvlText w:val="%1)"/>
      <w:lvlJc w:val="left"/>
      <w:pPr>
        <w:ind w:left="1345" w:hanging="360"/>
      </w:pPr>
    </w:lvl>
    <w:lvl w:ilvl="1" w:tplc="04050019" w:tentative="1">
      <w:start w:val="1"/>
      <w:numFmt w:val="lowerLetter"/>
      <w:lvlText w:val="%2."/>
      <w:lvlJc w:val="left"/>
      <w:pPr>
        <w:ind w:left="2065" w:hanging="360"/>
      </w:pPr>
    </w:lvl>
    <w:lvl w:ilvl="2" w:tplc="0405001B" w:tentative="1">
      <w:start w:val="1"/>
      <w:numFmt w:val="lowerRoman"/>
      <w:lvlText w:val="%3."/>
      <w:lvlJc w:val="right"/>
      <w:pPr>
        <w:ind w:left="2785" w:hanging="180"/>
      </w:pPr>
    </w:lvl>
    <w:lvl w:ilvl="3" w:tplc="0405000F" w:tentative="1">
      <w:start w:val="1"/>
      <w:numFmt w:val="decimal"/>
      <w:lvlText w:val="%4."/>
      <w:lvlJc w:val="left"/>
      <w:pPr>
        <w:ind w:left="3505" w:hanging="360"/>
      </w:pPr>
    </w:lvl>
    <w:lvl w:ilvl="4" w:tplc="04050019" w:tentative="1">
      <w:start w:val="1"/>
      <w:numFmt w:val="lowerLetter"/>
      <w:lvlText w:val="%5."/>
      <w:lvlJc w:val="left"/>
      <w:pPr>
        <w:ind w:left="4225" w:hanging="360"/>
      </w:pPr>
    </w:lvl>
    <w:lvl w:ilvl="5" w:tplc="0405001B" w:tentative="1">
      <w:start w:val="1"/>
      <w:numFmt w:val="lowerRoman"/>
      <w:lvlText w:val="%6."/>
      <w:lvlJc w:val="right"/>
      <w:pPr>
        <w:ind w:left="4945" w:hanging="180"/>
      </w:pPr>
    </w:lvl>
    <w:lvl w:ilvl="6" w:tplc="0405000F" w:tentative="1">
      <w:start w:val="1"/>
      <w:numFmt w:val="decimal"/>
      <w:lvlText w:val="%7."/>
      <w:lvlJc w:val="left"/>
      <w:pPr>
        <w:ind w:left="5665" w:hanging="360"/>
      </w:pPr>
    </w:lvl>
    <w:lvl w:ilvl="7" w:tplc="04050019" w:tentative="1">
      <w:start w:val="1"/>
      <w:numFmt w:val="lowerLetter"/>
      <w:lvlText w:val="%8."/>
      <w:lvlJc w:val="left"/>
      <w:pPr>
        <w:ind w:left="6385" w:hanging="360"/>
      </w:pPr>
    </w:lvl>
    <w:lvl w:ilvl="8" w:tplc="0405001B" w:tentative="1">
      <w:start w:val="1"/>
      <w:numFmt w:val="lowerRoman"/>
      <w:lvlText w:val="%9."/>
      <w:lvlJc w:val="right"/>
      <w:pPr>
        <w:ind w:left="7105" w:hanging="180"/>
      </w:pPr>
    </w:lvl>
  </w:abstractNum>
  <w:abstractNum w:abstractNumId="5" w15:restartNumberingAfterBreak="0">
    <w:nsid w:val="05902557"/>
    <w:multiLevelType w:val="singleLevel"/>
    <w:tmpl w:val="62C2396E"/>
    <w:lvl w:ilvl="0">
      <w:start w:val="1"/>
      <w:numFmt w:val="bullet"/>
      <w:pStyle w:val="Seznamvnorm"/>
      <w:lvlText w:val="–"/>
      <w:lvlJc w:val="left"/>
      <w:pPr>
        <w:tabs>
          <w:tab w:val="num" w:pos="360"/>
        </w:tabs>
        <w:ind w:left="283" w:hanging="283"/>
      </w:pPr>
      <w:rPr>
        <w:rFonts w:ascii="Arial" w:hAnsi="Arial" w:hint="default"/>
      </w:rPr>
    </w:lvl>
  </w:abstractNum>
  <w:abstractNum w:abstractNumId="6"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0239F"/>
    <w:multiLevelType w:val="hybridMultilevel"/>
    <w:tmpl w:val="90AC8D5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7801AB5"/>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2048FE"/>
    <w:multiLevelType w:val="hybridMultilevel"/>
    <w:tmpl w:val="DC7E71C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FFC00B8"/>
    <w:multiLevelType w:val="hybridMultilevel"/>
    <w:tmpl w:val="862226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05622BD"/>
    <w:multiLevelType w:val="hybridMultilevel"/>
    <w:tmpl w:val="92FC350E"/>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5" w15:restartNumberingAfterBreak="0">
    <w:nsid w:val="41FA5B17"/>
    <w:multiLevelType w:val="hybridMultilevel"/>
    <w:tmpl w:val="BC9AED9A"/>
    <w:lvl w:ilvl="0" w:tplc="D50600DC">
      <w:start w:val="1"/>
      <w:numFmt w:val="lowerLetter"/>
      <w:lvlText w:val="%1)"/>
      <w:lvlJc w:val="left"/>
      <w:pPr>
        <w:ind w:left="1571" w:hanging="360"/>
      </w:pPr>
      <w:rPr>
        <w:rFonts w:hint="default"/>
        <w:sz w:val="20"/>
        <w:szCs w:val="20"/>
      </w:rPr>
    </w:lvl>
    <w:lvl w:ilvl="1" w:tplc="AEBACC9C">
      <w:start w:val="1"/>
      <w:numFmt w:val="lowerLetter"/>
      <w:pStyle w:val="cislovani15"/>
      <w:lvlText w:val="%2)"/>
      <w:lvlJc w:val="left"/>
      <w:pPr>
        <w:ind w:left="1353"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8680BDD"/>
    <w:multiLevelType w:val="hybridMultilevel"/>
    <w:tmpl w:val="B8E6F91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9AA4584"/>
    <w:multiLevelType w:val="hybridMultilevel"/>
    <w:tmpl w:val="7ADCD3A4"/>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E15334D"/>
    <w:multiLevelType w:val="multilevel"/>
    <w:tmpl w:val="DB6EA74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Segoe UI" w:hAnsi="Segoe UI" w:cs="Segoe UI" w:hint="default"/>
        <w:b w:val="0"/>
        <w:color w:val="auto"/>
        <w:sz w:val="20"/>
        <w:szCs w:val="20"/>
        <w:vertAlign w:val="baseline"/>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0D5FC7"/>
    <w:multiLevelType w:val="multilevel"/>
    <w:tmpl w:val="B1208DD2"/>
    <w:lvl w:ilvl="0">
      <w:start w:val="1"/>
      <w:numFmt w:val="decimal"/>
      <w:pStyle w:val="Nadpis1"/>
      <w:lvlText w:val="%1"/>
      <w:lvlJc w:val="left"/>
      <w:pPr>
        <w:tabs>
          <w:tab w:val="num" w:pos="567"/>
        </w:tabs>
        <w:ind w:left="567" w:hanging="567"/>
      </w:pPr>
      <w:rPr>
        <w:rFonts w:ascii="Segoe UI" w:hAnsi="Segoe UI" w:hint="default"/>
        <w:b/>
        <w:i w:val="0"/>
        <w:caps/>
        <w:sz w:val="24"/>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F063C25"/>
    <w:multiLevelType w:val="hybridMultilevel"/>
    <w:tmpl w:val="D61A638C"/>
    <w:lvl w:ilvl="0" w:tplc="04050001">
      <w:start w:val="1"/>
      <w:numFmt w:val="bullet"/>
      <w:lvlText w:val=""/>
      <w:lvlJc w:val="left"/>
      <w:pPr>
        <w:ind w:left="987" w:hanging="360"/>
      </w:pPr>
      <w:rPr>
        <w:rFonts w:ascii="Symbol" w:hAnsi="Symbol" w:hint="default"/>
      </w:rPr>
    </w:lvl>
    <w:lvl w:ilvl="1" w:tplc="04050003">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abstractNum w:abstractNumId="22" w15:restartNumberingAfterBreak="0">
    <w:nsid w:val="69FD5F8B"/>
    <w:multiLevelType w:val="hybridMultilevel"/>
    <w:tmpl w:val="50100A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BC2426E"/>
    <w:multiLevelType w:val="hybridMultilevel"/>
    <w:tmpl w:val="8F7CEF5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4" w15:restartNumberingAfterBreak="0">
    <w:nsid w:val="6CEB3277"/>
    <w:multiLevelType w:val="multilevel"/>
    <w:tmpl w:val="F61C5ACC"/>
    <w:lvl w:ilvl="0">
      <w:start w:val="8"/>
      <w:numFmt w:val="decimal"/>
      <w:lvlText w:val="%1"/>
      <w:lvlJc w:val="left"/>
      <w:pPr>
        <w:ind w:left="405" w:hanging="405"/>
      </w:pPr>
      <w:rPr>
        <w:rFonts w:hint="default"/>
      </w:rPr>
    </w:lvl>
    <w:lvl w:ilvl="1">
      <w:start w:val="1"/>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6ED770AD"/>
    <w:multiLevelType w:val="multilevel"/>
    <w:tmpl w:val="F5AA16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EC13B1"/>
    <w:multiLevelType w:val="multilevel"/>
    <w:tmpl w:val="54EC361C"/>
    <w:lvl w:ilvl="0">
      <w:start w:val="7"/>
      <w:numFmt w:val="decimal"/>
      <w:lvlText w:val="%1"/>
      <w:lvlJc w:val="left"/>
      <w:pPr>
        <w:ind w:left="405" w:hanging="405"/>
      </w:pPr>
      <w:rPr>
        <w:rFonts w:hint="default"/>
      </w:rPr>
    </w:lvl>
    <w:lvl w:ilvl="1">
      <w:start w:val="5"/>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3"/>
  </w:num>
  <w:num w:numId="2">
    <w:abstractNumId w:val="16"/>
  </w:num>
  <w:num w:numId="3">
    <w:abstractNumId w:val="6"/>
  </w:num>
  <w:num w:numId="4">
    <w:abstractNumId w:val="14"/>
  </w:num>
  <w:num w:numId="5">
    <w:abstractNumId w:val="7"/>
  </w:num>
  <w:num w:numId="6">
    <w:abstractNumId w:val="20"/>
  </w:num>
  <w:num w:numId="7">
    <w:abstractNumId w:val="9"/>
  </w:num>
  <w:num w:numId="8">
    <w:abstractNumId w:val="1"/>
  </w:num>
  <w:num w:numId="9">
    <w:abstractNumId w:val="5"/>
  </w:num>
  <w:num w:numId="10">
    <w:abstractNumId w:val="19"/>
  </w:num>
  <w:num w:numId="11">
    <w:abstractNumId w:val="2"/>
  </w:num>
  <w:num w:numId="12">
    <w:abstractNumId w:val="8"/>
  </w:num>
  <w:num w:numId="13">
    <w:abstractNumId w:val="11"/>
  </w:num>
  <w:num w:numId="14">
    <w:abstractNumId w:val="18"/>
  </w:num>
  <w:num w:numId="15">
    <w:abstractNumId w:val="15"/>
  </w:num>
  <w:num w:numId="16">
    <w:abstractNumId w:val="23"/>
  </w:num>
  <w:num w:numId="17">
    <w:abstractNumId w:val="25"/>
  </w:num>
  <w:num w:numId="18">
    <w:abstractNumId w:val="21"/>
  </w:num>
  <w:num w:numId="19">
    <w:abstractNumId w:val="22"/>
  </w:num>
  <w:num w:numId="20">
    <w:abstractNumId w:val="4"/>
  </w:num>
  <w:num w:numId="21">
    <w:abstractNumId w:val="10"/>
  </w:num>
  <w:num w:numId="22">
    <w:abstractNumId w:val="0"/>
  </w:num>
  <w:num w:numId="23">
    <w:abstractNumId w:val="17"/>
  </w:num>
  <w:num w:numId="24">
    <w:abstractNumId w:val="12"/>
  </w:num>
  <w:num w:numId="25">
    <w:abstractNumId w:val="13"/>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6"/>
  </w:num>
  <w:num w:numId="3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1710"/>
    <w:rsid w:val="00001D55"/>
    <w:rsid w:val="00003A9E"/>
    <w:rsid w:val="00010F73"/>
    <w:rsid w:val="0001142E"/>
    <w:rsid w:val="00012F69"/>
    <w:rsid w:val="00016ADA"/>
    <w:rsid w:val="0001721C"/>
    <w:rsid w:val="000174FC"/>
    <w:rsid w:val="00017D17"/>
    <w:rsid w:val="00020E98"/>
    <w:rsid w:val="000217DD"/>
    <w:rsid w:val="0002215C"/>
    <w:rsid w:val="000224AC"/>
    <w:rsid w:val="00022A3B"/>
    <w:rsid w:val="00031B1A"/>
    <w:rsid w:val="00031E6C"/>
    <w:rsid w:val="000368D0"/>
    <w:rsid w:val="00037038"/>
    <w:rsid w:val="000371AB"/>
    <w:rsid w:val="00037945"/>
    <w:rsid w:val="00037CA2"/>
    <w:rsid w:val="00041EA8"/>
    <w:rsid w:val="00043B0D"/>
    <w:rsid w:val="00043FEA"/>
    <w:rsid w:val="000459BE"/>
    <w:rsid w:val="00046C50"/>
    <w:rsid w:val="00051D1F"/>
    <w:rsid w:val="00054EB9"/>
    <w:rsid w:val="00057275"/>
    <w:rsid w:val="000572A0"/>
    <w:rsid w:val="00060D8D"/>
    <w:rsid w:val="000622C7"/>
    <w:rsid w:val="0006484C"/>
    <w:rsid w:val="00065A45"/>
    <w:rsid w:val="00070DBE"/>
    <w:rsid w:val="00074D88"/>
    <w:rsid w:val="00077A4E"/>
    <w:rsid w:val="00080610"/>
    <w:rsid w:val="00084D8D"/>
    <w:rsid w:val="00087E80"/>
    <w:rsid w:val="000936EA"/>
    <w:rsid w:val="00094764"/>
    <w:rsid w:val="00094E6B"/>
    <w:rsid w:val="00096484"/>
    <w:rsid w:val="00096C5C"/>
    <w:rsid w:val="00096FBB"/>
    <w:rsid w:val="000A14F1"/>
    <w:rsid w:val="000A1DBA"/>
    <w:rsid w:val="000A325B"/>
    <w:rsid w:val="000A3BEA"/>
    <w:rsid w:val="000A6317"/>
    <w:rsid w:val="000B3C78"/>
    <w:rsid w:val="000B5332"/>
    <w:rsid w:val="000B5670"/>
    <w:rsid w:val="000B6198"/>
    <w:rsid w:val="000B7975"/>
    <w:rsid w:val="000C0D36"/>
    <w:rsid w:val="000C42D3"/>
    <w:rsid w:val="000C4407"/>
    <w:rsid w:val="000C5D1E"/>
    <w:rsid w:val="000C6268"/>
    <w:rsid w:val="000C6820"/>
    <w:rsid w:val="000C769A"/>
    <w:rsid w:val="000D09BB"/>
    <w:rsid w:val="000D400C"/>
    <w:rsid w:val="000D4BD8"/>
    <w:rsid w:val="000D66EF"/>
    <w:rsid w:val="000D6E0A"/>
    <w:rsid w:val="000D7882"/>
    <w:rsid w:val="000D7991"/>
    <w:rsid w:val="000E193B"/>
    <w:rsid w:val="000E496F"/>
    <w:rsid w:val="000F02D3"/>
    <w:rsid w:val="000F216D"/>
    <w:rsid w:val="000F4263"/>
    <w:rsid w:val="000F68D7"/>
    <w:rsid w:val="00100BED"/>
    <w:rsid w:val="00101910"/>
    <w:rsid w:val="00101E1C"/>
    <w:rsid w:val="0010434E"/>
    <w:rsid w:val="00104443"/>
    <w:rsid w:val="001059C3"/>
    <w:rsid w:val="00106CB6"/>
    <w:rsid w:val="00107938"/>
    <w:rsid w:val="00110C29"/>
    <w:rsid w:val="0011134D"/>
    <w:rsid w:val="00114F2A"/>
    <w:rsid w:val="00116445"/>
    <w:rsid w:val="001250F1"/>
    <w:rsid w:val="001407DB"/>
    <w:rsid w:val="0014252D"/>
    <w:rsid w:val="00143B85"/>
    <w:rsid w:val="00144AB4"/>
    <w:rsid w:val="00145AD9"/>
    <w:rsid w:val="00146CC8"/>
    <w:rsid w:val="001511BC"/>
    <w:rsid w:val="001533AC"/>
    <w:rsid w:val="00154264"/>
    <w:rsid w:val="001568D9"/>
    <w:rsid w:val="001574BA"/>
    <w:rsid w:val="0016099B"/>
    <w:rsid w:val="00161FED"/>
    <w:rsid w:val="00162C49"/>
    <w:rsid w:val="00162D05"/>
    <w:rsid w:val="001655F7"/>
    <w:rsid w:val="001716C0"/>
    <w:rsid w:val="001739DA"/>
    <w:rsid w:val="0017445A"/>
    <w:rsid w:val="00174D0C"/>
    <w:rsid w:val="00180EE5"/>
    <w:rsid w:val="001835BB"/>
    <w:rsid w:val="00190CB2"/>
    <w:rsid w:val="00192A6C"/>
    <w:rsid w:val="00194760"/>
    <w:rsid w:val="00195624"/>
    <w:rsid w:val="0019777E"/>
    <w:rsid w:val="001A1415"/>
    <w:rsid w:val="001A28FC"/>
    <w:rsid w:val="001A4410"/>
    <w:rsid w:val="001A73DC"/>
    <w:rsid w:val="001B21B9"/>
    <w:rsid w:val="001B4361"/>
    <w:rsid w:val="001B4A43"/>
    <w:rsid w:val="001B5848"/>
    <w:rsid w:val="001B5854"/>
    <w:rsid w:val="001C2C96"/>
    <w:rsid w:val="001C502B"/>
    <w:rsid w:val="001C576F"/>
    <w:rsid w:val="001C58E8"/>
    <w:rsid w:val="001C7EBE"/>
    <w:rsid w:val="001D0954"/>
    <w:rsid w:val="001D2DCE"/>
    <w:rsid w:val="001D3E71"/>
    <w:rsid w:val="001D42C1"/>
    <w:rsid w:val="001E4626"/>
    <w:rsid w:val="001E4933"/>
    <w:rsid w:val="001E4956"/>
    <w:rsid w:val="001E67CD"/>
    <w:rsid w:val="001E78B9"/>
    <w:rsid w:val="001F4297"/>
    <w:rsid w:val="00200D7B"/>
    <w:rsid w:val="0020543A"/>
    <w:rsid w:val="002058E3"/>
    <w:rsid w:val="00205A4A"/>
    <w:rsid w:val="00206DCF"/>
    <w:rsid w:val="0021019E"/>
    <w:rsid w:val="0021110F"/>
    <w:rsid w:val="0021120F"/>
    <w:rsid w:val="0021228C"/>
    <w:rsid w:val="00213F7F"/>
    <w:rsid w:val="002160F9"/>
    <w:rsid w:val="00216EA7"/>
    <w:rsid w:val="0021727B"/>
    <w:rsid w:val="00217EF0"/>
    <w:rsid w:val="002216B4"/>
    <w:rsid w:val="00222550"/>
    <w:rsid w:val="00225791"/>
    <w:rsid w:val="00225E91"/>
    <w:rsid w:val="00226D0B"/>
    <w:rsid w:val="00231797"/>
    <w:rsid w:val="002328D5"/>
    <w:rsid w:val="00233D22"/>
    <w:rsid w:val="0023511A"/>
    <w:rsid w:val="0023722D"/>
    <w:rsid w:val="00242F75"/>
    <w:rsid w:val="002432EF"/>
    <w:rsid w:val="0024378B"/>
    <w:rsid w:val="00246933"/>
    <w:rsid w:val="00246BE3"/>
    <w:rsid w:val="00250735"/>
    <w:rsid w:val="002523E3"/>
    <w:rsid w:val="00254355"/>
    <w:rsid w:val="00256F1F"/>
    <w:rsid w:val="00257CB8"/>
    <w:rsid w:val="00257F1B"/>
    <w:rsid w:val="00263AD2"/>
    <w:rsid w:val="002653D6"/>
    <w:rsid w:val="002662A3"/>
    <w:rsid w:val="00267DB3"/>
    <w:rsid w:val="00267DCA"/>
    <w:rsid w:val="00272023"/>
    <w:rsid w:val="0027283C"/>
    <w:rsid w:val="00273C5E"/>
    <w:rsid w:val="00273F8D"/>
    <w:rsid w:val="00276441"/>
    <w:rsid w:val="00276DA1"/>
    <w:rsid w:val="00280D3E"/>
    <w:rsid w:val="00290CEC"/>
    <w:rsid w:val="002912EC"/>
    <w:rsid w:val="00291332"/>
    <w:rsid w:val="002919BE"/>
    <w:rsid w:val="00292D73"/>
    <w:rsid w:val="00294468"/>
    <w:rsid w:val="00296321"/>
    <w:rsid w:val="002A42E3"/>
    <w:rsid w:val="002A7F8B"/>
    <w:rsid w:val="002B1D7C"/>
    <w:rsid w:val="002B4BBE"/>
    <w:rsid w:val="002B56FD"/>
    <w:rsid w:val="002B5BA8"/>
    <w:rsid w:val="002B61C9"/>
    <w:rsid w:val="002B69CD"/>
    <w:rsid w:val="002C0C9D"/>
    <w:rsid w:val="002C1793"/>
    <w:rsid w:val="002C3FD1"/>
    <w:rsid w:val="002C523A"/>
    <w:rsid w:val="002C7495"/>
    <w:rsid w:val="002D1B28"/>
    <w:rsid w:val="002D44BC"/>
    <w:rsid w:val="002D4B40"/>
    <w:rsid w:val="002D5F4C"/>
    <w:rsid w:val="002D6787"/>
    <w:rsid w:val="002E0344"/>
    <w:rsid w:val="002E2955"/>
    <w:rsid w:val="002E673E"/>
    <w:rsid w:val="002F0101"/>
    <w:rsid w:val="002F029B"/>
    <w:rsid w:val="002F24C9"/>
    <w:rsid w:val="002F5806"/>
    <w:rsid w:val="002F6B35"/>
    <w:rsid w:val="00300C0C"/>
    <w:rsid w:val="00303C43"/>
    <w:rsid w:val="00303FD9"/>
    <w:rsid w:val="003044C1"/>
    <w:rsid w:val="00310257"/>
    <w:rsid w:val="00313318"/>
    <w:rsid w:val="003138E4"/>
    <w:rsid w:val="00317912"/>
    <w:rsid w:val="003245A3"/>
    <w:rsid w:val="00324D4E"/>
    <w:rsid w:val="00324E47"/>
    <w:rsid w:val="0032545C"/>
    <w:rsid w:val="003256DA"/>
    <w:rsid w:val="00326704"/>
    <w:rsid w:val="00330F7F"/>
    <w:rsid w:val="0033107B"/>
    <w:rsid w:val="00335FF4"/>
    <w:rsid w:val="00337685"/>
    <w:rsid w:val="00341E08"/>
    <w:rsid w:val="0034526D"/>
    <w:rsid w:val="0034672F"/>
    <w:rsid w:val="00354246"/>
    <w:rsid w:val="0036796C"/>
    <w:rsid w:val="00367E1A"/>
    <w:rsid w:val="00371789"/>
    <w:rsid w:val="00373946"/>
    <w:rsid w:val="00374D0E"/>
    <w:rsid w:val="003751C9"/>
    <w:rsid w:val="003755D4"/>
    <w:rsid w:val="003776B6"/>
    <w:rsid w:val="00381066"/>
    <w:rsid w:val="00386B2A"/>
    <w:rsid w:val="00387A78"/>
    <w:rsid w:val="00391CC4"/>
    <w:rsid w:val="0039241A"/>
    <w:rsid w:val="0039293A"/>
    <w:rsid w:val="00393310"/>
    <w:rsid w:val="00396295"/>
    <w:rsid w:val="00396663"/>
    <w:rsid w:val="00397028"/>
    <w:rsid w:val="003A077B"/>
    <w:rsid w:val="003A2422"/>
    <w:rsid w:val="003A5D19"/>
    <w:rsid w:val="003A642A"/>
    <w:rsid w:val="003B330A"/>
    <w:rsid w:val="003B45FA"/>
    <w:rsid w:val="003C3804"/>
    <w:rsid w:val="003C7E78"/>
    <w:rsid w:val="003D2469"/>
    <w:rsid w:val="003D28B2"/>
    <w:rsid w:val="003E42FA"/>
    <w:rsid w:val="003E671B"/>
    <w:rsid w:val="003E759A"/>
    <w:rsid w:val="003E7879"/>
    <w:rsid w:val="003F0023"/>
    <w:rsid w:val="003F0813"/>
    <w:rsid w:val="003F089B"/>
    <w:rsid w:val="003F1801"/>
    <w:rsid w:val="003F2269"/>
    <w:rsid w:val="003F2C9E"/>
    <w:rsid w:val="003F466A"/>
    <w:rsid w:val="003F52F1"/>
    <w:rsid w:val="003F54F9"/>
    <w:rsid w:val="00401295"/>
    <w:rsid w:val="0040178F"/>
    <w:rsid w:val="004027A8"/>
    <w:rsid w:val="004075F7"/>
    <w:rsid w:val="00412864"/>
    <w:rsid w:val="00413167"/>
    <w:rsid w:val="00414EB3"/>
    <w:rsid w:val="004161CD"/>
    <w:rsid w:val="00416DCB"/>
    <w:rsid w:val="0042285C"/>
    <w:rsid w:val="004231BD"/>
    <w:rsid w:val="00425D12"/>
    <w:rsid w:val="00431117"/>
    <w:rsid w:val="00433098"/>
    <w:rsid w:val="0043346A"/>
    <w:rsid w:val="00435A11"/>
    <w:rsid w:val="00435EA1"/>
    <w:rsid w:val="004407D6"/>
    <w:rsid w:val="004443C0"/>
    <w:rsid w:val="00445BB2"/>
    <w:rsid w:val="0044673F"/>
    <w:rsid w:val="0045230F"/>
    <w:rsid w:val="00453E7D"/>
    <w:rsid w:val="00454E25"/>
    <w:rsid w:val="00457835"/>
    <w:rsid w:val="00460149"/>
    <w:rsid w:val="004601C5"/>
    <w:rsid w:val="004608E7"/>
    <w:rsid w:val="004638DE"/>
    <w:rsid w:val="00463E25"/>
    <w:rsid w:val="00472E5B"/>
    <w:rsid w:val="004757FC"/>
    <w:rsid w:val="00475B11"/>
    <w:rsid w:val="0048029C"/>
    <w:rsid w:val="0048039D"/>
    <w:rsid w:val="004842FE"/>
    <w:rsid w:val="004849C4"/>
    <w:rsid w:val="00485081"/>
    <w:rsid w:val="00486EE2"/>
    <w:rsid w:val="00491290"/>
    <w:rsid w:val="00491EB9"/>
    <w:rsid w:val="00493529"/>
    <w:rsid w:val="00494028"/>
    <w:rsid w:val="0049431A"/>
    <w:rsid w:val="00496B1B"/>
    <w:rsid w:val="004A02F7"/>
    <w:rsid w:val="004A19A7"/>
    <w:rsid w:val="004A26F2"/>
    <w:rsid w:val="004A27DB"/>
    <w:rsid w:val="004A3FB1"/>
    <w:rsid w:val="004B0249"/>
    <w:rsid w:val="004B05DC"/>
    <w:rsid w:val="004B2DCD"/>
    <w:rsid w:val="004B6BD7"/>
    <w:rsid w:val="004C1B60"/>
    <w:rsid w:val="004C3376"/>
    <w:rsid w:val="004C67EA"/>
    <w:rsid w:val="004C75FF"/>
    <w:rsid w:val="004D17B2"/>
    <w:rsid w:val="004D2D22"/>
    <w:rsid w:val="004D57C3"/>
    <w:rsid w:val="004E4394"/>
    <w:rsid w:val="004E5E2A"/>
    <w:rsid w:val="004F15D7"/>
    <w:rsid w:val="004F1E87"/>
    <w:rsid w:val="004F2027"/>
    <w:rsid w:val="004F5E3F"/>
    <w:rsid w:val="004F69D1"/>
    <w:rsid w:val="004F6B56"/>
    <w:rsid w:val="004F7D46"/>
    <w:rsid w:val="0050152C"/>
    <w:rsid w:val="00502DAB"/>
    <w:rsid w:val="00503251"/>
    <w:rsid w:val="00504201"/>
    <w:rsid w:val="00504562"/>
    <w:rsid w:val="00504B92"/>
    <w:rsid w:val="00505CF2"/>
    <w:rsid w:val="00511FDD"/>
    <w:rsid w:val="00512E22"/>
    <w:rsid w:val="005209EF"/>
    <w:rsid w:val="00522FF7"/>
    <w:rsid w:val="00524D27"/>
    <w:rsid w:val="00542F79"/>
    <w:rsid w:val="00543A93"/>
    <w:rsid w:val="005457E0"/>
    <w:rsid w:val="00547023"/>
    <w:rsid w:val="00550AE2"/>
    <w:rsid w:val="00550DE5"/>
    <w:rsid w:val="0055454E"/>
    <w:rsid w:val="00554AF1"/>
    <w:rsid w:val="00556917"/>
    <w:rsid w:val="00556C9C"/>
    <w:rsid w:val="005570CB"/>
    <w:rsid w:val="0055745C"/>
    <w:rsid w:val="00560A54"/>
    <w:rsid w:val="00560F49"/>
    <w:rsid w:val="00560FE0"/>
    <w:rsid w:val="0056429F"/>
    <w:rsid w:val="005667AB"/>
    <w:rsid w:val="005703E9"/>
    <w:rsid w:val="005711D1"/>
    <w:rsid w:val="0058049B"/>
    <w:rsid w:val="005806DD"/>
    <w:rsid w:val="00580E4B"/>
    <w:rsid w:val="00581FFF"/>
    <w:rsid w:val="00585389"/>
    <w:rsid w:val="0058784A"/>
    <w:rsid w:val="0059259C"/>
    <w:rsid w:val="005A0128"/>
    <w:rsid w:val="005A4910"/>
    <w:rsid w:val="005B16DD"/>
    <w:rsid w:val="005B222B"/>
    <w:rsid w:val="005B2890"/>
    <w:rsid w:val="005B404B"/>
    <w:rsid w:val="005C0017"/>
    <w:rsid w:val="005C0CB0"/>
    <w:rsid w:val="005C1E05"/>
    <w:rsid w:val="005C5307"/>
    <w:rsid w:val="005C5619"/>
    <w:rsid w:val="005D4501"/>
    <w:rsid w:val="005D4735"/>
    <w:rsid w:val="005D4C81"/>
    <w:rsid w:val="005D5116"/>
    <w:rsid w:val="005E0C47"/>
    <w:rsid w:val="005E1CA8"/>
    <w:rsid w:val="005E1F06"/>
    <w:rsid w:val="005E23D2"/>
    <w:rsid w:val="005E4C04"/>
    <w:rsid w:val="005E53F2"/>
    <w:rsid w:val="005F1AAC"/>
    <w:rsid w:val="005F2C58"/>
    <w:rsid w:val="005F4863"/>
    <w:rsid w:val="005F62FD"/>
    <w:rsid w:val="005F6613"/>
    <w:rsid w:val="00600404"/>
    <w:rsid w:val="00601FCA"/>
    <w:rsid w:val="00602AC0"/>
    <w:rsid w:val="00602DFA"/>
    <w:rsid w:val="00603A64"/>
    <w:rsid w:val="00606B43"/>
    <w:rsid w:val="00607530"/>
    <w:rsid w:val="006079C0"/>
    <w:rsid w:val="00610049"/>
    <w:rsid w:val="00612843"/>
    <w:rsid w:val="006268DC"/>
    <w:rsid w:val="00633313"/>
    <w:rsid w:val="0063695B"/>
    <w:rsid w:val="00641703"/>
    <w:rsid w:val="006434D4"/>
    <w:rsid w:val="00643786"/>
    <w:rsid w:val="00644C8F"/>
    <w:rsid w:val="006454DD"/>
    <w:rsid w:val="00646925"/>
    <w:rsid w:val="006510AC"/>
    <w:rsid w:val="00653715"/>
    <w:rsid w:val="006621D7"/>
    <w:rsid w:val="00662651"/>
    <w:rsid w:val="0067240F"/>
    <w:rsid w:val="006778A3"/>
    <w:rsid w:val="0068286E"/>
    <w:rsid w:val="006936A6"/>
    <w:rsid w:val="006A1458"/>
    <w:rsid w:val="006A1809"/>
    <w:rsid w:val="006A3208"/>
    <w:rsid w:val="006A4E3C"/>
    <w:rsid w:val="006A4E6C"/>
    <w:rsid w:val="006A6853"/>
    <w:rsid w:val="006B42BA"/>
    <w:rsid w:val="006B5919"/>
    <w:rsid w:val="006B6B39"/>
    <w:rsid w:val="006C0091"/>
    <w:rsid w:val="006C1313"/>
    <w:rsid w:val="006C2945"/>
    <w:rsid w:val="006C4344"/>
    <w:rsid w:val="006C6873"/>
    <w:rsid w:val="006D1067"/>
    <w:rsid w:val="006D2EF4"/>
    <w:rsid w:val="006D3252"/>
    <w:rsid w:val="006D7F6E"/>
    <w:rsid w:val="006E0401"/>
    <w:rsid w:val="006E4956"/>
    <w:rsid w:val="006E61B4"/>
    <w:rsid w:val="006F1826"/>
    <w:rsid w:val="006F22EA"/>
    <w:rsid w:val="006F3A2E"/>
    <w:rsid w:val="006F3C32"/>
    <w:rsid w:val="006F4DD1"/>
    <w:rsid w:val="006F53EB"/>
    <w:rsid w:val="006F69A0"/>
    <w:rsid w:val="006F7215"/>
    <w:rsid w:val="007004C1"/>
    <w:rsid w:val="00701CF3"/>
    <w:rsid w:val="00703515"/>
    <w:rsid w:val="00706BC1"/>
    <w:rsid w:val="00720897"/>
    <w:rsid w:val="00725A65"/>
    <w:rsid w:val="00731758"/>
    <w:rsid w:val="00731AF1"/>
    <w:rsid w:val="00733BD6"/>
    <w:rsid w:val="00740361"/>
    <w:rsid w:val="0074158A"/>
    <w:rsid w:val="00741881"/>
    <w:rsid w:val="00743C04"/>
    <w:rsid w:val="007446CE"/>
    <w:rsid w:val="0074512C"/>
    <w:rsid w:val="00751352"/>
    <w:rsid w:val="00752139"/>
    <w:rsid w:val="0075256A"/>
    <w:rsid w:val="00753765"/>
    <w:rsid w:val="00753A9A"/>
    <w:rsid w:val="00756865"/>
    <w:rsid w:val="007568D0"/>
    <w:rsid w:val="00761239"/>
    <w:rsid w:val="0076286D"/>
    <w:rsid w:val="0076639B"/>
    <w:rsid w:val="00766715"/>
    <w:rsid w:val="00767848"/>
    <w:rsid w:val="00771678"/>
    <w:rsid w:val="00772E83"/>
    <w:rsid w:val="007776BC"/>
    <w:rsid w:val="007815F4"/>
    <w:rsid w:val="0078234F"/>
    <w:rsid w:val="007836F6"/>
    <w:rsid w:val="00783EA7"/>
    <w:rsid w:val="007857B4"/>
    <w:rsid w:val="00785A94"/>
    <w:rsid w:val="00794A9E"/>
    <w:rsid w:val="0079583F"/>
    <w:rsid w:val="007A0BDA"/>
    <w:rsid w:val="007A1520"/>
    <w:rsid w:val="007A15C9"/>
    <w:rsid w:val="007A17F0"/>
    <w:rsid w:val="007A3BFF"/>
    <w:rsid w:val="007A7632"/>
    <w:rsid w:val="007B1FB4"/>
    <w:rsid w:val="007B3EB9"/>
    <w:rsid w:val="007B650C"/>
    <w:rsid w:val="007D2D24"/>
    <w:rsid w:val="007D31E4"/>
    <w:rsid w:val="007D3D94"/>
    <w:rsid w:val="007D49C2"/>
    <w:rsid w:val="007D52A0"/>
    <w:rsid w:val="007E0CE5"/>
    <w:rsid w:val="007E1C98"/>
    <w:rsid w:val="007E357C"/>
    <w:rsid w:val="007E4239"/>
    <w:rsid w:val="007E46FB"/>
    <w:rsid w:val="007E49CC"/>
    <w:rsid w:val="007F71A6"/>
    <w:rsid w:val="007F7A32"/>
    <w:rsid w:val="00800090"/>
    <w:rsid w:val="00800EDB"/>
    <w:rsid w:val="00802C1E"/>
    <w:rsid w:val="008133AB"/>
    <w:rsid w:val="00815BB5"/>
    <w:rsid w:val="00822556"/>
    <w:rsid w:val="008228D5"/>
    <w:rsid w:val="00824C25"/>
    <w:rsid w:val="00824E33"/>
    <w:rsid w:val="00831AE2"/>
    <w:rsid w:val="00833BEC"/>
    <w:rsid w:val="0083451E"/>
    <w:rsid w:val="008354EC"/>
    <w:rsid w:val="00836B9A"/>
    <w:rsid w:val="00840644"/>
    <w:rsid w:val="00841446"/>
    <w:rsid w:val="00841770"/>
    <w:rsid w:val="00841D32"/>
    <w:rsid w:val="0084640B"/>
    <w:rsid w:val="00847A59"/>
    <w:rsid w:val="00847C1F"/>
    <w:rsid w:val="00856E84"/>
    <w:rsid w:val="0085760A"/>
    <w:rsid w:val="00860937"/>
    <w:rsid w:val="00863BC0"/>
    <w:rsid w:val="0086699A"/>
    <w:rsid w:val="008730F3"/>
    <w:rsid w:val="00873DF0"/>
    <w:rsid w:val="00874388"/>
    <w:rsid w:val="00874838"/>
    <w:rsid w:val="00875BFF"/>
    <w:rsid w:val="00882060"/>
    <w:rsid w:val="00883C07"/>
    <w:rsid w:val="00886531"/>
    <w:rsid w:val="008916F8"/>
    <w:rsid w:val="00892455"/>
    <w:rsid w:val="0089279E"/>
    <w:rsid w:val="00892F23"/>
    <w:rsid w:val="00892F53"/>
    <w:rsid w:val="00896227"/>
    <w:rsid w:val="00896239"/>
    <w:rsid w:val="00897396"/>
    <w:rsid w:val="008A001A"/>
    <w:rsid w:val="008A2897"/>
    <w:rsid w:val="008A2A15"/>
    <w:rsid w:val="008A31FB"/>
    <w:rsid w:val="008A3B97"/>
    <w:rsid w:val="008A48B9"/>
    <w:rsid w:val="008A5C65"/>
    <w:rsid w:val="008A60E4"/>
    <w:rsid w:val="008A618F"/>
    <w:rsid w:val="008A7D13"/>
    <w:rsid w:val="008B0EC4"/>
    <w:rsid w:val="008B3EA9"/>
    <w:rsid w:val="008B4D54"/>
    <w:rsid w:val="008B6B65"/>
    <w:rsid w:val="008B6CB3"/>
    <w:rsid w:val="008C1207"/>
    <w:rsid w:val="008C2981"/>
    <w:rsid w:val="008C3015"/>
    <w:rsid w:val="008C52D6"/>
    <w:rsid w:val="008D1B06"/>
    <w:rsid w:val="008D1E27"/>
    <w:rsid w:val="008D6A87"/>
    <w:rsid w:val="008E0536"/>
    <w:rsid w:val="008E067A"/>
    <w:rsid w:val="008E3CD5"/>
    <w:rsid w:val="008E6B14"/>
    <w:rsid w:val="008E7552"/>
    <w:rsid w:val="008E7DA0"/>
    <w:rsid w:val="008F06AB"/>
    <w:rsid w:val="008F292F"/>
    <w:rsid w:val="00900624"/>
    <w:rsid w:val="009009FD"/>
    <w:rsid w:val="009010CF"/>
    <w:rsid w:val="0090127A"/>
    <w:rsid w:val="00901990"/>
    <w:rsid w:val="00902319"/>
    <w:rsid w:val="00903E73"/>
    <w:rsid w:val="009052EA"/>
    <w:rsid w:val="00905C30"/>
    <w:rsid w:val="00907C37"/>
    <w:rsid w:val="00911F54"/>
    <w:rsid w:val="00914FFE"/>
    <w:rsid w:val="00915E54"/>
    <w:rsid w:val="009162E9"/>
    <w:rsid w:val="00920CC9"/>
    <w:rsid w:val="0092136C"/>
    <w:rsid w:val="0092515F"/>
    <w:rsid w:val="009343D8"/>
    <w:rsid w:val="00935163"/>
    <w:rsid w:val="009424E3"/>
    <w:rsid w:val="00944AC8"/>
    <w:rsid w:val="00944DD8"/>
    <w:rsid w:val="00946B69"/>
    <w:rsid w:val="00950027"/>
    <w:rsid w:val="009513AA"/>
    <w:rsid w:val="009537C3"/>
    <w:rsid w:val="0095505C"/>
    <w:rsid w:val="0096311B"/>
    <w:rsid w:val="00964CCD"/>
    <w:rsid w:val="00964E4E"/>
    <w:rsid w:val="0096631D"/>
    <w:rsid w:val="00970641"/>
    <w:rsid w:val="009720DC"/>
    <w:rsid w:val="00972B5C"/>
    <w:rsid w:val="009746A0"/>
    <w:rsid w:val="00974D46"/>
    <w:rsid w:val="009813E2"/>
    <w:rsid w:val="00983786"/>
    <w:rsid w:val="00983C4B"/>
    <w:rsid w:val="0099221C"/>
    <w:rsid w:val="009925E3"/>
    <w:rsid w:val="00995D97"/>
    <w:rsid w:val="00996749"/>
    <w:rsid w:val="00996A58"/>
    <w:rsid w:val="009975D9"/>
    <w:rsid w:val="009A0139"/>
    <w:rsid w:val="009A1179"/>
    <w:rsid w:val="009A190F"/>
    <w:rsid w:val="009A2288"/>
    <w:rsid w:val="009A3B4B"/>
    <w:rsid w:val="009A76E1"/>
    <w:rsid w:val="009A7E31"/>
    <w:rsid w:val="009B1C8D"/>
    <w:rsid w:val="009B3530"/>
    <w:rsid w:val="009B4270"/>
    <w:rsid w:val="009B6CA1"/>
    <w:rsid w:val="009B6EE1"/>
    <w:rsid w:val="009C33F1"/>
    <w:rsid w:val="009C7DF9"/>
    <w:rsid w:val="009D0E7D"/>
    <w:rsid w:val="009D0FBE"/>
    <w:rsid w:val="009D2615"/>
    <w:rsid w:val="009D735A"/>
    <w:rsid w:val="009E1C77"/>
    <w:rsid w:val="009E29FF"/>
    <w:rsid w:val="009E4915"/>
    <w:rsid w:val="009E6AB0"/>
    <w:rsid w:val="009E6D79"/>
    <w:rsid w:val="009F0053"/>
    <w:rsid w:val="009F1B46"/>
    <w:rsid w:val="009F4103"/>
    <w:rsid w:val="00A01332"/>
    <w:rsid w:val="00A0338D"/>
    <w:rsid w:val="00A03530"/>
    <w:rsid w:val="00A06E30"/>
    <w:rsid w:val="00A11B51"/>
    <w:rsid w:val="00A1225B"/>
    <w:rsid w:val="00A16271"/>
    <w:rsid w:val="00A164BB"/>
    <w:rsid w:val="00A22C55"/>
    <w:rsid w:val="00A231CF"/>
    <w:rsid w:val="00A24521"/>
    <w:rsid w:val="00A24676"/>
    <w:rsid w:val="00A24B0A"/>
    <w:rsid w:val="00A24C36"/>
    <w:rsid w:val="00A25ADB"/>
    <w:rsid w:val="00A27626"/>
    <w:rsid w:val="00A304B9"/>
    <w:rsid w:val="00A3121F"/>
    <w:rsid w:val="00A35710"/>
    <w:rsid w:val="00A36982"/>
    <w:rsid w:val="00A43390"/>
    <w:rsid w:val="00A43481"/>
    <w:rsid w:val="00A474DA"/>
    <w:rsid w:val="00A47820"/>
    <w:rsid w:val="00A52552"/>
    <w:rsid w:val="00A53E98"/>
    <w:rsid w:val="00A55B93"/>
    <w:rsid w:val="00A55CC6"/>
    <w:rsid w:val="00A5641A"/>
    <w:rsid w:val="00A57C3A"/>
    <w:rsid w:val="00A63F70"/>
    <w:rsid w:val="00A663A9"/>
    <w:rsid w:val="00A67646"/>
    <w:rsid w:val="00A70B87"/>
    <w:rsid w:val="00A7361F"/>
    <w:rsid w:val="00A73D96"/>
    <w:rsid w:val="00A74511"/>
    <w:rsid w:val="00A801D9"/>
    <w:rsid w:val="00A80704"/>
    <w:rsid w:val="00A8494D"/>
    <w:rsid w:val="00A849E5"/>
    <w:rsid w:val="00A86812"/>
    <w:rsid w:val="00A90F25"/>
    <w:rsid w:val="00A931AF"/>
    <w:rsid w:val="00A955EC"/>
    <w:rsid w:val="00A95C0C"/>
    <w:rsid w:val="00A9721C"/>
    <w:rsid w:val="00A97D4B"/>
    <w:rsid w:val="00AA080A"/>
    <w:rsid w:val="00AA2F00"/>
    <w:rsid w:val="00AA3C49"/>
    <w:rsid w:val="00AA6272"/>
    <w:rsid w:val="00AA7C55"/>
    <w:rsid w:val="00AB01F2"/>
    <w:rsid w:val="00AB05E9"/>
    <w:rsid w:val="00AB0779"/>
    <w:rsid w:val="00AB18B3"/>
    <w:rsid w:val="00AB2E27"/>
    <w:rsid w:val="00AB335F"/>
    <w:rsid w:val="00AB35E5"/>
    <w:rsid w:val="00AB3BD1"/>
    <w:rsid w:val="00AB3BE1"/>
    <w:rsid w:val="00AB4B3E"/>
    <w:rsid w:val="00AB5F08"/>
    <w:rsid w:val="00AC05E5"/>
    <w:rsid w:val="00AC1471"/>
    <w:rsid w:val="00AC5390"/>
    <w:rsid w:val="00AC6F43"/>
    <w:rsid w:val="00AC78A7"/>
    <w:rsid w:val="00AC7D00"/>
    <w:rsid w:val="00AD232A"/>
    <w:rsid w:val="00AD62CB"/>
    <w:rsid w:val="00AD6371"/>
    <w:rsid w:val="00AD69AA"/>
    <w:rsid w:val="00AE2F81"/>
    <w:rsid w:val="00AE388F"/>
    <w:rsid w:val="00AF1FE6"/>
    <w:rsid w:val="00AF4556"/>
    <w:rsid w:val="00B00701"/>
    <w:rsid w:val="00B007B9"/>
    <w:rsid w:val="00B02299"/>
    <w:rsid w:val="00B0244A"/>
    <w:rsid w:val="00B031C4"/>
    <w:rsid w:val="00B040BD"/>
    <w:rsid w:val="00B04C34"/>
    <w:rsid w:val="00B07356"/>
    <w:rsid w:val="00B14032"/>
    <w:rsid w:val="00B2636E"/>
    <w:rsid w:val="00B31B2F"/>
    <w:rsid w:val="00B37BAE"/>
    <w:rsid w:val="00B40927"/>
    <w:rsid w:val="00B40CCD"/>
    <w:rsid w:val="00B426F2"/>
    <w:rsid w:val="00B444C4"/>
    <w:rsid w:val="00B44D15"/>
    <w:rsid w:val="00B47851"/>
    <w:rsid w:val="00B50390"/>
    <w:rsid w:val="00B55648"/>
    <w:rsid w:val="00B55B4F"/>
    <w:rsid w:val="00B57E00"/>
    <w:rsid w:val="00B609C2"/>
    <w:rsid w:val="00B612A0"/>
    <w:rsid w:val="00B70A66"/>
    <w:rsid w:val="00B727F2"/>
    <w:rsid w:val="00B72CCB"/>
    <w:rsid w:val="00B73494"/>
    <w:rsid w:val="00B754C8"/>
    <w:rsid w:val="00B77E23"/>
    <w:rsid w:val="00B825DA"/>
    <w:rsid w:val="00B850D2"/>
    <w:rsid w:val="00B86BE6"/>
    <w:rsid w:val="00B878A0"/>
    <w:rsid w:val="00B87FA8"/>
    <w:rsid w:val="00B92079"/>
    <w:rsid w:val="00B9289D"/>
    <w:rsid w:val="00B9385D"/>
    <w:rsid w:val="00B97504"/>
    <w:rsid w:val="00BA2BEF"/>
    <w:rsid w:val="00BB6554"/>
    <w:rsid w:val="00BC1AF0"/>
    <w:rsid w:val="00BC2D3D"/>
    <w:rsid w:val="00BC7209"/>
    <w:rsid w:val="00BD1178"/>
    <w:rsid w:val="00BD1194"/>
    <w:rsid w:val="00BD30CE"/>
    <w:rsid w:val="00BD78EA"/>
    <w:rsid w:val="00BE08C8"/>
    <w:rsid w:val="00BE65ED"/>
    <w:rsid w:val="00BE65FB"/>
    <w:rsid w:val="00BE661F"/>
    <w:rsid w:val="00BF0843"/>
    <w:rsid w:val="00BF0D29"/>
    <w:rsid w:val="00BF70A0"/>
    <w:rsid w:val="00C0143E"/>
    <w:rsid w:val="00C0163B"/>
    <w:rsid w:val="00C045F3"/>
    <w:rsid w:val="00C061F7"/>
    <w:rsid w:val="00C06F74"/>
    <w:rsid w:val="00C07BFE"/>
    <w:rsid w:val="00C07CB6"/>
    <w:rsid w:val="00C12DD2"/>
    <w:rsid w:val="00C150F7"/>
    <w:rsid w:val="00C2303F"/>
    <w:rsid w:val="00C243F7"/>
    <w:rsid w:val="00C260C3"/>
    <w:rsid w:val="00C429FC"/>
    <w:rsid w:val="00C4324F"/>
    <w:rsid w:val="00C437B1"/>
    <w:rsid w:val="00C451D7"/>
    <w:rsid w:val="00C46D79"/>
    <w:rsid w:val="00C51192"/>
    <w:rsid w:val="00C55619"/>
    <w:rsid w:val="00C57DA4"/>
    <w:rsid w:val="00C61CA8"/>
    <w:rsid w:val="00C63EBA"/>
    <w:rsid w:val="00C66BC8"/>
    <w:rsid w:val="00C72608"/>
    <w:rsid w:val="00C73EB4"/>
    <w:rsid w:val="00C75783"/>
    <w:rsid w:val="00C772B1"/>
    <w:rsid w:val="00C77EA8"/>
    <w:rsid w:val="00C83535"/>
    <w:rsid w:val="00C83A2A"/>
    <w:rsid w:val="00C83D95"/>
    <w:rsid w:val="00C86B48"/>
    <w:rsid w:val="00C91A8E"/>
    <w:rsid w:val="00C92F81"/>
    <w:rsid w:val="00C96EA8"/>
    <w:rsid w:val="00CA22E9"/>
    <w:rsid w:val="00CA3D69"/>
    <w:rsid w:val="00CA507F"/>
    <w:rsid w:val="00CA5C40"/>
    <w:rsid w:val="00CA62BC"/>
    <w:rsid w:val="00CB7117"/>
    <w:rsid w:val="00CB712D"/>
    <w:rsid w:val="00CB71B8"/>
    <w:rsid w:val="00CC2DA9"/>
    <w:rsid w:val="00CC4F39"/>
    <w:rsid w:val="00CC7163"/>
    <w:rsid w:val="00CC7C98"/>
    <w:rsid w:val="00CC7D60"/>
    <w:rsid w:val="00CD064B"/>
    <w:rsid w:val="00CD142F"/>
    <w:rsid w:val="00CD2460"/>
    <w:rsid w:val="00CD515F"/>
    <w:rsid w:val="00CE28CE"/>
    <w:rsid w:val="00CF0D4F"/>
    <w:rsid w:val="00CF1BED"/>
    <w:rsid w:val="00CF2608"/>
    <w:rsid w:val="00CF7220"/>
    <w:rsid w:val="00D03A44"/>
    <w:rsid w:val="00D04E57"/>
    <w:rsid w:val="00D05068"/>
    <w:rsid w:val="00D05996"/>
    <w:rsid w:val="00D11634"/>
    <w:rsid w:val="00D15391"/>
    <w:rsid w:val="00D1541C"/>
    <w:rsid w:val="00D16EA3"/>
    <w:rsid w:val="00D22EDC"/>
    <w:rsid w:val="00D2391E"/>
    <w:rsid w:val="00D23ACA"/>
    <w:rsid w:val="00D244E4"/>
    <w:rsid w:val="00D31997"/>
    <w:rsid w:val="00D3250D"/>
    <w:rsid w:val="00D32F9B"/>
    <w:rsid w:val="00D33B55"/>
    <w:rsid w:val="00D34345"/>
    <w:rsid w:val="00D36B75"/>
    <w:rsid w:val="00D403A1"/>
    <w:rsid w:val="00D448F6"/>
    <w:rsid w:val="00D4647F"/>
    <w:rsid w:val="00D47CF5"/>
    <w:rsid w:val="00D516A5"/>
    <w:rsid w:val="00D53197"/>
    <w:rsid w:val="00D53414"/>
    <w:rsid w:val="00D543DF"/>
    <w:rsid w:val="00D56199"/>
    <w:rsid w:val="00D5713F"/>
    <w:rsid w:val="00D60869"/>
    <w:rsid w:val="00D62E72"/>
    <w:rsid w:val="00D679C2"/>
    <w:rsid w:val="00D71B48"/>
    <w:rsid w:val="00D75C26"/>
    <w:rsid w:val="00D76C1E"/>
    <w:rsid w:val="00D828A9"/>
    <w:rsid w:val="00D87066"/>
    <w:rsid w:val="00D876CE"/>
    <w:rsid w:val="00D93115"/>
    <w:rsid w:val="00D93472"/>
    <w:rsid w:val="00D93832"/>
    <w:rsid w:val="00D9401C"/>
    <w:rsid w:val="00DA0C02"/>
    <w:rsid w:val="00DA3E3D"/>
    <w:rsid w:val="00DA4359"/>
    <w:rsid w:val="00DB0AE3"/>
    <w:rsid w:val="00DB364C"/>
    <w:rsid w:val="00DB77F6"/>
    <w:rsid w:val="00DB7C2F"/>
    <w:rsid w:val="00DC1746"/>
    <w:rsid w:val="00DC23CB"/>
    <w:rsid w:val="00DC24B7"/>
    <w:rsid w:val="00DC5BE1"/>
    <w:rsid w:val="00DC6514"/>
    <w:rsid w:val="00DD05B1"/>
    <w:rsid w:val="00DD07F2"/>
    <w:rsid w:val="00DD1CFC"/>
    <w:rsid w:val="00DD4FCE"/>
    <w:rsid w:val="00DD5693"/>
    <w:rsid w:val="00DD6D00"/>
    <w:rsid w:val="00DD7863"/>
    <w:rsid w:val="00DE18F2"/>
    <w:rsid w:val="00DF2A52"/>
    <w:rsid w:val="00DF3387"/>
    <w:rsid w:val="00DF33C6"/>
    <w:rsid w:val="00DF372E"/>
    <w:rsid w:val="00DF4419"/>
    <w:rsid w:val="00DF4E23"/>
    <w:rsid w:val="00DF50FB"/>
    <w:rsid w:val="00DF6B61"/>
    <w:rsid w:val="00E02CB0"/>
    <w:rsid w:val="00E04E81"/>
    <w:rsid w:val="00E05358"/>
    <w:rsid w:val="00E07931"/>
    <w:rsid w:val="00E07F01"/>
    <w:rsid w:val="00E11195"/>
    <w:rsid w:val="00E13592"/>
    <w:rsid w:val="00E13836"/>
    <w:rsid w:val="00E1385B"/>
    <w:rsid w:val="00E16BE4"/>
    <w:rsid w:val="00E1764F"/>
    <w:rsid w:val="00E17D0E"/>
    <w:rsid w:val="00E237A7"/>
    <w:rsid w:val="00E24084"/>
    <w:rsid w:val="00E25075"/>
    <w:rsid w:val="00E27882"/>
    <w:rsid w:val="00E32ADE"/>
    <w:rsid w:val="00E34671"/>
    <w:rsid w:val="00E36A74"/>
    <w:rsid w:val="00E36D7A"/>
    <w:rsid w:val="00E45495"/>
    <w:rsid w:val="00E45674"/>
    <w:rsid w:val="00E45AD0"/>
    <w:rsid w:val="00E45ED2"/>
    <w:rsid w:val="00E464FB"/>
    <w:rsid w:val="00E501A8"/>
    <w:rsid w:val="00E5135B"/>
    <w:rsid w:val="00E5238C"/>
    <w:rsid w:val="00E5315A"/>
    <w:rsid w:val="00E54577"/>
    <w:rsid w:val="00E60222"/>
    <w:rsid w:val="00E61A23"/>
    <w:rsid w:val="00E62959"/>
    <w:rsid w:val="00E6402E"/>
    <w:rsid w:val="00E64F68"/>
    <w:rsid w:val="00E72323"/>
    <w:rsid w:val="00E757C4"/>
    <w:rsid w:val="00E760E7"/>
    <w:rsid w:val="00E77162"/>
    <w:rsid w:val="00E83FC2"/>
    <w:rsid w:val="00E9018C"/>
    <w:rsid w:val="00E937DD"/>
    <w:rsid w:val="00E948BD"/>
    <w:rsid w:val="00E94E91"/>
    <w:rsid w:val="00E97522"/>
    <w:rsid w:val="00E97BDD"/>
    <w:rsid w:val="00EA13C6"/>
    <w:rsid w:val="00EA269E"/>
    <w:rsid w:val="00EA33E9"/>
    <w:rsid w:val="00EA4D55"/>
    <w:rsid w:val="00EB091E"/>
    <w:rsid w:val="00EB0D1A"/>
    <w:rsid w:val="00EB2610"/>
    <w:rsid w:val="00EB46D6"/>
    <w:rsid w:val="00EB4A85"/>
    <w:rsid w:val="00EB5CB1"/>
    <w:rsid w:val="00EB6FC7"/>
    <w:rsid w:val="00EC1AF2"/>
    <w:rsid w:val="00ED0039"/>
    <w:rsid w:val="00ED2661"/>
    <w:rsid w:val="00ED2C8E"/>
    <w:rsid w:val="00ED3870"/>
    <w:rsid w:val="00ED5881"/>
    <w:rsid w:val="00ED6FA0"/>
    <w:rsid w:val="00ED70A8"/>
    <w:rsid w:val="00EE6841"/>
    <w:rsid w:val="00EE78CF"/>
    <w:rsid w:val="00EF1AD4"/>
    <w:rsid w:val="00EF51DE"/>
    <w:rsid w:val="00EF64B7"/>
    <w:rsid w:val="00F02058"/>
    <w:rsid w:val="00F02675"/>
    <w:rsid w:val="00F044FC"/>
    <w:rsid w:val="00F05FA7"/>
    <w:rsid w:val="00F07D42"/>
    <w:rsid w:val="00F20DAF"/>
    <w:rsid w:val="00F227E7"/>
    <w:rsid w:val="00F23A89"/>
    <w:rsid w:val="00F27A81"/>
    <w:rsid w:val="00F27B5C"/>
    <w:rsid w:val="00F30175"/>
    <w:rsid w:val="00F30F38"/>
    <w:rsid w:val="00F353E7"/>
    <w:rsid w:val="00F37FA0"/>
    <w:rsid w:val="00F43AD9"/>
    <w:rsid w:val="00F43D86"/>
    <w:rsid w:val="00F43E43"/>
    <w:rsid w:val="00F44E85"/>
    <w:rsid w:val="00F4546C"/>
    <w:rsid w:val="00F47DC4"/>
    <w:rsid w:val="00F47DD8"/>
    <w:rsid w:val="00F47E13"/>
    <w:rsid w:val="00F558F3"/>
    <w:rsid w:val="00F55B9C"/>
    <w:rsid w:val="00F55EC4"/>
    <w:rsid w:val="00F61B0A"/>
    <w:rsid w:val="00F7618F"/>
    <w:rsid w:val="00F80FC5"/>
    <w:rsid w:val="00F82FD2"/>
    <w:rsid w:val="00F842F0"/>
    <w:rsid w:val="00F84C41"/>
    <w:rsid w:val="00F90604"/>
    <w:rsid w:val="00F9136E"/>
    <w:rsid w:val="00F914BF"/>
    <w:rsid w:val="00F91AA6"/>
    <w:rsid w:val="00F92CB9"/>
    <w:rsid w:val="00F92F85"/>
    <w:rsid w:val="00F93380"/>
    <w:rsid w:val="00F94F9B"/>
    <w:rsid w:val="00F9649E"/>
    <w:rsid w:val="00FA02AC"/>
    <w:rsid w:val="00FA033C"/>
    <w:rsid w:val="00FA2999"/>
    <w:rsid w:val="00FA4E7C"/>
    <w:rsid w:val="00FA54F1"/>
    <w:rsid w:val="00FA5C9F"/>
    <w:rsid w:val="00FA5DDD"/>
    <w:rsid w:val="00FA5E13"/>
    <w:rsid w:val="00FA6456"/>
    <w:rsid w:val="00FB19D0"/>
    <w:rsid w:val="00FB36C3"/>
    <w:rsid w:val="00FB755D"/>
    <w:rsid w:val="00FC3010"/>
    <w:rsid w:val="00FC7EE0"/>
    <w:rsid w:val="00FD437F"/>
    <w:rsid w:val="00FD4AED"/>
    <w:rsid w:val="00FD6D79"/>
    <w:rsid w:val="00FE2B1F"/>
    <w:rsid w:val="00FE372E"/>
    <w:rsid w:val="00FE3BB4"/>
    <w:rsid w:val="00FF1677"/>
    <w:rsid w:val="00FF1B77"/>
    <w:rsid w:val="00FF24BD"/>
    <w:rsid w:val="00FF3C77"/>
    <w:rsid w:val="00FF5DFB"/>
    <w:rsid w:val="00FF670B"/>
    <w:rsid w:val="13E267F5"/>
    <w:rsid w:val="1572A6B5"/>
    <w:rsid w:val="1697D58E"/>
    <w:rsid w:val="26D8F022"/>
    <w:rsid w:val="27C199D7"/>
    <w:rsid w:val="2D9BC9EA"/>
    <w:rsid w:val="2E0BAC9C"/>
    <w:rsid w:val="2E2644C4"/>
    <w:rsid w:val="38B39342"/>
    <w:rsid w:val="392AF288"/>
    <w:rsid w:val="3C4FFF8E"/>
    <w:rsid w:val="3CDE6AC8"/>
    <w:rsid w:val="4091AB08"/>
    <w:rsid w:val="430C0A01"/>
    <w:rsid w:val="4B3E0DD0"/>
    <w:rsid w:val="574ABCF0"/>
    <w:rsid w:val="5D2888B2"/>
    <w:rsid w:val="5D814FB3"/>
    <w:rsid w:val="5DF88B88"/>
    <w:rsid w:val="6BC9E00E"/>
    <w:rsid w:val="7818F0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qFormat/>
    <w:rsid w:val="001B4A43"/>
    <w:pPr>
      <w:numPr>
        <w:numId w:val="7"/>
      </w:numPr>
      <w:tabs>
        <w:tab w:val="left" w:pos="851"/>
      </w:tabs>
      <w:spacing w:before="120"/>
      <w:ind w:left="1418" w:hanging="851"/>
      <w:jc w:val="both"/>
    </w:pPr>
  </w:style>
  <w:style w:type="paragraph" w:customStyle="1" w:styleId="Cislovani4text">
    <w:name w:val="Cislovani 4 text"/>
    <w:basedOn w:val="Normln"/>
    <w:qFormat/>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qFormat/>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unhideWhenUsed/>
    <w:rsid w:val="009D0E7D"/>
    <w:rPr>
      <w:vertAlign w:val="superscript"/>
    </w:rPr>
  </w:style>
  <w:style w:type="paragraph" w:customStyle="1" w:styleId="Textnormy">
    <w:name w:val="Text normy"/>
    <w:link w:val="TextnormyChar"/>
    <w:rsid w:val="003B45FA"/>
    <w:pPr>
      <w:spacing w:after="120" w:line="240" w:lineRule="auto"/>
      <w:jc w:val="both"/>
    </w:pPr>
    <w:rPr>
      <w:rFonts w:ascii="Arial" w:eastAsia="Times New Roman" w:hAnsi="Arial" w:cs="Times New Roman"/>
      <w:sz w:val="20"/>
      <w:szCs w:val="20"/>
      <w:lang w:eastAsia="cs-CZ"/>
    </w:rPr>
  </w:style>
  <w:style w:type="character" w:customStyle="1" w:styleId="TextnormyChar">
    <w:name w:val="Text normy Char"/>
    <w:link w:val="Textnormy"/>
    <w:locked/>
    <w:rsid w:val="003B45FA"/>
    <w:rPr>
      <w:rFonts w:ascii="Arial" w:eastAsia="Times New Roman" w:hAnsi="Arial" w:cs="Times New Roman"/>
      <w:sz w:val="20"/>
      <w:szCs w:val="20"/>
      <w:lang w:eastAsia="cs-CZ"/>
    </w:rPr>
  </w:style>
  <w:style w:type="paragraph" w:customStyle="1" w:styleId="Seznamvnorm">
    <w:name w:val="Seznam v normě"/>
    <w:basedOn w:val="Textnormy"/>
    <w:rsid w:val="003B45FA"/>
    <w:pPr>
      <w:numPr>
        <w:numId w:val="9"/>
      </w:numPr>
    </w:pPr>
  </w:style>
  <w:style w:type="paragraph" w:styleId="Bezmezer">
    <w:name w:val="No Spacing"/>
    <w:uiPriority w:val="1"/>
    <w:qFormat/>
    <w:rsid w:val="00A47820"/>
    <w:pPr>
      <w:spacing w:after="0" w:line="264" w:lineRule="auto"/>
      <w:jc w:val="both"/>
    </w:pPr>
    <w:rPr>
      <w:rFonts w:ascii="Segoe UI" w:hAnsi="Segoe UI"/>
      <w:sz w:val="20"/>
    </w:rPr>
  </w:style>
  <w:style w:type="paragraph" w:customStyle="1" w:styleId="podpisra">
    <w:name w:val="podpis čára"/>
    <w:basedOn w:val="Normln"/>
    <w:rsid w:val="00A47820"/>
    <w:pPr>
      <w:tabs>
        <w:tab w:val="right" w:leader="dot" w:pos="3969"/>
        <w:tab w:val="right" w:pos="5103"/>
        <w:tab w:val="right" w:leader="dot" w:pos="9072"/>
      </w:tabs>
      <w:spacing w:line="288" w:lineRule="auto"/>
    </w:pPr>
    <w:rPr>
      <w:szCs w:val="20"/>
    </w:rPr>
  </w:style>
  <w:style w:type="paragraph" w:styleId="Seznamsodrkami4">
    <w:name w:val="List Bullet 4"/>
    <w:basedOn w:val="Normln"/>
    <w:uiPriority w:val="99"/>
    <w:semiHidden/>
    <w:unhideWhenUsed/>
    <w:rsid w:val="0076639B"/>
    <w:pPr>
      <w:numPr>
        <w:numId w:val="11"/>
      </w:numPr>
      <w:contextualSpacing/>
    </w:pPr>
  </w:style>
  <w:style w:type="paragraph" w:customStyle="1" w:styleId="cislovani15">
    <w:name w:val="cislovani + 15"/>
    <w:basedOn w:val="Normln"/>
    <w:qFormat/>
    <w:rsid w:val="009D2615"/>
    <w:pPr>
      <w:numPr>
        <w:ilvl w:val="1"/>
        <w:numId w:val="15"/>
      </w:numPr>
      <w:tabs>
        <w:tab w:val="left" w:pos="1134"/>
      </w:tabs>
      <w:spacing w:after="60" w:line="288" w:lineRule="auto"/>
      <w:ind w:left="1135" w:hanging="284"/>
      <w:jc w:val="both"/>
    </w:pPr>
    <w:rPr>
      <w:rFonts w:ascii="JohnSans Text Pro" w:hAnsi="JohnSans Text Pro"/>
    </w:rPr>
  </w:style>
  <w:style w:type="paragraph" w:styleId="Podnadpis">
    <w:name w:val="Subtitle"/>
    <w:basedOn w:val="Nzev"/>
    <w:next w:val="Normln"/>
    <w:link w:val="PodnadpisChar"/>
    <w:qFormat/>
    <w:rsid w:val="00E60222"/>
    <w:pPr>
      <w:spacing w:before="0"/>
    </w:pPr>
    <w:rPr>
      <w:caps w:val="0"/>
      <w:sz w:val="32"/>
    </w:rPr>
  </w:style>
  <w:style w:type="character" w:customStyle="1" w:styleId="PodnadpisChar">
    <w:name w:val="Podnadpis Char"/>
    <w:basedOn w:val="Standardnpsmoodstavce"/>
    <w:link w:val="Podnadpis"/>
    <w:rsid w:val="00E60222"/>
    <w:rPr>
      <w:rFonts w:ascii="Segoe UI" w:eastAsiaTheme="majorEastAsia" w:hAnsi="Segoe UI" w:cstheme="majorBidi"/>
      <w:color w:val="73767D"/>
      <w:sz w:val="32"/>
      <w:szCs w:val="52"/>
      <w:lang w:eastAsia="cs-CZ"/>
    </w:rPr>
  </w:style>
  <w:style w:type="table" w:customStyle="1" w:styleId="Mkatabulky3">
    <w:name w:val="Mřížka tabulky3"/>
    <w:basedOn w:val="Normlntabulka"/>
    <w:next w:val="Mkatabulky"/>
    <w:uiPriority w:val="59"/>
    <w:rsid w:val="00E60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3">
    <w:name w:val="List Number 3"/>
    <w:basedOn w:val="Normln"/>
    <w:uiPriority w:val="99"/>
    <w:semiHidden/>
    <w:unhideWhenUsed/>
    <w:rsid w:val="00AB0779"/>
    <w:pPr>
      <w:numPr>
        <w:numId w:val="22"/>
      </w:numPr>
      <w:contextualSpacing/>
    </w:pPr>
  </w:style>
  <w:style w:type="paragraph" w:customStyle="1" w:styleId="Nadpishlavn">
    <w:name w:val="Nadpis hlavní"/>
    <w:basedOn w:val="Normln"/>
    <w:qFormat/>
    <w:rsid w:val="0086699A"/>
    <w:pPr>
      <w:spacing w:before="600" w:line="240" w:lineRule="auto"/>
    </w:pPr>
    <w:rPr>
      <w:caps/>
      <w:color w:val="73767D"/>
      <w:sz w:val="36"/>
      <w:szCs w:val="20"/>
    </w:rPr>
  </w:style>
  <w:style w:type="character" w:customStyle="1" w:styleId="PodnadpisChar1">
    <w:name w:val="Podnadpis Char1"/>
    <w:basedOn w:val="Standardnpsmoodstavce"/>
    <w:rsid w:val="0086699A"/>
    <w:rPr>
      <w:rFonts w:ascii="Segoe UI" w:hAnsi="Segoe UI" w:cs="Segoe UI"/>
      <w:color w:val="73767D"/>
      <w:sz w:val="32"/>
      <w:szCs w:val="32"/>
    </w:rPr>
  </w:style>
  <w:style w:type="paragraph" w:styleId="Normlnweb">
    <w:name w:val="Normal (Web)"/>
    <w:basedOn w:val="Normln"/>
    <w:qFormat/>
    <w:rsid w:val="0086699A"/>
    <w:pPr>
      <w:spacing w:before="120"/>
      <w:jc w:val="both"/>
    </w:pPr>
  </w:style>
  <w:style w:type="table" w:customStyle="1" w:styleId="Mkatabulky4">
    <w:name w:val="Mřížka tabulky4"/>
    <w:basedOn w:val="Normlntabulka"/>
    <w:next w:val="Mkatabulky"/>
    <w:uiPriority w:val="59"/>
    <w:rsid w:val="008669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25138594">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119451778">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1751730734">
      <w:bodyDiv w:val="1"/>
      <w:marLeft w:val="0"/>
      <w:marRight w:val="0"/>
      <w:marTop w:val="0"/>
      <w:marBottom w:val="0"/>
      <w:divBdr>
        <w:top w:val="none" w:sz="0" w:space="0" w:color="auto"/>
        <w:left w:val="none" w:sz="0" w:space="0" w:color="auto"/>
        <w:bottom w:val="none" w:sz="0" w:space="0" w:color="auto"/>
        <w:right w:val="none" w:sz="0" w:space="0" w:color="auto"/>
      </w:divBdr>
    </w:div>
    <w:div w:id="2048605956">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986B-7C49-4B8C-875B-03B60DD6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5295</Words>
  <Characters>31243</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Troníčková Zuzana</cp:lastModifiedBy>
  <cp:revision>9</cp:revision>
  <cp:lastPrinted>2018-03-06T14:48:00Z</cp:lastPrinted>
  <dcterms:created xsi:type="dcterms:W3CDTF">2021-12-14T12:38:00Z</dcterms:created>
  <dcterms:modified xsi:type="dcterms:W3CDTF">2021-12-23T07:29:00Z</dcterms:modified>
</cp:coreProperties>
</file>