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jpe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E91E2" w14:textId="77777777"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14:paraId="400F688A" w14:textId="77777777"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14:paraId="2A2A3D04" w14:textId="77777777" w:rsidR="00FF28F8" w:rsidRPr="00FF28F8" w:rsidRDefault="00044EAC" w:rsidP="00FF28F8">
      <w:pPr>
        <w:pStyle w:val="Zkladntext"/>
        <w:widowControl/>
        <w:rPr>
          <w:rFonts w:ascii="Calibri" w:hAnsi="Calibri"/>
          <w:color w:val="auto"/>
          <w:spacing w:val="72"/>
          <w:szCs w:val="24"/>
        </w:rPr>
      </w:pPr>
      <w:r>
        <w:rPr>
          <w:rFonts w:ascii="Calibri" w:hAnsi="Calibri"/>
          <w:b/>
          <w:color w:val="auto"/>
          <w:spacing w:val="72"/>
          <w:szCs w:val="24"/>
        </w:rPr>
        <w:t>DÍLČÍ</w:t>
      </w:r>
      <w:r w:rsidR="00FF28F8" w:rsidRPr="00FF28F8">
        <w:rPr>
          <w:rFonts w:ascii="Calibri" w:hAnsi="Calibri"/>
          <w:b/>
          <w:color w:val="auto"/>
          <w:spacing w:val="72"/>
          <w:szCs w:val="24"/>
        </w:rPr>
        <w:t xml:space="preserve"> SMLOUVA</w:t>
      </w:r>
    </w:p>
    <w:p w14:paraId="317395D9" w14:textId="77777777" w:rsidR="00487F6C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r w:rsidRPr="00FF28F8">
        <w:rPr>
          <w:rFonts w:ascii="Calibri" w:hAnsi="Calibri"/>
          <w:b/>
          <w:caps/>
          <w:color w:val="auto"/>
          <w:spacing w:val="72"/>
          <w:szCs w:val="24"/>
        </w:rPr>
        <w:t>o poskytování právních služeb</w:t>
      </w:r>
    </w:p>
    <w:p w14:paraId="3A48860A" w14:textId="77777777" w:rsidR="00487F6C" w:rsidRPr="00FF28F8" w:rsidRDefault="00487F6C">
      <w:pPr>
        <w:pStyle w:val="Zkladntext"/>
        <w:widowControl/>
        <w:jc w:val="left"/>
        <w:rPr>
          <w:rFonts w:ascii="Calibri" w:hAnsi="Calibri"/>
          <w:b/>
          <w:color w:val="auto"/>
          <w:spacing w:val="72"/>
          <w:szCs w:val="24"/>
        </w:rPr>
      </w:pPr>
    </w:p>
    <w:p w14:paraId="0B4B102B" w14:textId="77777777" w:rsidR="000C058B" w:rsidRPr="00FF28F8" w:rsidRDefault="00925024" w:rsidP="00B065C2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Níže </w:t>
      </w:r>
      <w:r w:rsidR="0011526F" w:rsidRPr="00FF28F8">
        <w:rPr>
          <w:rFonts w:ascii="Calibri" w:hAnsi="Calibri"/>
          <w:szCs w:val="24"/>
        </w:rPr>
        <w:t>uv</w:t>
      </w:r>
      <w:r w:rsidR="000C058B" w:rsidRPr="00FF28F8">
        <w:rPr>
          <w:rFonts w:ascii="Calibri" w:hAnsi="Calibri"/>
          <w:szCs w:val="24"/>
        </w:rPr>
        <w:t>edeného dne, měsíce a roku byla</w:t>
      </w:r>
      <w:r w:rsidR="00FF28F8" w:rsidRPr="00FF28F8">
        <w:rPr>
          <w:rFonts w:ascii="Calibri" w:hAnsi="Calibri"/>
          <w:szCs w:val="24"/>
        </w:rPr>
        <w:t xml:space="preserve"> mezi těmito smluvními stranami</w:t>
      </w:r>
    </w:p>
    <w:p w14:paraId="59B7EFA0" w14:textId="77777777" w:rsidR="008D4095" w:rsidRPr="00FF28F8" w:rsidRDefault="008D4095" w:rsidP="008D4095">
      <w:pPr>
        <w:rPr>
          <w:rFonts w:ascii="Calibri" w:hAnsi="Calibri"/>
          <w:szCs w:val="24"/>
        </w:rPr>
      </w:pPr>
    </w:p>
    <w:p w14:paraId="0070BB33" w14:textId="77777777" w:rsidR="008D4095" w:rsidRPr="00FF28F8" w:rsidRDefault="008D4095" w:rsidP="008D4095">
      <w:pPr>
        <w:rPr>
          <w:rFonts w:ascii="Calibri" w:hAnsi="Calibri"/>
          <w:b/>
          <w:bCs/>
          <w:szCs w:val="24"/>
        </w:rPr>
      </w:pP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9539EA" w:rsidRPr="00FF28F8">
        <w:rPr>
          <w:rFonts w:ascii="Calibri" w:hAnsi="Calibri"/>
          <w:szCs w:val="24"/>
        </w:rPr>
        <w:tab/>
      </w:r>
      <w:r w:rsidR="00A40835" w:rsidRPr="00FF28F8">
        <w:rPr>
          <w:rStyle w:val="Siln"/>
          <w:rFonts w:ascii="Calibri" w:hAnsi="Calibri"/>
          <w:szCs w:val="24"/>
        </w:rPr>
        <w:t>Nemocnice Na Homolce</w:t>
      </w:r>
    </w:p>
    <w:p w14:paraId="7FCA407B" w14:textId="77777777" w:rsidR="007619D6" w:rsidRPr="00FF28F8" w:rsidRDefault="00BB3A72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se sídlem</w:t>
      </w:r>
      <w:r w:rsidR="007619D6" w:rsidRPr="00FF28F8">
        <w:rPr>
          <w:rFonts w:ascii="Calibri" w:hAnsi="Calibri"/>
          <w:szCs w:val="24"/>
        </w:rPr>
        <w:t>:</w:t>
      </w:r>
      <w:r w:rsidR="007619D6" w:rsidRPr="00FF28F8">
        <w:rPr>
          <w:rFonts w:ascii="Calibri" w:hAnsi="Calibri"/>
          <w:szCs w:val="24"/>
        </w:rPr>
        <w:tab/>
      </w:r>
      <w:r w:rsidR="007619D6"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Roentgenova 37/2, Motol, 150 00 Praha 5</w:t>
      </w:r>
    </w:p>
    <w:p w14:paraId="0D18AE4B" w14:textId="77777777"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00023884</w:t>
      </w:r>
    </w:p>
    <w:p w14:paraId="06E318CA" w14:textId="77777777" w:rsidR="008D4095" w:rsidRPr="00FF28F8" w:rsidRDefault="0034496A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DIČ: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CZ00023884</w:t>
      </w:r>
    </w:p>
    <w:p w14:paraId="513AB0EF" w14:textId="77777777" w:rsidR="008D4095" w:rsidRPr="00FF28F8" w:rsidRDefault="0034496A" w:rsidP="00EA3780">
      <w:pPr>
        <w:ind w:left="2124" w:hanging="2124"/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Zastoupená</w:t>
      </w:r>
      <w:r w:rsidR="00102671" w:rsidRPr="00FF28F8">
        <w:rPr>
          <w:rFonts w:ascii="Calibri" w:hAnsi="Calibri"/>
          <w:szCs w:val="24"/>
        </w:rPr>
        <w:t>:</w:t>
      </w:r>
      <w:r w:rsidR="00102671" w:rsidRPr="00FF28F8">
        <w:rPr>
          <w:rFonts w:ascii="Calibri" w:hAnsi="Calibri"/>
          <w:szCs w:val="24"/>
        </w:rPr>
        <w:tab/>
      </w:r>
      <w:r w:rsidR="00504B58" w:rsidRPr="00504B58">
        <w:rPr>
          <w:rFonts w:ascii="Calibri" w:hAnsi="Calibri"/>
          <w:szCs w:val="24"/>
        </w:rPr>
        <w:t xml:space="preserve">MUDr. Petrem </w:t>
      </w:r>
      <w:proofErr w:type="spellStart"/>
      <w:r w:rsidR="00504B58" w:rsidRPr="00504B58">
        <w:rPr>
          <w:rFonts w:ascii="Calibri" w:hAnsi="Calibri"/>
          <w:szCs w:val="24"/>
        </w:rPr>
        <w:t>Poloučkem</w:t>
      </w:r>
      <w:proofErr w:type="spellEnd"/>
      <w:r w:rsidR="00504B58" w:rsidRPr="00504B58">
        <w:rPr>
          <w:rFonts w:ascii="Calibri" w:hAnsi="Calibri"/>
          <w:szCs w:val="24"/>
        </w:rPr>
        <w:t>, MBA, ředitelem</w:t>
      </w:r>
    </w:p>
    <w:p w14:paraId="53A29977" w14:textId="77777777"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(dále jen </w:t>
      </w:r>
      <w:r w:rsidRPr="00FF28F8">
        <w:rPr>
          <w:rFonts w:ascii="Calibri" w:hAnsi="Calibri"/>
          <w:iCs/>
          <w:szCs w:val="24"/>
        </w:rPr>
        <w:t>„</w:t>
      </w:r>
      <w:r w:rsidRPr="00FF28F8">
        <w:rPr>
          <w:rFonts w:ascii="Calibri" w:hAnsi="Calibri"/>
          <w:b/>
          <w:bCs/>
          <w:iCs/>
          <w:szCs w:val="24"/>
        </w:rPr>
        <w:t>klient</w:t>
      </w:r>
      <w:r w:rsidRPr="00FF28F8">
        <w:rPr>
          <w:rFonts w:ascii="Calibri" w:hAnsi="Calibri"/>
          <w:iCs/>
          <w:szCs w:val="24"/>
        </w:rPr>
        <w:t>“</w:t>
      </w:r>
      <w:r w:rsidRPr="00FF28F8">
        <w:rPr>
          <w:rFonts w:ascii="Calibri" w:hAnsi="Calibri"/>
          <w:szCs w:val="24"/>
        </w:rPr>
        <w:t>)</w:t>
      </w:r>
    </w:p>
    <w:p w14:paraId="1FE63F80" w14:textId="77777777" w:rsidR="000C058B" w:rsidRPr="00FF28F8" w:rsidRDefault="000C058B" w:rsidP="00B065C2">
      <w:pPr>
        <w:rPr>
          <w:rFonts w:ascii="Calibri" w:hAnsi="Calibri"/>
          <w:szCs w:val="24"/>
        </w:rPr>
      </w:pPr>
    </w:p>
    <w:p w14:paraId="5F1EE019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a</w:t>
      </w:r>
      <w:r w:rsidR="00FF28F8">
        <w:rPr>
          <w:rFonts w:ascii="Calibri" w:hAnsi="Calibri"/>
          <w:color w:val="auto"/>
          <w:szCs w:val="24"/>
        </w:rPr>
        <w:t xml:space="preserve"> </w:t>
      </w:r>
    </w:p>
    <w:p w14:paraId="3E880DAD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04818396" w14:textId="2C5E3858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="00977112">
        <w:rPr>
          <w:rFonts w:ascii="Calibri" w:hAnsi="Calibri"/>
          <w:b/>
          <w:color w:val="auto"/>
          <w:szCs w:val="24"/>
        </w:rPr>
        <w:t xml:space="preserve">doc. </w:t>
      </w:r>
      <w:r w:rsidR="00A53708" w:rsidRPr="00FF28F8">
        <w:rPr>
          <w:rFonts w:ascii="Calibri" w:hAnsi="Calibri"/>
          <w:b/>
          <w:color w:val="auto"/>
          <w:szCs w:val="24"/>
        </w:rPr>
        <w:t>JUDr. Petr Šustek, Ph.D., advokát</w:t>
      </w:r>
    </w:p>
    <w:p w14:paraId="77A1CDE2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se sídlem: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Veleslavínova 3</w:t>
      </w:r>
      <w:r w:rsidRPr="00FF28F8">
        <w:rPr>
          <w:rFonts w:ascii="Calibri" w:hAnsi="Calibri"/>
          <w:color w:val="auto"/>
          <w:szCs w:val="24"/>
        </w:rPr>
        <w:t xml:space="preserve">, </w:t>
      </w:r>
      <w:r w:rsidR="00A53708" w:rsidRPr="00FF28F8">
        <w:rPr>
          <w:rFonts w:ascii="Calibri" w:hAnsi="Calibri"/>
          <w:color w:val="auto"/>
          <w:szCs w:val="24"/>
        </w:rPr>
        <w:t>110 00 Praha 1</w:t>
      </w:r>
    </w:p>
    <w:p w14:paraId="15644061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IČ: 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szCs w:val="24"/>
        </w:rPr>
        <w:t>71447351</w:t>
      </w:r>
    </w:p>
    <w:p w14:paraId="420684A8" w14:textId="77777777" w:rsidR="00A53708" w:rsidRPr="00FF28F8" w:rsidRDefault="00A5370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DIČ: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  <w:t>CZ8010315236</w:t>
      </w:r>
      <w:r w:rsidR="006A4656" w:rsidRPr="00FF28F8">
        <w:rPr>
          <w:rFonts w:ascii="Calibri" w:hAnsi="Calibri"/>
          <w:color w:val="auto"/>
          <w:szCs w:val="24"/>
        </w:rPr>
        <w:t>, plátce DPH</w:t>
      </w:r>
    </w:p>
    <w:p w14:paraId="0F1BFC72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osvědčení ČAK č.:</w:t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13453</w:t>
      </w:r>
    </w:p>
    <w:p w14:paraId="3FB06BF8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(dále jen </w:t>
      </w:r>
      <w:r w:rsidRPr="00FF28F8">
        <w:rPr>
          <w:rFonts w:ascii="Calibri" w:hAnsi="Calibri"/>
          <w:iCs/>
          <w:color w:val="auto"/>
          <w:szCs w:val="24"/>
        </w:rPr>
        <w:t>„</w:t>
      </w:r>
      <w:r w:rsidRPr="00FF28F8">
        <w:rPr>
          <w:rFonts w:ascii="Calibri" w:hAnsi="Calibri"/>
          <w:b/>
          <w:bCs/>
          <w:iCs/>
          <w:color w:val="auto"/>
          <w:szCs w:val="24"/>
        </w:rPr>
        <w:t>advokát</w:t>
      </w:r>
      <w:r w:rsidRPr="00FF28F8">
        <w:rPr>
          <w:rFonts w:ascii="Calibri" w:hAnsi="Calibri"/>
          <w:iCs/>
          <w:color w:val="auto"/>
          <w:szCs w:val="24"/>
        </w:rPr>
        <w:t>“</w:t>
      </w:r>
      <w:r w:rsidRPr="00FF28F8">
        <w:rPr>
          <w:rFonts w:ascii="Calibri" w:hAnsi="Calibri"/>
          <w:color w:val="auto"/>
          <w:szCs w:val="24"/>
        </w:rPr>
        <w:t>)</w:t>
      </w:r>
    </w:p>
    <w:p w14:paraId="6E2AD8AA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7CC6EE36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 souladu s ustanoveními zákona č. 85/1996 Sb. o advokacii, v účinném znění, uzavřena tato</w:t>
      </w:r>
      <w:r w:rsidR="00FF28F8" w:rsidRPr="00FF28F8">
        <w:rPr>
          <w:rFonts w:ascii="Calibri" w:hAnsi="Calibri"/>
          <w:color w:val="auto"/>
          <w:szCs w:val="24"/>
        </w:rPr>
        <w:t xml:space="preserve"> </w:t>
      </w:r>
      <w:r w:rsidR="00044EAC">
        <w:rPr>
          <w:rFonts w:ascii="Calibri" w:hAnsi="Calibri"/>
          <w:color w:val="auto"/>
          <w:szCs w:val="24"/>
        </w:rPr>
        <w:t>dílčí</w:t>
      </w:r>
      <w:r w:rsidR="00FF28F8" w:rsidRPr="00FF28F8">
        <w:rPr>
          <w:rFonts w:ascii="Calibri" w:hAnsi="Calibri"/>
          <w:color w:val="auto"/>
          <w:szCs w:val="24"/>
        </w:rPr>
        <w:t xml:space="preserve"> smlouva o poskytování právních služeb (dále jen „</w:t>
      </w:r>
      <w:r w:rsidR="00FF28F8" w:rsidRPr="00FF28F8">
        <w:rPr>
          <w:rFonts w:ascii="Calibri" w:hAnsi="Calibri"/>
          <w:b/>
          <w:color w:val="auto"/>
          <w:szCs w:val="24"/>
        </w:rPr>
        <w:t>smlouva</w:t>
      </w:r>
      <w:r w:rsidR="00FF28F8" w:rsidRPr="00FF28F8">
        <w:rPr>
          <w:rFonts w:ascii="Calibri" w:hAnsi="Calibri"/>
          <w:color w:val="auto"/>
          <w:szCs w:val="24"/>
        </w:rPr>
        <w:t>“):</w:t>
      </w:r>
    </w:p>
    <w:p w14:paraId="76AD8294" w14:textId="77777777" w:rsidR="00487F6C" w:rsidRPr="00FF28F8" w:rsidRDefault="00487F6C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7977566E" w14:textId="77777777" w:rsidR="000C058B" w:rsidRPr="00FF28F8" w:rsidRDefault="000C058B">
      <w:pPr>
        <w:pStyle w:val="Zkladntext"/>
        <w:widowControl/>
        <w:rPr>
          <w:rFonts w:ascii="Calibri" w:hAnsi="Calibri"/>
          <w:b/>
          <w:color w:val="auto"/>
          <w:szCs w:val="24"/>
        </w:rPr>
      </w:pPr>
    </w:p>
    <w:p w14:paraId="723BC51A" w14:textId="77777777" w:rsidR="00F253D9" w:rsidRPr="00F253D9" w:rsidRDefault="00044EAC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Smluvní strany mezi sebou dne</w:t>
      </w:r>
      <w:r w:rsidR="0074734B">
        <w:rPr>
          <w:rFonts w:ascii="Calibri" w:hAnsi="Calibri"/>
          <w:color w:val="auto"/>
          <w:szCs w:val="24"/>
        </w:rPr>
        <w:t xml:space="preserve"> 13. 11. 2018</w:t>
      </w:r>
      <w:r w:rsidR="00906EBF">
        <w:rPr>
          <w:rFonts w:ascii="Calibri" w:hAnsi="Calibri"/>
          <w:color w:val="auto"/>
          <w:szCs w:val="24"/>
        </w:rPr>
        <w:t xml:space="preserve"> uzavřely</w:t>
      </w:r>
      <w:r>
        <w:rPr>
          <w:rFonts w:ascii="Calibri" w:hAnsi="Calibri"/>
          <w:color w:val="auto"/>
          <w:szCs w:val="24"/>
        </w:rPr>
        <w:t xml:space="preserve"> rámcovou smlouvu o poskytování právních služeb, jejímž předmětem bylo sjednán</w:t>
      </w:r>
      <w:r w:rsidR="00F253D9">
        <w:rPr>
          <w:rFonts w:ascii="Calibri" w:hAnsi="Calibri"/>
          <w:color w:val="auto"/>
          <w:szCs w:val="24"/>
        </w:rPr>
        <w:t>í</w:t>
      </w:r>
      <w:r>
        <w:rPr>
          <w:rFonts w:ascii="Calibri" w:hAnsi="Calibri"/>
          <w:color w:val="auto"/>
          <w:szCs w:val="24"/>
        </w:rPr>
        <w:t xml:space="preserve"> rámcových podmínek </w:t>
      </w:r>
      <w:r w:rsidR="00883E21" w:rsidRPr="00FF28F8">
        <w:rPr>
          <w:rFonts w:ascii="Calibri" w:hAnsi="Calibri"/>
          <w:color w:val="auto"/>
          <w:szCs w:val="24"/>
        </w:rPr>
        <w:t>pro</w:t>
      </w:r>
      <w:r w:rsidR="007477EF">
        <w:rPr>
          <w:rFonts w:ascii="Calibri" w:hAnsi="Calibri"/>
          <w:color w:val="auto"/>
          <w:szCs w:val="24"/>
        </w:rPr>
        <w:t xml:space="preserve"> </w:t>
      </w:r>
      <w:r w:rsidR="00883E21" w:rsidRPr="00FF28F8">
        <w:rPr>
          <w:rFonts w:ascii="Calibri" w:hAnsi="Calibri"/>
          <w:color w:val="auto"/>
          <w:szCs w:val="24"/>
        </w:rPr>
        <w:t xml:space="preserve">poskytování právních služeb </w:t>
      </w:r>
      <w:r w:rsidR="00F82AD2" w:rsidRPr="00FF28F8">
        <w:rPr>
          <w:rFonts w:ascii="Calibri" w:hAnsi="Calibri"/>
          <w:color w:val="auto"/>
          <w:szCs w:val="24"/>
        </w:rPr>
        <w:t>klientovi, které advokát provozuje jako nezávislé povolání advokáta za úplatu</w:t>
      </w:r>
      <w:r w:rsidR="00F253D9">
        <w:rPr>
          <w:rFonts w:ascii="Calibri" w:hAnsi="Calibri"/>
          <w:color w:val="auto"/>
          <w:szCs w:val="24"/>
        </w:rPr>
        <w:t xml:space="preserve">, a to zejména </w:t>
      </w:r>
      <w:r w:rsidR="00F253D9" w:rsidRPr="00F47C0B">
        <w:rPr>
          <w:rFonts w:asciiTheme="minorHAnsi" w:hAnsiTheme="minorHAnsi" w:cstheme="minorHAnsi"/>
        </w:rPr>
        <w:t xml:space="preserve">jednání činěná podle jednotlivých pokynů klienta </w:t>
      </w:r>
      <w:r w:rsidR="00F253D9">
        <w:rPr>
          <w:rFonts w:asciiTheme="minorHAnsi" w:hAnsiTheme="minorHAnsi" w:cstheme="minorHAnsi"/>
        </w:rPr>
        <w:t xml:space="preserve">ve smyslu </w:t>
      </w:r>
      <w:proofErr w:type="spellStart"/>
      <w:r w:rsidR="00F253D9">
        <w:rPr>
          <w:rFonts w:asciiTheme="minorHAnsi" w:hAnsiTheme="minorHAnsi" w:cstheme="minorHAnsi"/>
        </w:rPr>
        <w:t>ust</w:t>
      </w:r>
      <w:proofErr w:type="spellEnd"/>
      <w:r w:rsidR="00F253D9">
        <w:rPr>
          <w:rFonts w:asciiTheme="minorHAnsi" w:hAnsiTheme="minorHAnsi" w:cstheme="minorHAnsi"/>
        </w:rPr>
        <w:t>. §</w:t>
      </w:r>
      <w:r w:rsidR="00F253D9" w:rsidRPr="00F47C0B">
        <w:rPr>
          <w:rFonts w:asciiTheme="minorHAnsi" w:hAnsiTheme="minorHAnsi" w:cstheme="minorHAnsi"/>
          <w:b/>
        </w:rPr>
        <w:t xml:space="preserve"> </w:t>
      </w:r>
      <w:r w:rsidR="00F253D9" w:rsidRPr="00F253D9">
        <w:rPr>
          <w:rFonts w:asciiTheme="minorHAnsi" w:hAnsiTheme="minorHAnsi" w:cstheme="minorHAnsi"/>
        </w:rPr>
        <w:t>29 písm. k) zákona č. 134/2016 Sb., o zadávání veřejný</w:t>
      </w:r>
      <w:r w:rsidR="00906EBF">
        <w:rPr>
          <w:rFonts w:asciiTheme="minorHAnsi" w:hAnsiTheme="minorHAnsi" w:cstheme="minorHAnsi"/>
        </w:rPr>
        <w:t>ch zakázek, tj. právní služby a </w:t>
      </w:r>
      <w:r w:rsidR="00F253D9" w:rsidRPr="00F253D9">
        <w:rPr>
          <w:rFonts w:asciiTheme="minorHAnsi" w:hAnsiTheme="minorHAnsi" w:cstheme="minorHAnsi"/>
        </w:rPr>
        <w:t>zastupování klienta v souvislosti s probíhajícími či hrozícími soudními spory</w:t>
      </w:r>
      <w:r w:rsidR="009A49FC">
        <w:rPr>
          <w:rFonts w:asciiTheme="minorHAnsi" w:hAnsiTheme="minorHAnsi" w:cstheme="minorHAnsi"/>
        </w:rPr>
        <w:t xml:space="preserve"> (dále jen „rámcová smlouva“)</w:t>
      </w:r>
      <w:r w:rsidR="00F253D9" w:rsidRPr="00F253D9">
        <w:rPr>
          <w:rFonts w:asciiTheme="minorHAnsi" w:hAnsiTheme="minorHAnsi" w:cstheme="minorHAnsi"/>
        </w:rPr>
        <w:t xml:space="preserve">. </w:t>
      </w:r>
      <w:r w:rsidR="00F82AD2" w:rsidRPr="00F253D9">
        <w:rPr>
          <w:rFonts w:ascii="Calibri" w:hAnsi="Calibri"/>
          <w:color w:val="auto"/>
          <w:szCs w:val="24"/>
        </w:rPr>
        <w:t xml:space="preserve"> </w:t>
      </w:r>
    </w:p>
    <w:p w14:paraId="7A055C1F" w14:textId="77777777" w:rsidR="000C058B" w:rsidRPr="00F253D9" w:rsidRDefault="000C058B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14:paraId="22B4430A" w14:textId="01C82A0E" w:rsidR="0005658A" w:rsidRPr="00796BE9" w:rsidRDefault="00F253D9" w:rsidP="000E164D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 w:rsidRPr="00796BE9">
        <w:rPr>
          <w:rFonts w:asciiTheme="minorHAnsi" w:hAnsiTheme="minorHAnsi" w:cstheme="minorHAnsi"/>
          <w:color w:val="auto"/>
          <w:szCs w:val="24"/>
        </w:rPr>
        <w:t xml:space="preserve">V souladu s čl. </w:t>
      </w:r>
      <w:proofErr w:type="gramStart"/>
      <w:r w:rsidRPr="00796BE9">
        <w:rPr>
          <w:rFonts w:asciiTheme="minorHAnsi" w:hAnsiTheme="minorHAnsi" w:cstheme="minorHAnsi"/>
          <w:color w:val="auto"/>
          <w:szCs w:val="24"/>
        </w:rPr>
        <w:t>1.3. rámcové</w:t>
      </w:r>
      <w:proofErr w:type="gramEnd"/>
      <w:r w:rsidRPr="00796BE9">
        <w:rPr>
          <w:rFonts w:asciiTheme="minorHAnsi" w:hAnsiTheme="minorHAnsi" w:cstheme="minorHAnsi"/>
          <w:color w:val="auto"/>
          <w:szCs w:val="24"/>
        </w:rPr>
        <w:t xml:space="preserve"> smlouvy sjednávají smlu</w:t>
      </w:r>
      <w:r w:rsidR="0076778E" w:rsidRPr="00796BE9">
        <w:rPr>
          <w:rFonts w:asciiTheme="minorHAnsi" w:hAnsiTheme="minorHAnsi" w:cstheme="minorHAnsi"/>
          <w:color w:val="auto"/>
          <w:szCs w:val="24"/>
        </w:rPr>
        <w:t>vní strany tuto dílčí smlouvu o </w:t>
      </w:r>
      <w:r w:rsidRPr="00796BE9">
        <w:rPr>
          <w:rFonts w:asciiTheme="minorHAnsi" w:hAnsiTheme="minorHAnsi" w:cstheme="minorHAnsi"/>
          <w:color w:val="auto"/>
          <w:szCs w:val="24"/>
        </w:rPr>
        <w:t>poskytování právních služeb, jejímž předmětem je pokyn klienta k</w:t>
      </w:r>
      <w:r w:rsidR="00110772" w:rsidRPr="00796BE9">
        <w:rPr>
          <w:rFonts w:asciiTheme="minorHAnsi" w:hAnsiTheme="minorHAnsi" w:cstheme="minorHAnsi"/>
          <w:color w:val="auto"/>
          <w:szCs w:val="24"/>
        </w:rPr>
        <w:t> </w:t>
      </w:r>
      <w:r w:rsidR="00110772" w:rsidRPr="00796BE9">
        <w:rPr>
          <w:rFonts w:asciiTheme="minorHAnsi" w:hAnsiTheme="minorHAnsi" w:cstheme="minorHAnsi"/>
          <w:b/>
          <w:color w:val="auto"/>
          <w:szCs w:val="24"/>
        </w:rPr>
        <w:t xml:space="preserve">poskytování právních služeb a </w:t>
      </w:r>
      <w:r w:rsidRPr="00796BE9">
        <w:rPr>
          <w:rFonts w:asciiTheme="minorHAnsi" w:hAnsiTheme="minorHAnsi" w:cstheme="minorHAnsi"/>
          <w:b/>
          <w:color w:val="auto"/>
          <w:szCs w:val="24"/>
        </w:rPr>
        <w:t xml:space="preserve">zastupování </w:t>
      </w:r>
      <w:r w:rsidR="00110772" w:rsidRPr="00796BE9">
        <w:rPr>
          <w:rFonts w:asciiTheme="minorHAnsi" w:hAnsiTheme="minorHAnsi" w:cstheme="minorHAnsi"/>
          <w:b/>
          <w:color w:val="auto"/>
          <w:szCs w:val="24"/>
        </w:rPr>
        <w:t xml:space="preserve">klienta ve věci </w:t>
      </w:r>
      <w:r w:rsidR="00B774FF" w:rsidRPr="00796BE9">
        <w:rPr>
          <w:rFonts w:asciiTheme="minorHAnsi" w:hAnsiTheme="minorHAnsi" w:cstheme="minorHAnsi"/>
          <w:b/>
          <w:color w:val="auto"/>
          <w:szCs w:val="24"/>
        </w:rPr>
        <w:t xml:space="preserve">daňového řízení </w:t>
      </w:r>
      <w:r w:rsidR="00B774FF" w:rsidRPr="00796BE9">
        <w:rPr>
          <w:rFonts w:asciiTheme="minorHAnsi" w:hAnsiTheme="minorHAnsi" w:cstheme="minorHAnsi"/>
          <w:color w:val="auto"/>
          <w:szCs w:val="24"/>
        </w:rPr>
        <w:t xml:space="preserve">o porušení rozpočtové kázně před Finančním úřadem pro </w:t>
      </w:r>
      <w:r w:rsidR="003C0B20" w:rsidRPr="00796BE9">
        <w:rPr>
          <w:rFonts w:asciiTheme="minorHAnsi" w:hAnsiTheme="minorHAnsi" w:cstheme="minorHAnsi"/>
          <w:color w:val="auto"/>
          <w:szCs w:val="24"/>
        </w:rPr>
        <w:t>hlavní město Prahu, Oddělením</w:t>
      </w:r>
      <w:r w:rsidR="00B774FF" w:rsidRPr="00796BE9">
        <w:rPr>
          <w:rFonts w:asciiTheme="minorHAnsi" w:hAnsiTheme="minorHAnsi" w:cstheme="minorHAnsi"/>
          <w:color w:val="auto"/>
          <w:szCs w:val="24"/>
        </w:rPr>
        <w:t xml:space="preserve"> kontroly zvláštních činností</w:t>
      </w:r>
      <w:r w:rsidR="003C0B20" w:rsidRPr="00796BE9">
        <w:rPr>
          <w:rFonts w:asciiTheme="minorHAnsi" w:hAnsiTheme="minorHAnsi" w:cstheme="minorHAnsi"/>
          <w:color w:val="auto"/>
          <w:szCs w:val="24"/>
        </w:rPr>
        <w:t xml:space="preserve"> VI.</w:t>
      </w:r>
      <w:r w:rsidR="00EA4210" w:rsidRPr="00796BE9">
        <w:rPr>
          <w:rFonts w:asciiTheme="minorHAnsi" w:hAnsiTheme="minorHAnsi" w:cstheme="minorHAnsi"/>
          <w:color w:val="auto"/>
          <w:szCs w:val="24"/>
        </w:rPr>
        <w:t>,</w:t>
      </w:r>
      <w:r w:rsidR="000E164D" w:rsidRPr="00796BE9">
        <w:rPr>
          <w:rFonts w:asciiTheme="minorHAnsi" w:hAnsiTheme="minorHAnsi" w:cstheme="minorHAnsi"/>
          <w:color w:val="auto"/>
          <w:szCs w:val="24"/>
        </w:rPr>
        <w:t xml:space="preserve"> </w:t>
      </w:r>
      <w:r w:rsidR="003C0B20" w:rsidRPr="00796BE9">
        <w:rPr>
          <w:rFonts w:asciiTheme="minorHAnsi" w:hAnsiTheme="minorHAnsi" w:cstheme="minorHAnsi"/>
          <w:color w:val="auto"/>
          <w:szCs w:val="24"/>
        </w:rPr>
        <w:t xml:space="preserve">v jehož rámci byl vydán platební výměr na odvod za porušení rozpočtové kázně </w:t>
      </w:r>
      <w:r w:rsidR="0005658A" w:rsidRPr="00796BE9">
        <w:rPr>
          <w:rFonts w:ascii="Calibri" w:hAnsi="Calibri" w:cs="Calibri"/>
          <w:bCs/>
        </w:rPr>
        <w:t>č. j.: 8691075/21/2000-31476-108894</w:t>
      </w:r>
      <w:r w:rsidR="0005658A" w:rsidRPr="00796BE9">
        <w:t xml:space="preserve"> </w:t>
      </w:r>
      <w:r w:rsidR="003C0B20" w:rsidRPr="00796BE9">
        <w:rPr>
          <w:rFonts w:asciiTheme="minorHAnsi" w:hAnsiTheme="minorHAnsi" w:cstheme="minorHAnsi"/>
          <w:color w:val="auto"/>
          <w:szCs w:val="24"/>
        </w:rPr>
        <w:t xml:space="preserve">ze dne 3. </w:t>
      </w:r>
      <w:r w:rsidR="0005658A" w:rsidRPr="00796BE9">
        <w:rPr>
          <w:rFonts w:asciiTheme="minorHAnsi" w:hAnsiTheme="minorHAnsi" w:cstheme="minorHAnsi"/>
          <w:color w:val="auto"/>
          <w:szCs w:val="24"/>
        </w:rPr>
        <w:t>12</w:t>
      </w:r>
      <w:r w:rsidR="003C0B20" w:rsidRPr="00796BE9">
        <w:rPr>
          <w:rFonts w:asciiTheme="minorHAnsi" w:hAnsiTheme="minorHAnsi" w:cstheme="minorHAnsi"/>
          <w:color w:val="auto"/>
          <w:szCs w:val="24"/>
        </w:rPr>
        <w:t>. 20</w:t>
      </w:r>
      <w:r w:rsidR="0005658A" w:rsidRPr="00796BE9">
        <w:rPr>
          <w:rFonts w:asciiTheme="minorHAnsi" w:hAnsiTheme="minorHAnsi" w:cstheme="minorHAnsi"/>
          <w:color w:val="auto"/>
          <w:szCs w:val="24"/>
        </w:rPr>
        <w:t>21, včetně případného zastupování v případě vyměření penále v souvislosti s tímto platebním výměrem.</w:t>
      </w:r>
    </w:p>
    <w:p w14:paraId="7335B5DC" w14:textId="77777777" w:rsidR="0018639D" w:rsidRPr="0080177F" w:rsidRDefault="0018639D" w:rsidP="0018639D">
      <w:pPr>
        <w:pStyle w:val="Zkladntext"/>
        <w:widowControl/>
        <w:jc w:val="both"/>
        <w:rPr>
          <w:rFonts w:asciiTheme="minorHAnsi" w:hAnsiTheme="minorHAnsi" w:cstheme="minorHAnsi"/>
          <w:color w:val="auto"/>
          <w:szCs w:val="24"/>
        </w:rPr>
      </w:pPr>
      <w:bookmarkStart w:id="0" w:name="_GoBack"/>
      <w:bookmarkEnd w:id="0"/>
    </w:p>
    <w:p w14:paraId="6E8E9ED2" w14:textId="77777777" w:rsidR="00F253D9" w:rsidRDefault="006810D4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Klient se zavazuje udělit advokátu plnou </w:t>
      </w:r>
      <w:proofErr w:type="gramStart"/>
      <w:r>
        <w:rPr>
          <w:rFonts w:asciiTheme="minorHAnsi" w:hAnsiTheme="minorHAnsi" w:cstheme="minorHAnsi"/>
          <w:color w:val="auto"/>
          <w:szCs w:val="24"/>
        </w:rPr>
        <w:t>moc jakož</w:t>
      </w:r>
      <w:proofErr w:type="gramEnd"/>
      <w:r>
        <w:rPr>
          <w:rFonts w:asciiTheme="minorHAnsi" w:hAnsiTheme="minorHAnsi" w:cstheme="minorHAnsi"/>
          <w:color w:val="auto"/>
          <w:szCs w:val="24"/>
        </w:rPr>
        <w:t xml:space="preserve"> i veškerou potřebnou součinnost pro účely poskytnutí plnění dle této smlouvy. </w:t>
      </w:r>
    </w:p>
    <w:p w14:paraId="706FDFB0" w14:textId="77777777" w:rsidR="009644E3" w:rsidRPr="00FF28F8" w:rsidRDefault="009644E3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14:paraId="6D5C4AB5" w14:textId="77777777" w:rsidR="006D473D" w:rsidRDefault="00F47C0B" w:rsidP="006D473D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lastRenderedPageBreak/>
        <w:t xml:space="preserve">Poskytnutí </w:t>
      </w:r>
      <w:r w:rsidR="00F253D9">
        <w:rPr>
          <w:rFonts w:ascii="Calibri" w:hAnsi="Calibri"/>
          <w:color w:val="auto"/>
          <w:szCs w:val="24"/>
        </w:rPr>
        <w:t xml:space="preserve">jednotlivých </w:t>
      </w:r>
      <w:r w:rsidRPr="00FF28F8">
        <w:rPr>
          <w:rFonts w:ascii="Calibri" w:hAnsi="Calibri"/>
          <w:color w:val="auto"/>
          <w:szCs w:val="24"/>
        </w:rPr>
        <w:t xml:space="preserve">právních služeb pro klienta bude realizováno </w:t>
      </w:r>
      <w:r w:rsidR="00BF2401" w:rsidRPr="00FF28F8">
        <w:rPr>
          <w:rFonts w:ascii="Calibri" w:hAnsi="Calibri"/>
          <w:color w:val="auto"/>
          <w:szCs w:val="24"/>
        </w:rPr>
        <w:t>v souladu s pokyny klienta a zabezpečen</w:t>
      </w:r>
      <w:r w:rsidR="006B4031" w:rsidRPr="00FF28F8">
        <w:rPr>
          <w:rFonts w:ascii="Calibri" w:hAnsi="Calibri"/>
          <w:color w:val="auto"/>
          <w:szCs w:val="24"/>
        </w:rPr>
        <w:t>y</w:t>
      </w:r>
      <w:r w:rsidR="00BF2401" w:rsidRPr="00FF28F8">
        <w:rPr>
          <w:rFonts w:ascii="Calibri" w:hAnsi="Calibri"/>
          <w:color w:val="auto"/>
          <w:szCs w:val="24"/>
        </w:rPr>
        <w:t xml:space="preserve"> advokátem, jeho spolupracujícími advokáty a jejich zaměstnanci (včetně advokátních koncipientů), a to</w:t>
      </w:r>
      <w:r w:rsidR="00F253D9">
        <w:rPr>
          <w:rFonts w:ascii="Calibri" w:hAnsi="Calibri"/>
          <w:color w:val="auto"/>
          <w:szCs w:val="24"/>
        </w:rPr>
        <w:t xml:space="preserve"> pokyny</w:t>
      </w:r>
      <w:r w:rsidR="00BF2401" w:rsidRPr="00FF28F8">
        <w:rPr>
          <w:rFonts w:ascii="Calibri" w:hAnsi="Calibri"/>
          <w:color w:val="auto"/>
          <w:szCs w:val="24"/>
        </w:rPr>
        <w:t xml:space="preserve"> písemný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faxový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e-mailový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telefonický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 xml:space="preserve"> či ústní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v sídle advokáta, popřípadě v sídle klienta, případně podle požadavku klienta i v sídle třetích osob</w:t>
      </w:r>
      <w:r>
        <w:rPr>
          <w:rFonts w:ascii="Calibri" w:hAnsi="Calibri"/>
          <w:color w:val="auto"/>
          <w:szCs w:val="24"/>
        </w:rPr>
        <w:t xml:space="preserve"> (např. v místě konání soudu)</w:t>
      </w:r>
      <w:r w:rsidR="00BF2401" w:rsidRPr="00FF28F8">
        <w:rPr>
          <w:rFonts w:ascii="Calibri" w:hAnsi="Calibri"/>
          <w:color w:val="auto"/>
          <w:szCs w:val="24"/>
        </w:rPr>
        <w:t>.</w:t>
      </w:r>
      <w:r w:rsidR="00F253D9">
        <w:rPr>
          <w:rFonts w:ascii="Calibri" w:hAnsi="Calibri"/>
          <w:color w:val="auto"/>
          <w:szCs w:val="24"/>
        </w:rPr>
        <w:t xml:space="preserve"> Podmínky poskytování právních služeb dle této smlouvy se řídí rámcovou smlouvou</w:t>
      </w:r>
      <w:r w:rsidR="009A49FC">
        <w:rPr>
          <w:rFonts w:ascii="Calibri" w:hAnsi="Calibri"/>
          <w:color w:val="auto"/>
          <w:szCs w:val="24"/>
        </w:rPr>
        <w:t xml:space="preserve">. </w:t>
      </w:r>
      <w:r w:rsidR="00F253D9">
        <w:rPr>
          <w:rFonts w:ascii="Calibri" w:hAnsi="Calibri"/>
          <w:color w:val="auto"/>
          <w:szCs w:val="24"/>
        </w:rPr>
        <w:t xml:space="preserve"> </w:t>
      </w:r>
    </w:p>
    <w:p w14:paraId="231CA463" w14:textId="77777777" w:rsidR="006D473D" w:rsidRDefault="006D473D" w:rsidP="006D473D">
      <w:pPr>
        <w:pStyle w:val="Odstavecseseznamem"/>
        <w:rPr>
          <w:rFonts w:ascii="Calibri" w:hAnsi="Calibri"/>
          <w:szCs w:val="24"/>
        </w:rPr>
      </w:pPr>
    </w:p>
    <w:p w14:paraId="5B175111" w14:textId="02E02E49" w:rsidR="00110772" w:rsidRPr="006D473D" w:rsidRDefault="00110772" w:rsidP="006D473D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6D473D">
        <w:rPr>
          <w:rFonts w:ascii="Calibri" w:hAnsi="Calibri"/>
          <w:color w:val="auto"/>
          <w:szCs w:val="24"/>
        </w:rPr>
        <w:t xml:space="preserve">Předpokládaný rozsah práce dle této dílčí smlouvy: převzetí věci a seznámení s poskytnutými podklady </w:t>
      </w:r>
      <w:r w:rsidR="00DD7955" w:rsidRPr="006D473D">
        <w:rPr>
          <w:rFonts w:ascii="Calibri" w:hAnsi="Calibri"/>
          <w:color w:val="auto"/>
          <w:szCs w:val="24"/>
        </w:rPr>
        <w:t>1</w:t>
      </w:r>
      <w:r w:rsidRPr="006D473D">
        <w:rPr>
          <w:rFonts w:ascii="Calibri" w:hAnsi="Calibri"/>
          <w:color w:val="auto"/>
          <w:szCs w:val="24"/>
        </w:rPr>
        <w:t xml:space="preserve">h, </w:t>
      </w:r>
      <w:r w:rsidR="00DD7955" w:rsidRPr="006D473D">
        <w:rPr>
          <w:rFonts w:ascii="Calibri" w:hAnsi="Calibri"/>
          <w:color w:val="auto"/>
          <w:szCs w:val="24"/>
        </w:rPr>
        <w:t>příprava odvolání</w:t>
      </w:r>
      <w:r w:rsidR="006B4631" w:rsidRPr="006D473D">
        <w:rPr>
          <w:rFonts w:ascii="Calibri" w:hAnsi="Calibri"/>
          <w:color w:val="auto"/>
          <w:szCs w:val="24"/>
        </w:rPr>
        <w:t xml:space="preserve"> </w:t>
      </w:r>
      <w:r w:rsidR="00DD7955" w:rsidRPr="006D473D">
        <w:rPr>
          <w:rFonts w:ascii="Calibri" w:hAnsi="Calibri"/>
          <w:color w:val="auto"/>
          <w:szCs w:val="24"/>
        </w:rPr>
        <w:t>3</w:t>
      </w:r>
      <w:r w:rsidR="006B4631" w:rsidRPr="006D473D">
        <w:rPr>
          <w:rFonts w:ascii="Calibri" w:hAnsi="Calibri"/>
          <w:color w:val="auto"/>
          <w:szCs w:val="24"/>
        </w:rPr>
        <w:t>h</w:t>
      </w:r>
      <w:r w:rsidR="006810D4" w:rsidRPr="006D473D">
        <w:rPr>
          <w:rFonts w:ascii="Calibri" w:hAnsi="Calibri"/>
          <w:color w:val="auto"/>
          <w:szCs w:val="24"/>
        </w:rPr>
        <w:t>, další</w:t>
      </w:r>
      <w:r w:rsidR="006B4631" w:rsidRPr="006D473D">
        <w:rPr>
          <w:rFonts w:ascii="Calibri" w:hAnsi="Calibri"/>
          <w:color w:val="auto"/>
          <w:szCs w:val="24"/>
        </w:rPr>
        <w:t xml:space="preserve"> dle vývoje </w:t>
      </w:r>
      <w:r w:rsidR="00DD7955" w:rsidRPr="006D473D">
        <w:rPr>
          <w:rFonts w:ascii="Calibri" w:hAnsi="Calibri"/>
          <w:color w:val="auto"/>
          <w:szCs w:val="24"/>
        </w:rPr>
        <w:t>řízení</w:t>
      </w:r>
      <w:r w:rsidR="006B4631" w:rsidRPr="006D473D">
        <w:rPr>
          <w:rFonts w:ascii="Calibri" w:hAnsi="Calibri"/>
          <w:color w:val="auto"/>
          <w:szCs w:val="24"/>
        </w:rPr>
        <w:t xml:space="preserve">. </w:t>
      </w:r>
      <w:r w:rsidR="006810D4" w:rsidRPr="006D473D">
        <w:rPr>
          <w:rFonts w:ascii="Calibri" w:hAnsi="Calibri"/>
          <w:color w:val="auto"/>
          <w:szCs w:val="24"/>
        </w:rPr>
        <w:t xml:space="preserve"> Smluvní strany berou na vědomí, že uvedený rozsah práce je orientační a může se měnit v závislosti na vývoji ve věci, přičemž není možno předem vyloučit nutnost poskytování dalších služeb či vyšší časové dotace u služeb předpokládaných výše. </w:t>
      </w:r>
      <w:r w:rsidR="00162013" w:rsidRPr="006D473D">
        <w:rPr>
          <w:rFonts w:ascii="Calibri" w:hAnsi="Calibri"/>
          <w:color w:val="auto"/>
          <w:szCs w:val="24"/>
        </w:rPr>
        <w:t xml:space="preserve">Maximální rozsah práce dle této dílčí smlouvy je 50 hodin, po překročení této časové dotace se smluvní strany zavazují dohodnout na dalším postupu. </w:t>
      </w:r>
      <w:r w:rsidR="006810D4" w:rsidRPr="006D473D">
        <w:rPr>
          <w:rFonts w:ascii="Calibri" w:hAnsi="Calibri"/>
          <w:color w:val="auto"/>
          <w:szCs w:val="24"/>
        </w:rPr>
        <w:t>Veškeré právní služby budou poskytovány v souladu s odst. 4 této smlouvy s vědomím klienta a v souladu s jeho pokyny.</w:t>
      </w:r>
    </w:p>
    <w:p w14:paraId="288DD590" w14:textId="77777777"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14:paraId="6446CDBA" w14:textId="77777777"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Tato smlouva se uzavírá na dobu </w:t>
      </w:r>
      <w:r w:rsidR="00265AB3" w:rsidRPr="009A49FC">
        <w:rPr>
          <w:rFonts w:ascii="Calibri" w:hAnsi="Calibri"/>
          <w:color w:val="auto"/>
          <w:szCs w:val="24"/>
        </w:rPr>
        <w:t>ne</w:t>
      </w:r>
      <w:r w:rsidR="007F625B" w:rsidRPr="009A49FC">
        <w:rPr>
          <w:rFonts w:ascii="Calibri" w:hAnsi="Calibri"/>
          <w:color w:val="auto"/>
          <w:szCs w:val="24"/>
        </w:rPr>
        <w:t>u</w:t>
      </w:r>
      <w:r w:rsidRPr="009A49FC">
        <w:rPr>
          <w:rFonts w:ascii="Calibri" w:hAnsi="Calibri"/>
          <w:color w:val="auto"/>
          <w:szCs w:val="24"/>
        </w:rPr>
        <w:t>rčitou.</w:t>
      </w:r>
    </w:p>
    <w:p w14:paraId="0B4F3F4D" w14:textId="77777777"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14:paraId="7A3C2192" w14:textId="77777777"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Smluvní strany sjednaly možnost ukončení této smlouvy </w:t>
      </w:r>
      <w:r w:rsidR="007204CD" w:rsidRPr="009A49FC">
        <w:rPr>
          <w:rFonts w:ascii="Calibri" w:hAnsi="Calibri"/>
          <w:color w:val="auto"/>
          <w:szCs w:val="24"/>
        </w:rPr>
        <w:t xml:space="preserve">písemnou </w:t>
      </w:r>
      <w:r w:rsidRPr="009A49FC">
        <w:rPr>
          <w:rFonts w:ascii="Calibri" w:hAnsi="Calibri"/>
          <w:color w:val="auto"/>
          <w:szCs w:val="24"/>
        </w:rPr>
        <w:t>výpovědí</w:t>
      </w:r>
      <w:r w:rsidR="007204CD" w:rsidRPr="009A49FC">
        <w:rPr>
          <w:rFonts w:ascii="Calibri" w:hAnsi="Calibri"/>
          <w:color w:val="auto"/>
          <w:szCs w:val="24"/>
        </w:rPr>
        <w:t>, a to bez udání důvodu</w:t>
      </w:r>
      <w:r w:rsidRPr="009A49FC">
        <w:rPr>
          <w:rFonts w:ascii="Calibri" w:hAnsi="Calibri"/>
          <w:color w:val="auto"/>
          <w:szCs w:val="24"/>
        </w:rPr>
        <w:t xml:space="preserve">. </w:t>
      </w:r>
      <w:r w:rsidR="009A49FC">
        <w:rPr>
          <w:rFonts w:ascii="Calibri" w:hAnsi="Calibri"/>
          <w:color w:val="auto"/>
          <w:szCs w:val="24"/>
        </w:rPr>
        <w:t xml:space="preserve">V případě ukončení rámcové smlouvy uzavřené mezi stranami zůstává tato dílčí smlouva v i nadále v platnosti, a to až do jejího ukončení. </w:t>
      </w:r>
    </w:p>
    <w:p w14:paraId="6FE0CB82" w14:textId="77777777"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14:paraId="1DEC229B" w14:textId="77777777"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Jakékoliv změny a doplňky této smlouvy jsou možné pouze písemnou formou.</w:t>
      </w:r>
    </w:p>
    <w:p w14:paraId="06F848D6" w14:textId="77777777"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14:paraId="7E0EF9E1" w14:textId="77777777" w:rsidR="000C058B" w:rsidRP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Tato smlouva je sepsána ve dvou vyhotoveních, přičemž jedno vyhotovení obdrží advokát a druhé vyhotovení obdrží klient.</w:t>
      </w:r>
    </w:p>
    <w:p w14:paraId="5D6A18AB" w14:textId="77777777" w:rsidR="00DE3BC9" w:rsidRPr="00FF28F8" w:rsidRDefault="00DE3BC9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14:paraId="4A412D3D" w14:textId="1D05FAC2" w:rsidR="000C058B" w:rsidRPr="00FF28F8" w:rsidRDefault="000C058B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</w:t>
      </w:r>
      <w:r w:rsidR="00CB4A65" w:rsidRPr="00FF28F8">
        <w:rPr>
          <w:rFonts w:ascii="Calibri" w:hAnsi="Calibri"/>
          <w:color w:val="auto"/>
          <w:szCs w:val="24"/>
        </w:rPr>
        <w:t> </w:t>
      </w:r>
      <w:r w:rsidR="00CA0AA1" w:rsidRPr="00FF28F8">
        <w:rPr>
          <w:rFonts w:ascii="Calibri" w:hAnsi="Calibri"/>
          <w:color w:val="auto"/>
          <w:szCs w:val="24"/>
        </w:rPr>
        <w:t>Praze</w:t>
      </w:r>
      <w:r w:rsidR="00CB4A65" w:rsidRPr="00FF28F8">
        <w:rPr>
          <w:rFonts w:ascii="Calibri" w:hAnsi="Calibri"/>
          <w:color w:val="auto"/>
          <w:szCs w:val="24"/>
        </w:rPr>
        <w:t xml:space="preserve"> </w:t>
      </w:r>
      <w:r w:rsidRPr="00FF28F8">
        <w:rPr>
          <w:rFonts w:ascii="Calibri" w:hAnsi="Calibri"/>
          <w:color w:val="auto"/>
          <w:szCs w:val="24"/>
        </w:rPr>
        <w:t xml:space="preserve">dne </w:t>
      </w:r>
      <w:r w:rsidR="00DD7955">
        <w:rPr>
          <w:rFonts w:ascii="Calibri" w:hAnsi="Calibri"/>
          <w:color w:val="auto"/>
          <w:szCs w:val="24"/>
        </w:rPr>
        <w:t>__. __. 20</w:t>
      </w:r>
      <w:r w:rsidR="004864A7">
        <w:rPr>
          <w:rFonts w:ascii="Calibri" w:hAnsi="Calibri"/>
          <w:color w:val="auto"/>
          <w:szCs w:val="24"/>
        </w:rPr>
        <w:t>21</w:t>
      </w:r>
      <w:r w:rsidR="00E279D1" w:rsidRPr="00FF28F8">
        <w:rPr>
          <w:rFonts w:ascii="Calibri" w:hAnsi="Calibri"/>
          <w:color w:val="auto"/>
          <w:szCs w:val="24"/>
        </w:rPr>
        <w:tab/>
      </w:r>
      <w:r w:rsidR="00DD7955">
        <w:rPr>
          <w:rFonts w:ascii="Calibri" w:hAnsi="Calibri"/>
          <w:color w:val="auto"/>
          <w:szCs w:val="24"/>
        </w:rPr>
        <w:t>V Praze dne __. __. 20</w:t>
      </w:r>
      <w:r w:rsidR="004864A7">
        <w:rPr>
          <w:rFonts w:ascii="Calibri" w:hAnsi="Calibri"/>
          <w:color w:val="auto"/>
          <w:szCs w:val="24"/>
        </w:rPr>
        <w:t>21</w:t>
      </w:r>
    </w:p>
    <w:p w14:paraId="41716430" w14:textId="77777777" w:rsidR="005C738D" w:rsidRPr="00FF28F8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14:paraId="361D55E9" w14:textId="77777777" w:rsidR="007060CC" w:rsidRPr="00FF28F8" w:rsidRDefault="007060CC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14:paraId="1E75A8A2" w14:textId="77777777" w:rsidR="00FB2701" w:rsidRDefault="00FB2701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14:paraId="22D3124A" w14:textId="77777777" w:rsidR="00E321E3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14:paraId="167166A5" w14:textId="77777777" w:rsidR="00E321E3" w:rsidRPr="00FF28F8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14:paraId="177B7F8A" w14:textId="77777777" w:rsidR="000C058B" w:rsidRPr="00FF28F8" w:rsidRDefault="00E279D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  <w:r w:rsidRPr="00FF28F8">
        <w:rPr>
          <w:rFonts w:ascii="Calibri" w:hAnsi="Calibri"/>
          <w:color w:val="auto"/>
          <w:sz w:val="22"/>
          <w:szCs w:val="24"/>
        </w:rPr>
        <w:t>_______________________________</w:t>
      </w:r>
      <w:r w:rsidRPr="00FF28F8">
        <w:rPr>
          <w:rFonts w:ascii="Calibri" w:hAnsi="Calibri"/>
          <w:color w:val="auto"/>
          <w:sz w:val="22"/>
          <w:szCs w:val="24"/>
        </w:rPr>
        <w:tab/>
        <w:t>_______________________________</w:t>
      </w:r>
    </w:p>
    <w:p w14:paraId="77D8A26D" w14:textId="57713518" w:rsidR="00665799" w:rsidRDefault="00665799" w:rsidP="00E279D1">
      <w:pPr>
        <w:pStyle w:val="Zkladntext"/>
        <w:widowControl/>
        <w:ind w:left="5103" w:hanging="5103"/>
        <w:jc w:val="left"/>
        <w:rPr>
          <w:rFonts w:ascii="Calibri" w:hAnsi="Calibri"/>
          <w:b/>
          <w:szCs w:val="24"/>
        </w:rPr>
      </w:pPr>
      <w:r w:rsidRPr="00FF28F8">
        <w:rPr>
          <w:rStyle w:val="Siln"/>
          <w:rFonts w:ascii="Calibri" w:hAnsi="Calibri"/>
          <w:szCs w:val="24"/>
        </w:rPr>
        <w:t>Nemocnice Na Homolce</w:t>
      </w:r>
      <w:r>
        <w:rPr>
          <w:rStyle w:val="Siln"/>
          <w:rFonts w:ascii="Calibri" w:hAnsi="Calibri"/>
          <w:szCs w:val="24"/>
        </w:rPr>
        <w:tab/>
      </w:r>
      <w:r w:rsidR="004864A7">
        <w:rPr>
          <w:rStyle w:val="Siln"/>
          <w:rFonts w:ascii="Calibri" w:hAnsi="Calibri"/>
          <w:szCs w:val="24"/>
        </w:rPr>
        <w:t xml:space="preserve">doc. </w:t>
      </w:r>
      <w:r w:rsidRPr="00FF28F8">
        <w:rPr>
          <w:rFonts w:ascii="Calibri" w:hAnsi="Calibri"/>
          <w:b/>
          <w:color w:val="auto"/>
          <w:szCs w:val="24"/>
        </w:rPr>
        <w:t>JUDr. Petr Šustek, Ph.D.</w:t>
      </w:r>
    </w:p>
    <w:p w14:paraId="4CDC32DF" w14:textId="77777777" w:rsidR="00307A3D" w:rsidRPr="00FF28F8" w:rsidRDefault="00504B58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504B58">
        <w:rPr>
          <w:rFonts w:ascii="Calibri" w:hAnsi="Calibri"/>
          <w:b/>
          <w:szCs w:val="24"/>
        </w:rPr>
        <w:t>MUDr. Petr Polouček, MBA</w:t>
      </w:r>
      <w:r w:rsidR="00E279D1" w:rsidRPr="00FF28F8">
        <w:rPr>
          <w:rFonts w:ascii="Calibri" w:hAnsi="Calibri"/>
          <w:b/>
          <w:color w:val="auto"/>
          <w:szCs w:val="24"/>
        </w:rPr>
        <w:tab/>
      </w:r>
      <w:r w:rsidR="00665799" w:rsidRPr="00FF28F8">
        <w:rPr>
          <w:rFonts w:ascii="Calibri" w:hAnsi="Calibri"/>
          <w:color w:val="auto"/>
          <w:szCs w:val="24"/>
        </w:rPr>
        <w:t>advokát</w:t>
      </w:r>
    </w:p>
    <w:p w14:paraId="369877D8" w14:textId="77777777" w:rsidR="00DF1F3B" w:rsidRPr="00FF28F8" w:rsidRDefault="00A84975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szCs w:val="24"/>
        </w:rPr>
        <w:t>ředitel</w:t>
      </w:r>
      <w:r w:rsidR="00E279D1" w:rsidRPr="00FF28F8">
        <w:rPr>
          <w:rFonts w:ascii="Calibri" w:hAnsi="Calibri"/>
          <w:color w:val="auto"/>
          <w:szCs w:val="24"/>
        </w:rPr>
        <w:tab/>
      </w:r>
    </w:p>
    <w:p w14:paraId="123A635A" w14:textId="77777777"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14:paraId="65022AEA" w14:textId="77777777"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14:paraId="1F354E31" w14:textId="77777777" w:rsidR="00483136" w:rsidRPr="00FF28F8" w:rsidRDefault="00483136" w:rsidP="007619D6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5B0578F4" w14:textId="77777777" w:rsidR="00FF28F8" w:rsidRPr="00FF28F8" w:rsidRDefault="00FF28F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sectPr w:rsidR="00FF28F8" w:rsidRPr="00FF28F8" w:rsidSect="00FC6F4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88" w:left="1418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936D4" w14:textId="77777777" w:rsidR="00580652" w:rsidRDefault="00580652">
      <w:r>
        <w:separator/>
      </w:r>
    </w:p>
  </w:endnote>
  <w:endnote w:type="continuationSeparator" w:id="0">
    <w:p w14:paraId="2A0BAC93" w14:textId="77777777" w:rsidR="00580652" w:rsidRDefault="0058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6029A" w14:textId="77777777" w:rsidR="000C058B" w:rsidRDefault="000C05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0E8AB6" w14:textId="77777777" w:rsidR="000C058B" w:rsidRDefault="000C05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44831" w14:textId="62A5E820" w:rsidR="007F4BEF" w:rsidRPr="007F4BEF" w:rsidRDefault="007F4BEF">
    <w:pPr>
      <w:pStyle w:val="Zpat"/>
      <w:jc w:val="center"/>
      <w:rPr>
        <w:sz w:val="20"/>
      </w:rPr>
    </w:pPr>
    <w:r w:rsidRPr="007F4BEF">
      <w:rPr>
        <w:sz w:val="20"/>
      </w:rPr>
      <w:fldChar w:fldCharType="begin"/>
    </w:r>
    <w:r w:rsidRPr="007F4BEF">
      <w:rPr>
        <w:sz w:val="20"/>
      </w:rPr>
      <w:instrText>PAGE   \* MERGEFORMAT</w:instrText>
    </w:r>
    <w:r w:rsidRPr="007F4BEF">
      <w:rPr>
        <w:sz w:val="20"/>
      </w:rPr>
      <w:fldChar w:fldCharType="separate"/>
    </w:r>
    <w:r w:rsidR="00796BE9" w:rsidRPr="00796BE9">
      <w:rPr>
        <w:noProof/>
        <w:sz w:val="20"/>
        <w:lang w:val="cs-CZ"/>
      </w:rPr>
      <w:t>2</w:t>
    </w:r>
    <w:r w:rsidRPr="007F4BEF">
      <w:rPr>
        <w:sz w:val="20"/>
      </w:rPr>
      <w:fldChar w:fldCharType="end"/>
    </w:r>
  </w:p>
  <w:p w14:paraId="25025406" w14:textId="77777777" w:rsidR="00394EF2" w:rsidRPr="009C67CA" w:rsidRDefault="00394EF2" w:rsidP="00FC6F44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EA317" w14:textId="09C992BD" w:rsidR="00FC6F44" w:rsidRPr="004864A7" w:rsidRDefault="004864A7" w:rsidP="004864A7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150F0E7E" wp14:editId="075B6869">
          <wp:simplePos x="0" y="0"/>
          <wp:positionH relativeFrom="column">
            <wp:posOffset>-834887</wp:posOffset>
          </wp:positionH>
          <wp:positionV relativeFrom="paragraph">
            <wp:posOffset>-659958</wp:posOffset>
          </wp:positionV>
          <wp:extent cx="7659586" cy="1433174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pati_2020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586" cy="1433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86852" w14:textId="77777777" w:rsidR="00580652" w:rsidRDefault="00580652">
      <w:r>
        <w:separator/>
      </w:r>
    </w:p>
  </w:footnote>
  <w:footnote w:type="continuationSeparator" w:id="0">
    <w:p w14:paraId="4E357FC6" w14:textId="77777777" w:rsidR="00580652" w:rsidRDefault="0058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5FCD6" w14:textId="5C16A703" w:rsidR="00FC6F44" w:rsidRDefault="004864A7">
    <w:pPr>
      <w:pStyle w:val="Zhlav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11F933" wp14:editId="328A1BF9">
          <wp:simplePos x="0" y="0"/>
          <wp:positionH relativeFrom="page">
            <wp:align>right</wp:align>
          </wp:positionH>
          <wp:positionV relativeFrom="page">
            <wp:posOffset>-122914</wp:posOffset>
          </wp:positionV>
          <wp:extent cx="7992000" cy="1321081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0" cy="1321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3F235F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3A5E39"/>
    <w:multiLevelType w:val="hybridMultilevel"/>
    <w:tmpl w:val="09569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2290"/>
    <w:multiLevelType w:val="hybridMultilevel"/>
    <w:tmpl w:val="3A621E66"/>
    <w:lvl w:ilvl="0" w:tplc="3D264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A82"/>
    <w:multiLevelType w:val="hybridMultilevel"/>
    <w:tmpl w:val="3A621E66"/>
    <w:lvl w:ilvl="0" w:tplc="CD6AFFF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6F31"/>
    <w:multiLevelType w:val="hybridMultilevel"/>
    <w:tmpl w:val="36527988"/>
    <w:lvl w:ilvl="0" w:tplc="0EA2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D81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948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C9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CD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0D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B2A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AD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4A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F6854"/>
    <w:multiLevelType w:val="hybridMultilevel"/>
    <w:tmpl w:val="9BFEC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BF4"/>
    <w:multiLevelType w:val="multilevel"/>
    <w:tmpl w:val="D35E33D8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2674D63"/>
    <w:multiLevelType w:val="hybridMultilevel"/>
    <w:tmpl w:val="2040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564E"/>
    <w:multiLevelType w:val="hybridMultilevel"/>
    <w:tmpl w:val="8BD885E4"/>
    <w:lvl w:ilvl="0" w:tplc="51942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3A2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CF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46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E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2E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0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21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A2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00DF9"/>
    <w:multiLevelType w:val="hybridMultilevel"/>
    <w:tmpl w:val="7750A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D430C"/>
    <w:multiLevelType w:val="hybridMultilevel"/>
    <w:tmpl w:val="07A6B444"/>
    <w:lvl w:ilvl="0" w:tplc="2180A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04F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7EF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8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60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D8E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6B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8C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DEC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0551"/>
    <w:multiLevelType w:val="hybridMultilevel"/>
    <w:tmpl w:val="766A5906"/>
    <w:lvl w:ilvl="0" w:tplc="EB0E32F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56"/>
    <w:rsid w:val="0000296D"/>
    <w:rsid w:val="00003E00"/>
    <w:rsid w:val="00014B27"/>
    <w:rsid w:val="0002070E"/>
    <w:rsid w:val="00044724"/>
    <w:rsid w:val="00044EAC"/>
    <w:rsid w:val="00045C9D"/>
    <w:rsid w:val="00054415"/>
    <w:rsid w:val="0005658A"/>
    <w:rsid w:val="0007552E"/>
    <w:rsid w:val="000A185A"/>
    <w:rsid w:val="000B234B"/>
    <w:rsid w:val="000C058B"/>
    <w:rsid w:val="000D7D32"/>
    <w:rsid w:val="000E164D"/>
    <w:rsid w:val="00102671"/>
    <w:rsid w:val="0010302C"/>
    <w:rsid w:val="00110772"/>
    <w:rsid w:val="0011526F"/>
    <w:rsid w:val="00160750"/>
    <w:rsid w:val="00162013"/>
    <w:rsid w:val="0018639D"/>
    <w:rsid w:val="001A1CAE"/>
    <w:rsid w:val="001C490F"/>
    <w:rsid w:val="001E4924"/>
    <w:rsid w:val="002056CF"/>
    <w:rsid w:val="00207E2F"/>
    <w:rsid w:val="00221DE7"/>
    <w:rsid w:val="00235D52"/>
    <w:rsid w:val="0024366E"/>
    <w:rsid w:val="00265AB3"/>
    <w:rsid w:val="00290E09"/>
    <w:rsid w:val="002C0AC9"/>
    <w:rsid w:val="002D3A78"/>
    <w:rsid w:val="002D4B37"/>
    <w:rsid w:val="002D6427"/>
    <w:rsid w:val="002E7B08"/>
    <w:rsid w:val="00307A3D"/>
    <w:rsid w:val="00322DEE"/>
    <w:rsid w:val="00327423"/>
    <w:rsid w:val="0034496A"/>
    <w:rsid w:val="00356955"/>
    <w:rsid w:val="00360E8D"/>
    <w:rsid w:val="00366D93"/>
    <w:rsid w:val="00382752"/>
    <w:rsid w:val="00382ED3"/>
    <w:rsid w:val="00394EF2"/>
    <w:rsid w:val="00395AC5"/>
    <w:rsid w:val="003A6548"/>
    <w:rsid w:val="003C0B20"/>
    <w:rsid w:val="003C7868"/>
    <w:rsid w:val="003F4EC8"/>
    <w:rsid w:val="004253F2"/>
    <w:rsid w:val="004365D7"/>
    <w:rsid w:val="00450BD8"/>
    <w:rsid w:val="00470319"/>
    <w:rsid w:val="00473AE3"/>
    <w:rsid w:val="00483136"/>
    <w:rsid w:val="004864A7"/>
    <w:rsid w:val="00487F6C"/>
    <w:rsid w:val="004A40AC"/>
    <w:rsid w:val="004A74C0"/>
    <w:rsid w:val="004D2E18"/>
    <w:rsid w:val="004E298A"/>
    <w:rsid w:val="004E2EB5"/>
    <w:rsid w:val="004E60F5"/>
    <w:rsid w:val="00504B58"/>
    <w:rsid w:val="0050645E"/>
    <w:rsid w:val="00523AE4"/>
    <w:rsid w:val="00527702"/>
    <w:rsid w:val="00580652"/>
    <w:rsid w:val="005A2070"/>
    <w:rsid w:val="005B3EEF"/>
    <w:rsid w:val="005B7B86"/>
    <w:rsid w:val="005C4C67"/>
    <w:rsid w:val="005C738D"/>
    <w:rsid w:val="005D2751"/>
    <w:rsid w:val="0065279F"/>
    <w:rsid w:val="00653FAB"/>
    <w:rsid w:val="00665799"/>
    <w:rsid w:val="006810D4"/>
    <w:rsid w:val="0069039F"/>
    <w:rsid w:val="0069625B"/>
    <w:rsid w:val="006A0C2A"/>
    <w:rsid w:val="006A4656"/>
    <w:rsid w:val="006B4031"/>
    <w:rsid w:val="006B4631"/>
    <w:rsid w:val="006C6084"/>
    <w:rsid w:val="006D473D"/>
    <w:rsid w:val="006D555D"/>
    <w:rsid w:val="00705182"/>
    <w:rsid w:val="007060CC"/>
    <w:rsid w:val="00707975"/>
    <w:rsid w:val="007204CD"/>
    <w:rsid w:val="0074734B"/>
    <w:rsid w:val="007477EF"/>
    <w:rsid w:val="00752127"/>
    <w:rsid w:val="007619D6"/>
    <w:rsid w:val="0076778E"/>
    <w:rsid w:val="00776E3A"/>
    <w:rsid w:val="00777BED"/>
    <w:rsid w:val="00794D1D"/>
    <w:rsid w:val="00796BE9"/>
    <w:rsid w:val="007B0B42"/>
    <w:rsid w:val="007B7681"/>
    <w:rsid w:val="007B7F33"/>
    <w:rsid w:val="007D6BC0"/>
    <w:rsid w:val="007E767C"/>
    <w:rsid w:val="007F189B"/>
    <w:rsid w:val="007F4BEF"/>
    <w:rsid w:val="007F625B"/>
    <w:rsid w:val="0080177F"/>
    <w:rsid w:val="008125E9"/>
    <w:rsid w:val="008247CD"/>
    <w:rsid w:val="00840B9D"/>
    <w:rsid w:val="0085685D"/>
    <w:rsid w:val="00857D3D"/>
    <w:rsid w:val="00866A23"/>
    <w:rsid w:val="00866C14"/>
    <w:rsid w:val="0087157E"/>
    <w:rsid w:val="00883E21"/>
    <w:rsid w:val="008869F4"/>
    <w:rsid w:val="0089386A"/>
    <w:rsid w:val="008A3AF6"/>
    <w:rsid w:val="008C6840"/>
    <w:rsid w:val="008D4095"/>
    <w:rsid w:val="008D791D"/>
    <w:rsid w:val="008E0BD8"/>
    <w:rsid w:val="008E67C2"/>
    <w:rsid w:val="008F41EA"/>
    <w:rsid w:val="00906EBF"/>
    <w:rsid w:val="00923FCB"/>
    <w:rsid w:val="00925024"/>
    <w:rsid w:val="009322EE"/>
    <w:rsid w:val="00934126"/>
    <w:rsid w:val="00936064"/>
    <w:rsid w:val="00936903"/>
    <w:rsid w:val="00946AB9"/>
    <w:rsid w:val="00946E37"/>
    <w:rsid w:val="00950783"/>
    <w:rsid w:val="00951219"/>
    <w:rsid w:val="0095246D"/>
    <w:rsid w:val="009539EA"/>
    <w:rsid w:val="009644E3"/>
    <w:rsid w:val="00966B6A"/>
    <w:rsid w:val="00967530"/>
    <w:rsid w:val="00967B13"/>
    <w:rsid w:val="00977112"/>
    <w:rsid w:val="00986976"/>
    <w:rsid w:val="0099162B"/>
    <w:rsid w:val="009A016C"/>
    <w:rsid w:val="009A1262"/>
    <w:rsid w:val="009A4547"/>
    <w:rsid w:val="009A49FC"/>
    <w:rsid w:val="009B2ACA"/>
    <w:rsid w:val="009D4DCA"/>
    <w:rsid w:val="00A2494A"/>
    <w:rsid w:val="00A31B56"/>
    <w:rsid w:val="00A32785"/>
    <w:rsid w:val="00A40835"/>
    <w:rsid w:val="00A473E3"/>
    <w:rsid w:val="00A53708"/>
    <w:rsid w:val="00A605A8"/>
    <w:rsid w:val="00A77674"/>
    <w:rsid w:val="00A83F89"/>
    <w:rsid w:val="00A84975"/>
    <w:rsid w:val="00A86945"/>
    <w:rsid w:val="00A969F5"/>
    <w:rsid w:val="00AA355C"/>
    <w:rsid w:val="00AB2932"/>
    <w:rsid w:val="00AB301B"/>
    <w:rsid w:val="00AC11F9"/>
    <w:rsid w:val="00AC2E2B"/>
    <w:rsid w:val="00AC3936"/>
    <w:rsid w:val="00AD7574"/>
    <w:rsid w:val="00B065C2"/>
    <w:rsid w:val="00B302F3"/>
    <w:rsid w:val="00B37BF3"/>
    <w:rsid w:val="00B556F7"/>
    <w:rsid w:val="00B55B14"/>
    <w:rsid w:val="00B6645A"/>
    <w:rsid w:val="00B704CE"/>
    <w:rsid w:val="00B76255"/>
    <w:rsid w:val="00B774FF"/>
    <w:rsid w:val="00B77B77"/>
    <w:rsid w:val="00B868B7"/>
    <w:rsid w:val="00B929EC"/>
    <w:rsid w:val="00B943A8"/>
    <w:rsid w:val="00BA0C71"/>
    <w:rsid w:val="00BA1F98"/>
    <w:rsid w:val="00BA4E7D"/>
    <w:rsid w:val="00BB3A72"/>
    <w:rsid w:val="00BC7C34"/>
    <w:rsid w:val="00BE02B3"/>
    <w:rsid w:val="00BE79B7"/>
    <w:rsid w:val="00BF2401"/>
    <w:rsid w:val="00BF336F"/>
    <w:rsid w:val="00BF4E8B"/>
    <w:rsid w:val="00C227B5"/>
    <w:rsid w:val="00C23BE5"/>
    <w:rsid w:val="00C4008C"/>
    <w:rsid w:val="00C47C29"/>
    <w:rsid w:val="00C64474"/>
    <w:rsid w:val="00C67757"/>
    <w:rsid w:val="00C67C80"/>
    <w:rsid w:val="00C82515"/>
    <w:rsid w:val="00CA0AA1"/>
    <w:rsid w:val="00CB4A65"/>
    <w:rsid w:val="00CF4AB5"/>
    <w:rsid w:val="00D0253B"/>
    <w:rsid w:val="00D073A8"/>
    <w:rsid w:val="00D2286A"/>
    <w:rsid w:val="00D35757"/>
    <w:rsid w:val="00D45DB3"/>
    <w:rsid w:val="00D47817"/>
    <w:rsid w:val="00D50258"/>
    <w:rsid w:val="00D61CE3"/>
    <w:rsid w:val="00D77B16"/>
    <w:rsid w:val="00D85845"/>
    <w:rsid w:val="00D936DB"/>
    <w:rsid w:val="00DA57B5"/>
    <w:rsid w:val="00DA635C"/>
    <w:rsid w:val="00DA720A"/>
    <w:rsid w:val="00DA78EB"/>
    <w:rsid w:val="00DC2545"/>
    <w:rsid w:val="00DD56BD"/>
    <w:rsid w:val="00DD5944"/>
    <w:rsid w:val="00DD7955"/>
    <w:rsid w:val="00DE3BC9"/>
    <w:rsid w:val="00DE6C30"/>
    <w:rsid w:val="00DE7DE4"/>
    <w:rsid w:val="00DF1F3B"/>
    <w:rsid w:val="00DF5139"/>
    <w:rsid w:val="00DF6700"/>
    <w:rsid w:val="00E043B1"/>
    <w:rsid w:val="00E07789"/>
    <w:rsid w:val="00E24CEC"/>
    <w:rsid w:val="00E279D1"/>
    <w:rsid w:val="00E321E3"/>
    <w:rsid w:val="00E32214"/>
    <w:rsid w:val="00E3770C"/>
    <w:rsid w:val="00E40821"/>
    <w:rsid w:val="00E40A84"/>
    <w:rsid w:val="00E72FD7"/>
    <w:rsid w:val="00E800D5"/>
    <w:rsid w:val="00E86CC4"/>
    <w:rsid w:val="00E94C62"/>
    <w:rsid w:val="00EA3780"/>
    <w:rsid w:val="00EA4210"/>
    <w:rsid w:val="00EB6711"/>
    <w:rsid w:val="00ED0C4F"/>
    <w:rsid w:val="00F00232"/>
    <w:rsid w:val="00F00D9B"/>
    <w:rsid w:val="00F02A40"/>
    <w:rsid w:val="00F06025"/>
    <w:rsid w:val="00F15710"/>
    <w:rsid w:val="00F1734C"/>
    <w:rsid w:val="00F22D00"/>
    <w:rsid w:val="00F253D9"/>
    <w:rsid w:val="00F4596F"/>
    <w:rsid w:val="00F47C0B"/>
    <w:rsid w:val="00F82AD2"/>
    <w:rsid w:val="00F8433B"/>
    <w:rsid w:val="00FA43F9"/>
    <w:rsid w:val="00FB2701"/>
    <w:rsid w:val="00FC0C6D"/>
    <w:rsid w:val="00FC6F44"/>
    <w:rsid w:val="00FD73BB"/>
    <w:rsid w:val="00FE2541"/>
    <w:rsid w:val="00FF28F8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63C7C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382E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center"/>
    </w:pPr>
    <w:rPr>
      <w:snapToGrid w:val="0"/>
      <w:color w:val="00000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rFonts w:ascii="Albertus Medium" w:hAnsi="Albertus Medium"/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6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7681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394EF2"/>
    <w:rPr>
      <w:sz w:val="24"/>
    </w:rPr>
  </w:style>
  <w:style w:type="character" w:customStyle="1" w:styleId="Nadpis2Char">
    <w:name w:val="Nadpis 2 Char"/>
    <w:link w:val="Nadpis2"/>
    <w:uiPriority w:val="9"/>
    <w:rsid w:val="00382ED3"/>
    <w:rPr>
      <w:b/>
      <w:bCs/>
      <w:sz w:val="36"/>
      <w:szCs w:val="36"/>
    </w:rPr>
  </w:style>
  <w:style w:type="character" w:styleId="Hypertextovodkaz">
    <w:name w:val="Hyperlink"/>
    <w:uiPriority w:val="99"/>
    <w:unhideWhenUsed/>
    <w:rsid w:val="00A2494A"/>
    <w:rPr>
      <w:color w:val="0000FF"/>
      <w:u w:val="single"/>
    </w:rPr>
  </w:style>
  <w:style w:type="character" w:styleId="Siln">
    <w:name w:val="Strong"/>
    <w:uiPriority w:val="22"/>
    <w:qFormat/>
    <w:rsid w:val="00934126"/>
    <w:rPr>
      <w:b/>
      <w:bCs/>
    </w:rPr>
  </w:style>
  <w:style w:type="paragraph" w:styleId="Odstavecseseznamem">
    <w:name w:val="List Paragraph"/>
    <w:basedOn w:val="Normln"/>
    <w:uiPriority w:val="34"/>
    <w:qFormat/>
    <w:rsid w:val="00F2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/>
  <cp:keywords/>
  <cp:lastModifiedBy/>
  <cp:revision>1</cp:revision>
  <dcterms:created xsi:type="dcterms:W3CDTF">2021-12-09T10:18:00Z</dcterms:created>
  <dcterms:modified xsi:type="dcterms:W3CDTF">2021-12-23T10:53:00Z</dcterms:modified>
</cp:coreProperties>
</file>