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D579E19" w14:textId="0CE82BB0" w:rsidR="00065EA1" w:rsidRDefault="008B63F6" w:rsidP="00EF1270">
      <w:pPr>
        <w:widowControl w:val="0"/>
        <w:jc w:val="center"/>
        <w:rPr>
          <w:sz w:val="26"/>
          <w:szCs w:val="26"/>
        </w:rPr>
      </w:pPr>
      <w:bookmarkStart w:id="0" w:name="_Hlk87270256"/>
      <w:r w:rsidRPr="008B63F6">
        <w:rPr>
          <w:b/>
          <w:sz w:val="32"/>
        </w:rPr>
        <w:t>AVEC CHEM s.r.o.</w:t>
      </w:r>
    </w:p>
    <w:bookmarkEnd w:id="0"/>
    <w:p w14:paraId="22664EBF" w14:textId="77777777" w:rsidR="00F27EBB" w:rsidRPr="00AA35DC" w:rsidRDefault="00F27EBB"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CCB90E3" w:rsidR="00380429" w:rsidRDefault="008B63F6" w:rsidP="00380429">
      <w:pPr>
        <w:numPr>
          <w:ilvl w:val="0"/>
          <w:numId w:val="3"/>
        </w:numPr>
        <w:ind w:left="567" w:hanging="567"/>
        <w:rPr>
          <w:b/>
        </w:rPr>
      </w:pPr>
      <w:r w:rsidRPr="008B63F6">
        <w:rPr>
          <w:b/>
        </w:rPr>
        <w:t>AVEC CHEM s.r.o.</w:t>
      </w:r>
    </w:p>
    <w:p w14:paraId="550E4ACC" w14:textId="447E5C16" w:rsidR="00EF1270" w:rsidRDefault="00380429" w:rsidP="00BB2EB5">
      <w:pPr>
        <w:ind w:firstLine="561"/>
        <w:rPr>
          <w:b/>
        </w:rPr>
      </w:pPr>
      <w:r w:rsidRPr="008052CD">
        <w:rPr>
          <w:b/>
        </w:rPr>
        <w:t>Registrační číslo účastníka:</w:t>
      </w:r>
      <w:r>
        <w:rPr>
          <w:b/>
        </w:rPr>
        <w:t xml:space="preserve"> </w:t>
      </w:r>
      <w:r w:rsidR="008B63F6" w:rsidRPr="008B63F6">
        <w:rPr>
          <w:b/>
        </w:rPr>
        <w:t>03/2022/033N</w:t>
      </w:r>
    </w:p>
    <w:p w14:paraId="67C3F41C" w14:textId="73851F4A" w:rsidR="005D4B95" w:rsidRPr="005D4B95" w:rsidRDefault="005D4B95" w:rsidP="00BB2EB5">
      <w:pPr>
        <w:ind w:firstLine="561"/>
      </w:pPr>
      <w:r>
        <w:t xml:space="preserve">společnost založená a existující podle právního řádu České republiky, </w:t>
      </w:r>
    </w:p>
    <w:p w14:paraId="7BCE4790" w14:textId="0F21DE8C" w:rsidR="00EE52DA" w:rsidRDefault="00380429" w:rsidP="005D4B95">
      <w:pPr>
        <w:pStyle w:val="Text11"/>
        <w:keepNext w:val="0"/>
        <w:ind w:left="567"/>
      </w:pPr>
      <w:r w:rsidRPr="00EC55A5">
        <w:t>se sídlem</w:t>
      </w:r>
      <w:r>
        <w:t xml:space="preserve">: </w:t>
      </w:r>
      <w:r w:rsidR="008B63F6" w:rsidRPr="008B63F6">
        <w:t>Chrudimská 1555, 535 01 Přelouč</w:t>
      </w:r>
      <w:r>
        <w:t xml:space="preserve">, IČO: </w:t>
      </w:r>
      <w:r w:rsidR="008B63F6" w:rsidRPr="008B63F6">
        <w:t>25271016</w:t>
      </w:r>
      <w:r w:rsidR="00EE52DA">
        <w:t xml:space="preserve">, </w:t>
      </w:r>
      <w:r w:rsidR="005D4B95">
        <w:t xml:space="preserve">DIČ: </w:t>
      </w:r>
      <w:r w:rsidR="00EE52DA">
        <w:t>CZ</w:t>
      </w:r>
      <w:r w:rsidR="008B63F6" w:rsidRPr="008B63F6">
        <w:t>25271016</w:t>
      </w:r>
    </w:p>
    <w:p w14:paraId="202B4130" w14:textId="49E9C4B0"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8B63F6" w:rsidRPr="008B63F6">
        <w:t>Krajského soudu v Hradci Králové</w:t>
      </w:r>
      <w:r>
        <w:t xml:space="preserve">, oddíl </w:t>
      </w:r>
      <w:r w:rsidR="00F27EBB">
        <w:t>C</w:t>
      </w:r>
      <w:r>
        <w:t xml:space="preserve">, vložka </w:t>
      </w:r>
      <w:r w:rsidR="008B63F6" w:rsidRPr="008B63F6">
        <w:t>11439</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3BB65AAA"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5E7DB3" w:rsidRPr="005E7DB3">
        <w:t>7</w:t>
      </w:r>
      <w:r w:rsidR="00C235C7" w:rsidRPr="005E7DB3">
        <w:t xml:space="preserve">0.000,- </w:t>
      </w:r>
      <w:r w:rsidR="007F74B5" w:rsidRPr="005E7DB3">
        <w:t>Kč</w:t>
      </w:r>
      <w:r w:rsidR="007F74B5">
        <w:t xml:space="preserve"> (slovy: </w:t>
      </w:r>
      <w:r w:rsidR="005E7DB3">
        <w:t>sedmdesát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391280"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9"/>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35A1B14"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43F656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2E1E155B" w14:textId="460D279D" w:rsidR="009756F0" w:rsidRDefault="00B460F8" w:rsidP="008C681E">
      <w:pPr>
        <w:pStyle w:val="Text11"/>
        <w:keepNext w:val="0"/>
        <w:spacing w:before="0" w:after="0"/>
        <w:ind w:left="1134"/>
        <w:jc w:val="left"/>
      </w:pPr>
      <w:r w:rsidRPr="00B460F8">
        <w:rPr>
          <w:b/>
        </w:rPr>
        <w:t>AVEC CHEM s.r.o.</w:t>
      </w:r>
      <w:r w:rsidR="008C681E">
        <w:br/>
        <w:t>k rukám:</w:t>
      </w:r>
      <w:r w:rsidR="008C681E">
        <w:tab/>
      </w:r>
      <w:r w:rsidR="008C681E">
        <w:tab/>
      </w:r>
      <w:r w:rsidRPr="00B460F8">
        <w:t>Lucie Hamplová</w:t>
      </w:r>
    </w:p>
    <w:p w14:paraId="31074956" w14:textId="74471483" w:rsidR="00125391" w:rsidRDefault="008C681E" w:rsidP="008C681E">
      <w:pPr>
        <w:pStyle w:val="Text11"/>
        <w:keepNext w:val="0"/>
        <w:spacing w:before="0" w:after="0"/>
        <w:ind w:left="1134"/>
        <w:jc w:val="left"/>
      </w:pPr>
      <w:r>
        <w:t xml:space="preserve">adresa: </w:t>
      </w:r>
      <w:r>
        <w:tab/>
      </w:r>
      <w:r>
        <w:tab/>
      </w:r>
      <w:r w:rsidR="00B460F8" w:rsidRPr="00B460F8">
        <w:t>Chrudimská 1555, 535 01 Přelouč</w:t>
      </w:r>
    </w:p>
    <w:p w14:paraId="053294E1" w14:textId="2D05099D" w:rsidR="008C681E" w:rsidRDefault="008C681E" w:rsidP="008C681E">
      <w:pPr>
        <w:pStyle w:val="Text11"/>
        <w:keepNext w:val="0"/>
        <w:spacing w:before="0" w:after="0"/>
        <w:ind w:left="1134"/>
        <w:jc w:val="left"/>
      </w:pPr>
      <w:r>
        <w:t>e-mail:</w:t>
      </w:r>
      <w:r>
        <w:tab/>
      </w:r>
      <w:r>
        <w:tab/>
      </w:r>
      <w:r w:rsidR="00B460F8" w:rsidRPr="00B460F8">
        <w:t>objednavky@avec.cz</w:t>
      </w:r>
    </w:p>
    <w:p w14:paraId="5FCD0016" w14:textId="12C64D75"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B460F8" w:rsidRPr="00B460F8">
        <w:rPr>
          <w:szCs w:val="22"/>
        </w:rPr>
        <w:t>d7hpv35</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560E776" w:rsidR="00EA574A" w:rsidRPr="00AA35DC" w:rsidRDefault="00536768" w:rsidP="006D1BA9">
            <w:pPr>
              <w:jc w:val="left"/>
              <w:rPr>
                <w:b/>
              </w:rPr>
            </w:pPr>
            <w:r w:rsidRPr="00536768">
              <w:rPr>
                <w:b/>
              </w:rPr>
              <w:t>AVEC CHEM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8707979" w:rsidR="00EA574A" w:rsidRPr="00AA35DC" w:rsidRDefault="00EA574A" w:rsidP="006D1BA9">
            <w:pPr>
              <w:jc w:val="left"/>
            </w:pPr>
            <w:r w:rsidRPr="00AA35DC">
              <w:t xml:space="preserve">Místo: </w:t>
            </w:r>
            <w:r w:rsidR="009015B7">
              <w:t>Přelouč</w:t>
            </w:r>
          </w:p>
          <w:p w14:paraId="607928AD" w14:textId="4CD851DC" w:rsidR="00EA574A" w:rsidRPr="00AA35DC" w:rsidRDefault="00EA574A" w:rsidP="006D1BA9">
            <w:pPr>
              <w:jc w:val="left"/>
              <w:rPr>
                <w:b/>
              </w:rPr>
            </w:pPr>
            <w:r w:rsidRPr="00AA35DC">
              <w:t xml:space="preserve">Datum: </w:t>
            </w:r>
            <w:r w:rsidR="009015B7">
              <w:t>8.11.2021</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132DEC72" w:rsidR="00E97FAA" w:rsidRDefault="001E394F" w:rsidP="00E97FAA">
            <w:r w:rsidRPr="00F50DF0">
              <w:t xml:space="preserve">Jméno: </w:t>
            </w:r>
            <w:r w:rsidR="005D4B95">
              <w:tab/>
            </w:r>
            <w:r w:rsidR="00536768">
              <w:t>Michal Filipi</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4FF1DF7F" w:rsidR="005E7DB3" w:rsidRDefault="005E7DB3">
      <w:pPr>
        <w:pStyle w:val="HHTitle2"/>
      </w:pPr>
      <w:r w:rsidRPr="005E7DB3">
        <w:rPr>
          <w:noProof/>
        </w:rPr>
        <w:drawing>
          <wp:inline distT="0" distB="0" distL="0" distR="0" wp14:anchorId="783DD1D5" wp14:editId="7E92C6C8">
            <wp:extent cx="8892540" cy="305357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53573"/>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f1514c7a-c955-4641-91c2-9c212789a06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1936E-A24C-4130-A6B2-C712A652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6909</Words>
  <Characters>40767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10</cp:revision>
  <cp:lastPrinted>2021-09-11T21:51:00Z</cp:lastPrinted>
  <dcterms:created xsi:type="dcterms:W3CDTF">2021-11-04T12:56:00Z</dcterms:created>
  <dcterms:modified xsi:type="dcterms:W3CDTF">2021-12-20T12:19:00Z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