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2429" w:h="686" w:wrap="none" w:hAnchor="page" w:x="882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r>
        <w:rPr>
          <w:rStyle w:val="CharStyle3"/>
        </w:rPr>
        <w:t>ÍII.UIilMIII</w:t>
      </w:r>
      <w:bookmarkEnd w:id="0"/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60" w:right="644" w:bottom="779" w:left="143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ragraph">
                  <wp:posOffset>12700</wp:posOffset>
                </wp:positionV>
                <wp:extent cx="579120" cy="14033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>2021008301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6.pt;margin-top:1.pt;width:45.600000000000001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2021008301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20"/>
          <w:b/>
          <w:bCs/>
        </w:rPr>
        <w:t>KUPNÍ SMLOUVA</w:t>
      </w:r>
      <w:bookmarkEnd w:id="2"/>
    </w:p>
    <w:p>
      <w:pPr>
        <w:pStyle w:val="Style2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4" w:name="bookmark4"/>
      <w:r>
        <w:rPr>
          <w:rStyle w:val="CharStyle22"/>
        </w:rPr>
        <w:t>podle ustanovení § 2079 a násl. zákona č. 89/2012 Sb., občanský zákoník,</w:t>
        <w:br/>
        <w:t>uzavřená mezi</w:t>
      </w:r>
      <w:bookmarkEnd w:id="4"/>
    </w:p>
    <w:tbl>
      <w:tblPr>
        <w:tblOverlap w:val="never"/>
        <w:jc w:val="center"/>
        <w:tblLayout w:type="fixed"/>
      </w:tblPr>
      <w:tblGrid>
        <w:gridCol w:w="2741"/>
        <w:gridCol w:w="6374"/>
      </w:tblGrid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Kamenice 798/1 d, 625 00 Brno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MUDr. Hana Albrechtová, ředitelka</w:t>
            </w:r>
          </w:p>
        </w:tc>
      </w:tr>
      <w:tr>
        <w:trPr>
          <w:trHeight w:val="5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27"/>
              </w:rPr>
              <w:t>Kontaktní osoba: 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27"/>
              </w:rPr>
              <w:t>I</w:t>
            </w:r>
            <w:r>
              <w:rPr>
                <w:rStyle w:val="CharStyle27"/>
                <w:spacing w:val="10"/>
                <w:shd w:val="clear" w:color="auto" w:fill="000000"/>
              </w:rPr>
              <w:t>.</w:t>
            </w:r>
            <w:r>
              <w:rPr>
                <w:rStyle w:val="CharStyle27"/>
                <w:spacing w:val="11"/>
                <w:shd w:val="clear" w:color="auto" w:fill="000000"/>
              </w:rPr>
              <w:t>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3"/>
                <w:shd w:val="clear" w:color="auto" w:fill="000000"/>
              </w:rPr>
              <w:t>........</w:t>
            </w:r>
            <w:r>
              <w:rPr>
                <w:rStyle w:val="CharStyle27"/>
                <w:spacing w:val="4"/>
                <w:shd w:val="clear" w:color="auto" w:fill="000000"/>
              </w:rPr>
              <w:t>....</w:t>
            </w:r>
            <w:r>
              <w:rPr>
                <w:rStyle w:val="CharStyle27"/>
                <w:shd w:val="clear" w:color="auto" w:fill="000000"/>
              </w:rPr>
              <w:t>​......</w:t>
            </w:r>
            <w:r>
              <w:rPr>
                <w:rStyle w:val="CharStyle27"/>
                <w:spacing w:val="1"/>
                <w:shd w:val="clear" w:color="auto" w:fill="000000"/>
              </w:rPr>
              <w:t>......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5"/>
                <w:shd w:val="clear" w:color="auto" w:fill="000000"/>
              </w:rPr>
              <w:t>.......</w:t>
            </w:r>
            <w:r>
              <w:rPr>
                <w:rStyle w:val="CharStyle27"/>
                <w:spacing w:val="6"/>
                <w:shd w:val="clear" w:color="auto" w:fill="000000"/>
              </w:rPr>
              <w:t>.</w:t>
            </w:r>
            <w:r>
              <w:rPr>
                <w:rStyle w:val="CharStyle27"/>
                <w:u w:val="single"/>
                <w:shd w:val="clear" w:color="auto" w:fill="000000"/>
                <w:lang w:val="en-US" w:eastAsia="en-US" w:bidi="en-US"/>
              </w:rPr>
              <w:t>​...................</w:t>
            </w:r>
            <w:r>
              <w:rPr>
                <w:rStyle w:val="CharStyle2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</w:t>
            </w:r>
            <w:r>
              <w:rPr>
                <w:rStyle w:val="CharStyle27"/>
                <w:color w:val="478DC6"/>
                <w:u w:val="single"/>
                <w:lang w:val="en-US" w:eastAsia="en-US" w:bidi="en-US"/>
              </w:rPr>
              <w:t xml:space="preserve"> </w:t>
            </w:r>
            <w:r>
              <w:rPr>
                <w:rStyle w:val="CharStyle27"/>
              </w:rPr>
              <w:t>00346292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CZ00346292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Krajský soud v Brně sp. zn. Pr 1245</w:t>
            </w:r>
          </w:p>
        </w:tc>
      </w:tr>
      <w:tr>
        <w:trPr>
          <w:trHeight w:val="41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 xml:space="preserve">MONETA Money Bank, as., č. ú. </w:t>
            </w:r>
            <w:r>
              <w:rPr>
                <w:rStyle w:val="CharStyle27"/>
                <w:spacing w:val="1"/>
                <w:shd w:val="clear" w:color="auto" w:fill="000000"/>
              </w:rPr>
              <w:t>........................</w:t>
            </w:r>
            <w:r>
              <w:rPr>
                <w:rStyle w:val="CharStyle27"/>
                <w:spacing w:val="2"/>
                <w:shd w:val="clear" w:color="auto" w:fill="000000"/>
              </w:rPr>
              <w:t>..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24"/>
          <w:sz w:val="20"/>
          <w:szCs w:val="20"/>
        </w:rPr>
        <w:t xml:space="preserve">(dále jen </w:t>
      </w:r>
      <w:r>
        <w:rPr>
          <w:rStyle w:val="CharStyle24"/>
          <w:i/>
          <w:iCs/>
        </w:rPr>
        <w:t>„kupující'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741"/>
        <w:gridCol w:w="6370"/>
      </w:tblGrid>
      <w:tr>
        <w:trPr>
          <w:trHeight w:val="63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b/>
                <w:bCs/>
              </w:rPr>
              <w:t>Monttel spol.s r.o.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Tř. kapitána Jaroše 37a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Jana Ševčíkové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spacing w:val="5"/>
                <w:shd w:val="clear" w:color="auto" w:fill="000000"/>
              </w:rPr>
              <w:t>........</w:t>
            </w:r>
            <w:r>
              <w:rPr>
                <w:rStyle w:val="CharStyle27"/>
                <w:spacing w:val="6"/>
                <w:shd w:val="clear" w:color="auto" w:fill="000000"/>
              </w:rPr>
              <w:t>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3"/>
                <w:shd w:val="clear" w:color="auto" w:fill="000000"/>
              </w:rPr>
              <w:t>........</w:t>
            </w:r>
            <w:r>
              <w:rPr>
                <w:rStyle w:val="CharStyle27"/>
                <w:spacing w:val="4"/>
                <w:shd w:val="clear" w:color="auto" w:fill="000000"/>
              </w:rPr>
              <w:t>....</w:t>
            </w:r>
            <w:r>
              <w:rPr>
                <w:rStyle w:val="CharStyle27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2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......................................</w:t>
            </w:r>
            <w:r>
              <w:rPr>
                <w:rStyle w:val="CharStyle27"/>
                <w:spacing w:val="2"/>
                <w:u w:val="single"/>
                <w:shd w:val="clear" w:color="auto" w:fill="000000"/>
                <w:lang w:val="en-US" w:eastAsia="en-US" w:bidi="en-US"/>
              </w:rPr>
              <w:t>..</w:t>
            </w:r>
          </w:p>
        </w:tc>
      </w:tr>
      <w:tr>
        <w:trPr>
          <w:trHeight w:val="81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IČO: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DIČ: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65278208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CZ65278208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Krajský soud v Brně sp. zn. C 23195-KSBR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27"/>
                <w:sz w:val="22"/>
                <w:szCs w:val="22"/>
              </w:rPr>
              <w:t xml:space="preserve">ČSOB </w:t>
            </w:r>
            <w:r>
              <w:rPr>
                <w:rStyle w:val="CharStyle27"/>
                <w:sz w:val="22"/>
                <w:szCs w:val="22"/>
                <w:shd w:val="clear" w:color="auto" w:fill="000000"/>
              </w:rPr>
              <w:t>...........................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rStyle w:val="CharStyle24"/>
          <w:sz w:val="20"/>
          <w:szCs w:val="20"/>
        </w:rPr>
        <w:t xml:space="preserve">(dále jen </w:t>
      </w:r>
      <w:r>
        <w:rPr>
          <w:rStyle w:val="CharStyle24"/>
          <w:i/>
          <w:iCs/>
        </w:rPr>
        <w:t>„prodávající“</w:t>
      </w:r>
    </w:p>
    <w:p>
      <w:pPr>
        <w:widowControl w:val="0"/>
        <w:spacing w:after="105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60"/>
        <w:ind w:left="0" w:right="0" w:firstLine="0"/>
        <w:jc w:val="both"/>
      </w:pPr>
      <w:r>
        <w:rPr>
          <w:rStyle w:val="CharStyle11"/>
        </w:rPr>
        <w:t>Prodávající je oprávněn na základě svého vlastnického práva nakládat s tímto zbožím: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rStyle w:val="CharStyle11"/>
          <w:b/>
          <w:bCs/>
        </w:rPr>
        <w:t>20 ks náhlavních bezdrátových souprav pro krizové tablety GINA - JABRA 75.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420"/>
        <w:jc w:val="both"/>
      </w:pPr>
      <w:r>
        <w:rPr>
          <w:rStyle w:val="CharStyle11"/>
        </w:rPr>
        <w:t>Bližší specifikace tohoto zboží je obsažena v příloze č. 1, která je nedílnou součástí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60"/>
        <w:ind w:left="420" w:right="0" w:hanging="420"/>
        <w:jc w:val="both"/>
      </w:pPr>
      <w:r>
        <w:rPr>
          <w:rStyle w:val="CharStyle11"/>
        </w:rPr>
        <w:t>Prodávající prodává zboží podle čl. 1 této smlouvy se všemi jeho součástmi kupujícímu, a kupující kupuje toto zboží do svého vlastnictví za kupní cenu podle čl. 6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60"/>
        <w:ind w:left="420" w:right="0" w:hanging="420"/>
        <w:jc w:val="both"/>
      </w:pPr>
      <w:r>
        <w:rPr>
          <w:rStyle w:val="CharStyle11"/>
        </w:rPr>
        <w:t xml:space="preserve">Prodávající se zavazuje splnit svůj závazek k dodání zboží podle čl. 1 této smlouvy nejpozději do </w:t>
      </w:r>
      <w:r>
        <w:rPr>
          <w:rStyle w:val="CharStyle11"/>
          <w:b/>
          <w:bCs/>
        </w:rPr>
        <w:t xml:space="preserve">27. 12. 2021 </w:t>
      </w:r>
      <w:r>
        <w:rPr>
          <w:rStyle w:val="CharStyle11"/>
        </w:rPr>
        <w:t>ode dne účinnosti této smlouvy, a to v místě plnění, čímž se rozumí sídlo kupujícího dle záhlaví k této smlouvě.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00"/>
        <w:ind w:left="420" w:right="0" w:hanging="420"/>
        <w:jc w:val="both"/>
      </w:pPr>
      <w:r>
        <w:rPr>
          <w:rStyle w:val="CharStyle11"/>
        </w:rPr>
        <w:t>Závazek prodávajícího k dodání zboží podle čl. 1 této smlouvy se pak považuje za splněný po instalaci zboží, jeho uvedení do provozu a zaškolení obsluhy dnem předání a převzetí tohoto zboží, prostého všech vad, formou písemného předávacího protokolu, podepsaného oběma smluvními stranami.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60" w:line="264" w:lineRule="auto"/>
        <w:ind w:left="420" w:right="0" w:hanging="420"/>
        <w:jc w:val="both"/>
      </w:pPr>
      <w:r>
        <w:rPr>
          <w:rStyle w:val="CharStyle11"/>
        </w:rPr>
        <w:t>Nebezpečí škody na převáděném zboží a vlastnické právo k tomuto zboží přechází z prodávajícího na kupujícího dnem splnění závazku prodávajícího k dodání tohoto zboží způsobem podle čl. 4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2" w:val="left"/>
        </w:tabs>
        <w:bidi w:val="0"/>
        <w:spacing w:before="0" w:after="0" w:line="290" w:lineRule="auto"/>
        <w:ind w:left="400" w:right="0" w:hanging="400"/>
        <w:jc w:val="both"/>
      </w:pPr>
      <w:r>
        <w:rPr>
          <w:rStyle w:val="CharStyle11"/>
        </w:rPr>
        <w:t>Kupující se zavazuje zaplatit prodávajícímu za předmět koupě a prodeje podle čl. 1 této smlouvy kupní cenu celkem ve výši: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rStyle w:val="CharStyle11"/>
          <w:b/>
          <w:bCs/>
        </w:rPr>
        <w:t xml:space="preserve">157.180,- Kč </w:t>
      </w:r>
      <w:r>
        <w:rPr>
          <w:rStyle w:val="CharStyle11"/>
        </w:rPr>
        <w:t xml:space="preserve">bez DPH, tzn </w:t>
      </w:r>
      <w:r>
        <w:rPr>
          <w:rStyle w:val="CharStyle11"/>
          <w:b/>
          <w:bCs/>
        </w:rPr>
        <w:t xml:space="preserve">190.188,- Kč </w:t>
      </w:r>
      <w:r>
        <w:rPr>
          <w:rStyle w:val="CharStyle11"/>
        </w:rPr>
        <w:t>včetně DPH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400" w:right="0" w:firstLine="20"/>
        <w:jc w:val="both"/>
      </w:pPr>
      <w:r>
        <w:rPr>
          <w:rStyle w:val="CharStyle11"/>
        </w:rPr>
        <w:t>Součástí této ceny jsou veškeré náklady prodávajícího na splnění jeho závazku k dodání zboží podle této smlouvy. Změna ceny je možná pouze v případě zákonné změny sazby DPH.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 xml:space="preserve">Kupní cena podle čl. 6 této smlouvy je splatná na účet prodávajícího po splnění závazku prodávajícího k dodání zboží podle čl. 1 této smlouvy způsobem podle čl. 4 této smlouvy ve lhůtě do 30-ti dnů ode dne doručení jejího písemného vyúčtování (faktury/daňového dokladu). Faktura bude doručena elektronicky na emaily: </w:t>
      </w:r>
      <w:r>
        <w:rPr>
          <w:rStyle w:val="CharStyle11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CharStyle11"/>
          <w:spacing w:val="2"/>
          <w:u w:val="single"/>
          <w:shd w:val="clear" w:color="auto" w:fill="000000"/>
          <w:lang w:val="en-US" w:eastAsia="en-US" w:bidi="en-US"/>
        </w:rPr>
        <w:t>.........</w:t>
      </w:r>
      <w:r>
        <w:rPr>
          <w:rStyle w:val="CharStyle11"/>
          <w:shd w:val="clear" w:color="auto" w:fill="000000"/>
          <w:lang w:val="en-US" w:eastAsia="en-US" w:bidi="en-US"/>
        </w:rPr>
        <w:t>..</w:t>
      </w:r>
      <w:r>
        <w:rPr>
          <w:rStyle w:val="CharStyle11"/>
          <w:u w:val="single"/>
          <w:shd w:val="clear" w:color="auto" w:fill="000000"/>
          <w:lang w:val="en-US" w:eastAsia="en-US" w:bidi="en-US"/>
        </w:rPr>
        <w:t>​......</w:t>
      </w:r>
      <w:r>
        <w:rPr>
          <w:rStyle w:val="CharStyle11"/>
          <w:spacing w:val="1"/>
          <w:u w:val="single"/>
          <w:shd w:val="clear" w:color="auto" w:fill="000000"/>
          <w:lang w:val="en-US" w:eastAsia="en-US" w:bidi="en-US"/>
        </w:rPr>
        <w:t>........................</w:t>
      </w:r>
      <w:r>
        <w:rPr>
          <w:rStyle w:val="CharStyle11"/>
          <w:shd w:val="clear" w:color="auto" w:fill="000000"/>
          <w:lang w:val="en-US" w:eastAsia="en-US" w:bidi="en-US"/>
        </w:rPr>
        <w:t>.</w:t>
      </w:r>
      <w:r>
        <w:rPr>
          <w:rStyle w:val="CharStyle11"/>
        </w:rPr>
        <w:t xml:space="preserve">a musí obsahovat mimo jiné toto číslo veřejné zakázky: </w:t>
      </w:r>
      <w:r>
        <w:rPr>
          <w:rStyle w:val="CharStyle11"/>
          <w:b/>
          <w:bCs/>
        </w:rPr>
        <w:t xml:space="preserve">P21V00003113 </w:t>
      </w:r>
      <w:r>
        <w:rPr>
          <w:rStyle w:val="CharStyle11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S převodem zboží podle čl. 1 této smlouvy je spojena záruka za jeho jakost v trvání 24 měsíců. V rámci této záruky se prodávající zavazuje bezplatně odstraňovat vady na zboží podle čl. 1 této smlouvy, a to ve lhůtě do 1 týdne od doručení příslušné reklamace písemné kupujícího. Písemná forma reklamace se považuje za dodrženou i v případě jejího odeslání elektronickou formou. Vzhledem k povaze zboží podle čl. 1 této smlouvy lze provést odstranění vady jen výměnou vadného kusu zboží za nový bezvadný.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Pro případ prodlení se splněním jeho závazku k dodání zboží ve lhůtě podle čl. 3 této smlouvy a pro případ jeho prodlení s odstraněním vady ve lhůtě podle čl. 8 této smlouvy se prodávající zavazuje zaplatit kupujícímu smluvní pokutu ve výši 0,1 % z kupní ceny podle čl. 6 této smlouvy za každý započatý den tohoto prodlení.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Pro případ prodlení se splněním jeho závazku k dodání zboží ve lhůtě podle čl. 3 této smlouvy nebo s odstraněním vady ve lhůtě podle čl. 8 této smlouvy o více, než 2 týdny, je kupující oprávněn odstoupit od této smlouvy s účinky ex tunc.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line="271" w:lineRule="auto"/>
        <w:ind w:left="400" w:right="0" w:hanging="400"/>
        <w:jc w:val="both"/>
      </w:pPr>
      <w:r>
        <w:rPr>
          <w:rStyle w:val="CharStyle11"/>
        </w:rPr>
        <w:t>Pro případ prodlení kupujícího se zaplacením kupní ceny nebo její části ve lhůtě podle čl. 6 této smlouvy o víc než 2 týdny, je prodávající oprávněn od této smlouvy odstoupit s účinky ex tunc.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line="271" w:lineRule="auto"/>
        <w:ind w:left="400" w:right="0" w:hanging="400"/>
        <w:jc w:val="both"/>
      </w:pPr>
      <w:r>
        <w:rPr>
          <w:rStyle w:val="CharStyle11"/>
        </w:rPr>
        <w:t>Není-li touto smlouvou ujednáno jinak, řídí se vzájemný právní vztah mezi kupujícím a prodávajícím při realizaci této smlouvy ust. § 2079 a násl. občanského zákoníku.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18 této smlouvy. Kupující přitom předem vylučuje přijetí tohoto návrhu s dodatkem nebo odchylkou ve smyslu ustanovení § 1740 odst. 3 občanského zákoníku.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400" w:right="0" w:hanging="400"/>
        <w:jc w:val="both"/>
      </w:pPr>
      <w:r>
        <w:rPr>
          <w:rStyle w:val="CharStyle11"/>
        </w:rPr>
        <w:t>Prodávající bere na vědomí a souhlasí s tím, aby kupující uveřejnil tuto smlouvu v registru smluv v souladu s ustanoveními zákona č. 340/2015 Sb., o registru smluv, ve znění pozdějších předpisů.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/>
        <w:ind w:left="0" w:right="0" w:firstLine="0"/>
        <w:jc w:val="both"/>
      </w:pPr>
      <w:r>
        <w:rPr>
          <w:rStyle w:val="CharStyle11"/>
        </w:rPr>
        <w:t>Tuto smlouvu lze změnit nebo zrušit pouze jinou písemnou dohodou obou smluvních stran.</w:t>
      </w:r>
      <w:r>
        <w:br w:type="page"/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after="240"/>
        <w:ind w:left="400" w:right="0" w:hanging="400"/>
        <w:jc w:val="both"/>
      </w:pPr>
      <w:r>
        <w:rPr>
          <w:rStyle w:val="CharStyle11"/>
        </w:rPr>
        <w:t>Tato smlouva nabývá platnosti dnem jejího uzavření a účinnosti dnem jejího uveřejnění v registru smluv dle čl. 15 této smlouvy.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32" w:val="left"/>
        </w:tabs>
        <w:bidi w:val="0"/>
        <w:spacing w:before="0" w:after="800" w:line="271" w:lineRule="auto"/>
        <w:ind w:left="400" w:right="0" w:hanging="40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838200</wp:posOffset>
                </wp:positionV>
                <wp:extent cx="688975" cy="18288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2.100000000000009pt;margin-top:66.pt;width:54.25pt;height:14.4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V Brně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1"/>
        </w:rPr>
        <w:t>Dáno ve dvou originálních písemných vyhotoveních, z nichž každá ze smluvních stran obdrží po jednom.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0" w:lineRule="atLeast"/>
        <w:ind w:left="4580" w:right="1880" w:hanging="800"/>
        <w:jc w:val="left"/>
      </w:pPr>
      <w:r>
        <w:rPr>
          <w:rStyle w:val="CharStyle11"/>
          <w:color w:val="38404E"/>
        </w:rPr>
        <w:t xml:space="preserve">V Brně áié 20.12.2021 </w:t>
      </w:r>
      <w:r>
        <w:rPr>
          <w:rStyle w:val="CharStyle11"/>
          <w:color w:val="478DC6"/>
        </w:rPr>
        <w:t xml:space="preserve">s* &lt; V </w:t>
      </w:r>
      <w:r>
        <w:rPr>
          <w:rStyle w:val="CharStyle11"/>
          <w:color w:val="396285"/>
        </w:rPr>
        <w:t>“v-.*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52"/>
        </w:rPr>
        <w:t>v</w:t>
      </w:r>
    </w:p>
    <w:p>
      <w:pPr>
        <w:widowControl w:val="0"/>
        <w:spacing w:line="1" w:lineRule="exact"/>
      </w:pPr>
      <w:r>
        <w:drawing>
          <wp:anchor distT="24130" distB="975360" distL="0" distR="0" simplePos="0" relativeHeight="125829382" behindDoc="0" locked="0" layoutInCell="1" allowOverlap="1">
            <wp:simplePos x="0" y="0"/>
            <wp:positionH relativeFrom="page">
              <wp:posOffset>1769110</wp:posOffset>
            </wp:positionH>
            <wp:positionV relativeFrom="paragraph">
              <wp:posOffset>24130</wp:posOffset>
            </wp:positionV>
            <wp:extent cx="1256030" cy="52451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256030" cy="524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950595" distL="0" distR="0" simplePos="0" relativeHeight="125829383" behindDoc="0" locked="0" layoutInCell="1" allowOverlap="1">
            <wp:simplePos x="0" y="0"/>
            <wp:positionH relativeFrom="page">
              <wp:posOffset>4149725</wp:posOffset>
            </wp:positionH>
            <wp:positionV relativeFrom="paragraph">
              <wp:posOffset>0</wp:posOffset>
            </wp:positionV>
            <wp:extent cx="1804670" cy="57277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804670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61670" distB="700405" distL="0" distR="0" simplePos="0" relativeHeight="125829384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661670</wp:posOffset>
                </wp:positionV>
                <wp:extent cx="1429385" cy="1587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938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 xml:space="preserve">MUDr. Hana </w:t>
                            </w:r>
                            <w:r>
                              <w:rPr>
                                <w:rStyle w:val="CharStyle11"/>
                                <w:spacing w:val="2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11"/>
                                <w:spacing w:val="3"/>
                                <w:shd w:val="clear" w:color="auto" w:fill="000000"/>
                              </w:rPr>
                              <w:t>...........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2.100000000000009pt;margin-top:52.100000000000001pt;width:112.55pt;height:12.5pt;z-index:-125829369;mso-wrap-distance-left:0;mso-wrap-distance-top:52.100000000000001pt;mso-wrap-distance-right:0;mso-wrap-distance-bottom:55.14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 xml:space="preserve">MUDr. Hana </w:t>
                      </w:r>
                      <w:r>
                        <w:rPr>
                          <w:rStyle w:val="CharStyle11"/>
                          <w:spacing w:val="2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11"/>
                          <w:spacing w:val="3"/>
                          <w:shd w:val="clear" w:color="auto" w:fill="000000"/>
                        </w:rPr>
                        <w:t>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31850" distB="360045" distL="0" distR="0" simplePos="0" relativeHeight="125829386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831850</wp:posOffset>
                </wp:positionV>
                <wp:extent cx="521335" cy="32893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133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2.100000000000009pt;margin-top:65.5pt;width:41.050000000000004pt;height:25.900000000000002pt;z-index:-125829367;mso-wrap-distance-left:0;mso-wrap-distance-top:65.5pt;mso-wrap-distance-right:0;mso-wrap-distance-bottom:28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>ředitelka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66470" distB="0" distL="0" distR="0" simplePos="0" relativeHeight="125829388" behindDoc="0" locked="0" layoutInCell="1" allowOverlap="1">
                <wp:simplePos x="0" y="0"/>
                <wp:positionH relativeFrom="page">
                  <wp:posOffset>1747520</wp:posOffset>
                </wp:positionH>
                <wp:positionV relativeFrom="paragraph">
                  <wp:posOffset>966470</wp:posOffset>
                </wp:positionV>
                <wp:extent cx="1627505" cy="5549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7505" cy="554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60" w:right="0" w:hanging="160"/>
                              <w:jc w:val="left"/>
                            </w:pPr>
                            <w:r>
                              <w:rPr>
                                <w:rStyle w:val="CharStyle16"/>
                                <w:i/>
                                <w:iCs/>
                                <w:smallCaps/>
                                <w:sz w:val="12"/>
                                <w:szCs w:val="12"/>
                              </w:rPr>
                              <w:t>í-</w:t>
                            </w:r>
                            <w:r>
                              <w:rPr>
                                <w:rStyle w:val="CharStyle16"/>
                                <w:i/>
                                <w:iCs/>
                              </w:rPr>
                              <w:t xml:space="preserve"> a</w:t>
                            </w:r>
                            <w:r>
                              <w:rPr>
                                <w:rStyle w:val="CharStyle16"/>
                              </w:rPr>
                              <w:t xml:space="preserve"> záchranná Jihomoravského kraje, p.o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6"/>
                              </w:rPr>
                              <w:t>Kamenice 7S8/1 d, 625 00 Brno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6"/>
                              </w:rPr>
                              <w:t>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7.59999999999999pt;margin-top:76.100000000000009pt;width:128.15000000000001pt;height:43.700000000000003pt;z-index:-125829365;mso-wrap-distance-left:0;mso-wrap-distance-top:76.100000000000009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60" w:right="0" w:hanging="160"/>
                        <w:jc w:val="left"/>
                      </w:pPr>
                      <w:r>
                        <w:rPr>
                          <w:rStyle w:val="CharStyle16"/>
                          <w:i/>
                          <w:iCs/>
                          <w:smallCaps/>
                          <w:sz w:val="12"/>
                          <w:szCs w:val="12"/>
                        </w:rPr>
                        <w:t>í-</w:t>
                      </w:r>
                      <w:r>
                        <w:rPr>
                          <w:rStyle w:val="CharStyle16"/>
                          <w:i/>
                          <w:iCs/>
                        </w:rPr>
                        <w:t xml:space="preserve"> a</w:t>
                      </w:r>
                      <w:r>
                        <w:rPr>
                          <w:rStyle w:val="CharStyle16"/>
                        </w:rPr>
                        <w:t xml:space="preserve"> záchranná Jihomoravského kraje, p.o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6"/>
                        </w:rPr>
                        <w:t>Kamenice 7S8/1 d, 625 00 Brno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6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2145" distB="347345" distL="0" distR="0" simplePos="0" relativeHeight="125829390" behindDoc="0" locked="0" layoutInCell="1" allowOverlap="1">
                <wp:simplePos x="0" y="0"/>
                <wp:positionH relativeFrom="page">
                  <wp:posOffset>4122420</wp:posOffset>
                </wp:positionH>
                <wp:positionV relativeFrom="paragraph">
                  <wp:posOffset>652145</wp:posOffset>
                </wp:positionV>
                <wp:extent cx="920750" cy="52133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521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</w:rPr>
                              <w:t xml:space="preserve">Jana Ševčíkové Jednatelka </w:t>
                            </w: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24.60000000000002pt;margin-top:51.350000000000001pt;width:72.5pt;height:41.050000000000004pt;z-index:-125829363;mso-wrap-distance-left:0;mso-wrap-distance-top:51.350000000000001pt;mso-wrap-distance-right:0;mso-wrap-distance-bottom:27.3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</w:rPr>
                        <w:t xml:space="preserve">Jana Ševčíkové Jednatelka </w:t>
                      </w:r>
                      <w:r>
                        <w:rPr>
                          <w:rStyle w:val="CharStyle11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3675" distB="2540" distL="0" distR="0" simplePos="0" relativeHeight="125829392" behindDoc="0" locked="0" layoutInCell="1" allowOverlap="1">
                <wp:simplePos x="0" y="0"/>
                <wp:positionH relativeFrom="page">
                  <wp:posOffset>915670</wp:posOffset>
                </wp:positionH>
                <wp:positionV relativeFrom="paragraph">
                  <wp:posOffset>193675</wp:posOffset>
                </wp:positionV>
                <wp:extent cx="679450" cy="15875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2.100000000000009pt;margin-top:15.25pt;width:53.5pt;height:12.5pt;z-index:-125829361;mso-wrap-distance-left:0;mso-wrap-distance-top:15.25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Příloha č.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394" behindDoc="0" locked="0" layoutInCell="1" allowOverlap="1">
                <wp:simplePos x="0" y="0"/>
                <wp:positionH relativeFrom="page">
                  <wp:posOffset>1802765</wp:posOffset>
                </wp:positionH>
                <wp:positionV relativeFrom="paragraph">
                  <wp:posOffset>190500</wp:posOffset>
                </wp:positionV>
                <wp:extent cx="728345" cy="16446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834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Specifikace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41.95000000000002pt;margin-top:15.pt;width:57.350000000000001pt;height:12.950000000000001pt;z-index:-125829359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Specifikace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  <w:i/>
          <w:iCs/>
        </w:rPr>
        <w:t>Příloha č. 1</w:t>
      </w:r>
    </w:p>
    <w:tbl>
      <w:tblPr>
        <w:tblOverlap w:val="never"/>
        <w:jc w:val="center"/>
        <w:tblLayout w:type="fixed"/>
      </w:tblPr>
      <w:tblGrid>
        <w:gridCol w:w="3446"/>
        <w:gridCol w:w="5616"/>
      </w:tblGrid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rStyle w:val="CharStyle27"/>
                <w:b/>
                <w:bCs/>
                <w:sz w:val="22"/>
                <w:szCs w:val="22"/>
              </w:rPr>
              <w:t>SPECIFIKACE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tabs>
          <w:tab w:pos="1349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1"/>
          <w:b/>
          <w:bCs/>
        </w:rPr>
        <w:t>Zařazení:</w:t>
        <w:tab/>
      </w:r>
      <w:r>
        <w:rPr>
          <w:rStyle w:val="CharStyle11"/>
        </w:rPr>
        <w:t>Náhlavní bezdrátová souprava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349" w:val="left"/>
        </w:tabs>
        <w:bidi w:val="0"/>
        <w:spacing w:before="0" w:after="320" w:line="240" w:lineRule="auto"/>
        <w:ind w:left="0" w:right="0" w:firstLine="0"/>
        <w:jc w:val="left"/>
      </w:pPr>
      <w:r>
        <w:rPr>
          <w:rStyle w:val="CharStyle11"/>
          <w:b/>
          <w:bCs/>
        </w:rPr>
        <w:t>Produkt:</w:t>
        <w:tab/>
      </w:r>
      <w:r>
        <w:rPr>
          <w:rStyle w:val="CharStyle11"/>
        </w:rPr>
        <w:t>Jabra Engage 75 duo/stereo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  <w:b/>
          <w:bCs/>
          <w:sz w:val="20"/>
          <w:szCs w:val="20"/>
        </w:rPr>
        <w:t>Technické parametry:</w:t>
      </w:r>
    </w:p>
    <w:tbl>
      <w:tblPr>
        <w:tblOverlap w:val="never"/>
        <w:jc w:val="center"/>
        <w:tblLayout w:type="fixed"/>
      </w:tblPr>
      <w:tblGrid>
        <w:gridCol w:w="3446"/>
        <w:gridCol w:w="5616"/>
      </w:tblGrid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Frekvenční rozsah reproduktoru: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40 Hz-16 kHz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Frekvenční rozsah mikrofonu: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100 Hz až 7.3 KHz</w:t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Šířka pásma reproduktoru: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hudební režim 40 Hz až 16 kHz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Zařízení DECT: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NFC: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Zařízení Bluetooth®: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Ano, v základně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Verze Bluetooth®: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5.0</w:t>
            </w:r>
          </w:p>
        </w:tc>
      </w:tr>
      <w:tr>
        <w:trPr>
          <w:trHeight w:val="71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Podporované režimy Bluetooth®: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Podporované profily Bluetooth®: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Režim SCO, eSCO, Sniff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Náhlavní souprava, handsfree a PBAB</w:t>
            </w:r>
          </w:p>
        </w:tc>
      </w:tr>
      <w:tr>
        <w:trPr>
          <w:trHeight w:val="68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Spárovaná zařízení (do):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Bezdrátový dosah: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27"/>
              </w:rPr>
              <w:t>2 zařízení Bluetooth® do 150 m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Šířka pásma náhlavní soupravy: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Úzkopásmové a širokopásmové připojení</w:t>
            </w:r>
          </w:p>
        </w:tc>
      </w:tr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Diodový indikátor hovoru: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Doba hovoru: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až 13h</w:t>
            </w:r>
          </w:p>
        </w:tc>
      </w:tr>
      <w:tr>
        <w:trPr>
          <w:trHeight w:val="36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Doba nabíjení: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40% po 30 min, 100 % po 90 min</w:t>
            </w:r>
          </w:p>
        </w:tc>
      </w:tr>
      <w:tr>
        <w:trPr>
          <w:trHeight w:val="35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Dotyková základna: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Ano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Hmotnost náhlavní soupravy: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82g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Záruka: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2 roky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Provozní teplota: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-10 °C až +55 °C</w:t>
            </w:r>
          </w:p>
        </w:tc>
      </w:tr>
      <w:tr>
        <w:trPr>
          <w:trHeight w:val="68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Certifikace: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27"/>
              </w:rPr>
              <w:t>CE, CB, FCC, IC, NOM, NTC, EAC, PSB, ICASA, TELEC, SIRIM, ACMA, NZTelep., UL, Bluetooth®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• Možnosti připojení: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Stolní telefon, USB stolní telefon, softwarový telefon, 2x</w:t>
            </w:r>
          </w:p>
        </w:tc>
      </w:tr>
      <w:tr>
        <w:trPr>
          <w:trHeight w:val="70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</w:rPr>
              <w:t>mobilní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(Bluetooth®)</w:t>
            </w:r>
          </w:p>
        </w:tc>
      </w:tr>
      <w:tr>
        <w:trPr>
          <w:trHeight w:val="66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■ Připojení: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27"/>
              </w:rPr>
              <w:t>2 ks Mikro USB, RJ-9 pro mikrotelefon, RJ-9 pro zvuk stolního telefonu, RJ-45 pro AUX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■ Obsah balení: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Náhlavní souprava vč. polstrování, základna, napájecí</w:t>
            </w:r>
          </w:p>
        </w:tc>
      </w:tr>
      <w:tr>
        <w:trPr>
          <w:trHeight w:val="103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27"/>
              </w:rPr>
              <w:t>adaptér,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auto"/>
              <w:ind w:left="0" w:right="0" w:firstLine="0"/>
              <w:jc w:val="left"/>
            </w:pPr>
            <w:r>
              <w:rPr>
                <w:rStyle w:val="CharStyle27"/>
              </w:rPr>
              <w:t>USB kabel, kabel pro stolní telefon, dokumentace, stručný návod</w:t>
            </w:r>
          </w:p>
        </w:tc>
      </w:tr>
      <w:tr>
        <w:trPr>
          <w:trHeight w:val="61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  <w:i/>
                <w:iCs/>
                <w:sz w:val="20"/>
                <w:szCs w:val="20"/>
              </w:rPr>
              <w:t>■ Zabezpečení DECT: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rStyle w:val="CharStyle27"/>
              </w:rPr>
              <w:t>Security Step C a využití algoritmů FIPS ke generování kódů, šifrování a autentizaci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0" w:h="16840"/>
      <w:pgMar w:top="858" w:right="1343" w:bottom="1656" w:left="142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927735</wp:posOffset>
              </wp:positionH>
              <wp:positionV relativeFrom="page">
                <wp:posOffset>10203815</wp:posOffset>
              </wp:positionV>
              <wp:extent cx="455676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5676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\/Z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</w:rPr>
                            <w:t>34_2021 Náhlavní bezdrátové soupravy pro krizové tablety GINA - JABRA 75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3.049999999999997pt;margin-top:803.45000000000005pt;width:358.8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0"/>
                        <w:szCs w:val="20"/>
                      </w:rPr>
                      <w:t xml:space="preserve">\/Z </w:t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</w:rPr>
                      <w:t>34_2021 Náhlavní bezdrátové soupravy pro krizové tablety GINA - JABRA 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color w:val="9CDCEC"/>
      <w:sz w:val="18"/>
      <w:szCs w:val="18"/>
      <w:u w:val="none"/>
    </w:rPr>
  </w:style>
  <w:style w:type="character" w:customStyle="1" w:styleId="CharStyle20">
    <w:name w:val="Nadpis #2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22">
    <w:name w:val="Nadpis #3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Titulek tabulky_"/>
    <w:basedOn w:val="DefaultParagraphFont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27">
    <w:name w:val="Jiné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2">
    <w:name w:val="Základní text (4)_"/>
    <w:basedOn w:val="DefaultParagraphFont"/>
    <w:link w:val="Style5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78DC6"/>
      <w:sz w:val="42"/>
      <w:szCs w:val="4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auto"/>
      <w:spacing w:line="257" w:lineRule="auto"/>
      <w:ind w:left="80" w:hanging="8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CDCEC"/>
      <w:sz w:val="18"/>
      <w:szCs w:val="18"/>
      <w:u w:val="none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auto"/>
      <w:spacing w:after="20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21">
    <w:name w:val="Nadpis #3"/>
    <w:basedOn w:val="Normal"/>
    <w:link w:val="CharStyle22"/>
    <w:pPr>
      <w:widowControl w:val="0"/>
      <w:shd w:val="clear" w:color="auto" w:fill="auto"/>
      <w:spacing w:after="260" w:line="276" w:lineRule="auto"/>
      <w:jc w:val="center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Titulek tabulky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6">
    <w:name w:val="Jiné"/>
    <w:basedOn w:val="Normal"/>
    <w:link w:val="CharStyle27"/>
    <w:pPr>
      <w:widowControl w:val="0"/>
      <w:shd w:val="clear" w:color="auto" w:fill="auto"/>
      <w:spacing w:after="22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1">
    <w:name w:val="Základní text (4)"/>
    <w:basedOn w:val="Normal"/>
    <w:link w:val="CharStyle52"/>
    <w:pPr>
      <w:widowControl w:val="0"/>
      <w:shd w:val="clear" w:color="auto" w:fill="auto"/>
      <w:spacing w:after="520" w:line="180" w:lineRule="auto"/>
      <w:jc w:val="center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478DC6"/>
      <w:sz w:val="42"/>
      <w:szCs w:val="4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