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1D092" w14:textId="77777777" w:rsidR="006865ED" w:rsidRPr="005E612B" w:rsidRDefault="006865ED" w:rsidP="00997E2D">
      <w:pPr>
        <w:pStyle w:val="Nzev"/>
        <w:spacing w:line="300" w:lineRule="atLeast"/>
        <w:contextualSpacing/>
        <w:rPr>
          <w:rFonts w:ascii="Arial" w:hAnsi="Arial" w:cs="Arial"/>
          <w:b w:val="0"/>
          <w:caps w:val="0"/>
          <w:sz w:val="36"/>
          <w:szCs w:val="36"/>
        </w:rPr>
      </w:pPr>
      <w:r w:rsidRPr="005E612B">
        <w:rPr>
          <w:rFonts w:ascii="Arial" w:hAnsi="Arial" w:cs="Arial"/>
          <w:sz w:val="36"/>
          <w:szCs w:val="36"/>
        </w:rPr>
        <w:t>smlouva O POSKYTOVÁNÍ PRÁVNÍCH SLUŽEB</w:t>
      </w:r>
    </w:p>
    <w:p w14:paraId="11FB5A51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72C490C4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79F2AA02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dnešního dne, měsíce a roku uzavřeli</w:t>
      </w:r>
    </w:p>
    <w:p w14:paraId="6D7103D6" w14:textId="77777777" w:rsidR="00BB7B87" w:rsidRPr="00997E2D" w:rsidRDefault="00BB7B87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23AD255A" w14:textId="77777777" w:rsidR="00EF1F34" w:rsidRPr="00997E2D" w:rsidRDefault="00EF1F34" w:rsidP="00997E2D">
      <w:pPr>
        <w:spacing w:line="300" w:lineRule="atLeast"/>
        <w:contextualSpacing/>
        <w:jc w:val="center"/>
        <w:rPr>
          <w:rFonts w:ascii="Arial" w:hAnsi="Arial" w:cs="Arial"/>
          <w:b/>
          <w:bCs/>
          <w:szCs w:val="22"/>
        </w:rPr>
      </w:pPr>
      <w:r w:rsidRPr="00997E2D">
        <w:rPr>
          <w:rFonts w:ascii="Arial" w:hAnsi="Arial" w:cs="Arial"/>
          <w:szCs w:val="22"/>
        </w:rPr>
        <w:br/>
      </w:r>
      <w:r w:rsidR="006A1752">
        <w:rPr>
          <w:rFonts w:ascii="Arial" w:hAnsi="Arial" w:cs="Arial"/>
          <w:b/>
          <w:bCs/>
          <w:szCs w:val="22"/>
        </w:rPr>
        <w:t>Fakultní nemocnice Královské Vinohrady</w:t>
      </w:r>
    </w:p>
    <w:p w14:paraId="447EA3DE" w14:textId="77777777" w:rsidR="00BB7B87" w:rsidRPr="00997E2D" w:rsidRDefault="00BB7B87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IČO:</w:t>
      </w:r>
      <w:r w:rsidR="00EF1F34" w:rsidRPr="00997E2D">
        <w:rPr>
          <w:rFonts w:ascii="Arial" w:hAnsi="Arial" w:cs="Arial"/>
          <w:szCs w:val="22"/>
        </w:rPr>
        <w:t xml:space="preserve"> </w:t>
      </w:r>
      <w:r w:rsidR="00993C31">
        <w:rPr>
          <w:rFonts w:ascii="Arial" w:hAnsi="Arial" w:cs="Arial"/>
          <w:szCs w:val="22"/>
        </w:rPr>
        <w:t>00064173</w:t>
      </w:r>
      <w:r w:rsidRPr="00997E2D">
        <w:rPr>
          <w:rFonts w:ascii="Arial" w:hAnsi="Arial" w:cs="Arial"/>
          <w:szCs w:val="22"/>
        </w:rPr>
        <w:t xml:space="preserve">, DIČ: </w:t>
      </w:r>
      <w:r w:rsidR="00997E2D" w:rsidRPr="00997E2D">
        <w:rPr>
          <w:rFonts w:ascii="Arial" w:hAnsi="Arial" w:cs="Arial"/>
          <w:szCs w:val="22"/>
        </w:rPr>
        <w:t>CZ</w:t>
      </w:r>
      <w:r w:rsidR="00993C31">
        <w:rPr>
          <w:rFonts w:ascii="Arial" w:hAnsi="Arial" w:cs="Arial"/>
          <w:szCs w:val="22"/>
        </w:rPr>
        <w:t>00064173</w:t>
      </w:r>
    </w:p>
    <w:p w14:paraId="49616200" w14:textId="77777777" w:rsidR="006865ED" w:rsidRPr="00997E2D" w:rsidRDefault="00BB7B87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 xml:space="preserve">se sídlem: </w:t>
      </w:r>
      <w:r w:rsidR="00993C31">
        <w:rPr>
          <w:rFonts w:ascii="Arial" w:hAnsi="Arial" w:cs="Arial"/>
          <w:szCs w:val="22"/>
        </w:rPr>
        <w:t xml:space="preserve">Šrobárova 1150/50, </w:t>
      </w:r>
      <w:r w:rsidR="00F70267">
        <w:rPr>
          <w:rFonts w:ascii="Arial" w:hAnsi="Arial" w:cs="Arial"/>
          <w:szCs w:val="22"/>
        </w:rPr>
        <w:t xml:space="preserve">100 34 </w:t>
      </w:r>
      <w:r w:rsidR="00993C31">
        <w:rPr>
          <w:rFonts w:ascii="Arial" w:hAnsi="Arial" w:cs="Arial"/>
          <w:szCs w:val="22"/>
        </w:rPr>
        <w:t>Praha 10</w:t>
      </w:r>
    </w:p>
    <w:p w14:paraId="37F9787C" w14:textId="77777777" w:rsidR="00BB7B87" w:rsidRPr="00997E2D" w:rsidRDefault="00BB7B87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AD0D88">
        <w:rPr>
          <w:rFonts w:ascii="Arial" w:hAnsi="Arial" w:cs="Arial"/>
          <w:szCs w:val="22"/>
        </w:rPr>
        <w:t>zastoupen</w:t>
      </w:r>
      <w:r w:rsidR="00997E2D" w:rsidRPr="00AD0D88">
        <w:rPr>
          <w:rFonts w:ascii="Arial" w:hAnsi="Arial" w:cs="Arial"/>
          <w:szCs w:val="22"/>
        </w:rPr>
        <w:t xml:space="preserve">á </w:t>
      </w:r>
      <w:r w:rsidR="00993C31">
        <w:rPr>
          <w:rFonts w:ascii="Arial" w:hAnsi="Arial" w:cs="Arial"/>
          <w:szCs w:val="22"/>
        </w:rPr>
        <w:t xml:space="preserve">prof. MUDr. Petrem </w:t>
      </w:r>
      <w:proofErr w:type="spellStart"/>
      <w:r w:rsidR="00993C31">
        <w:rPr>
          <w:rFonts w:ascii="Arial" w:hAnsi="Arial" w:cs="Arial"/>
          <w:szCs w:val="22"/>
        </w:rPr>
        <w:t>Arenbergerem</w:t>
      </w:r>
      <w:proofErr w:type="spellEnd"/>
      <w:r w:rsidR="00993C31">
        <w:rPr>
          <w:rFonts w:ascii="Arial" w:hAnsi="Arial" w:cs="Arial"/>
          <w:szCs w:val="22"/>
        </w:rPr>
        <w:t>, Ph.D., MBA, FCMA, ředitelem nemocnice</w:t>
      </w:r>
    </w:p>
    <w:p w14:paraId="789008C2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48ACE0E7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(dále jen jako „</w:t>
      </w:r>
      <w:r w:rsidRPr="00997E2D">
        <w:rPr>
          <w:rFonts w:ascii="Arial" w:hAnsi="Arial" w:cs="Arial"/>
          <w:b/>
          <w:szCs w:val="22"/>
        </w:rPr>
        <w:t>Klient</w:t>
      </w:r>
      <w:r w:rsidRPr="00997E2D">
        <w:rPr>
          <w:rFonts w:ascii="Arial" w:hAnsi="Arial" w:cs="Arial"/>
          <w:szCs w:val="22"/>
        </w:rPr>
        <w:t>“)</w:t>
      </w:r>
    </w:p>
    <w:p w14:paraId="2B3CE373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59EE6AF9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na straně jedné</w:t>
      </w:r>
    </w:p>
    <w:p w14:paraId="2A8AB524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2653E206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7B12BFA4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a</w:t>
      </w:r>
    </w:p>
    <w:p w14:paraId="194EF103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0480D271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5D15DE10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b/>
          <w:szCs w:val="22"/>
        </w:rPr>
        <w:t xml:space="preserve">JUDr. </w:t>
      </w:r>
      <w:r w:rsidR="00997E2D">
        <w:rPr>
          <w:rFonts w:ascii="Arial" w:hAnsi="Arial" w:cs="Arial"/>
          <w:b/>
          <w:szCs w:val="22"/>
        </w:rPr>
        <w:t>Jindřich Vítek, Ph.D.</w:t>
      </w:r>
      <w:r w:rsidRPr="00997E2D">
        <w:rPr>
          <w:rFonts w:ascii="Arial" w:hAnsi="Arial" w:cs="Arial"/>
          <w:b/>
          <w:szCs w:val="22"/>
        </w:rPr>
        <w:t>, advokát</w:t>
      </w:r>
    </w:p>
    <w:p w14:paraId="2AF501AD" w14:textId="431D900C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 xml:space="preserve">Advokátní kancelář </w:t>
      </w:r>
      <w:r w:rsidR="0063609F">
        <w:rPr>
          <w:rFonts w:ascii="Arial" w:hAnsi="Arial" w:cs="Arial"/>
          <w:szCs w:val="22"/>
        </w:rPr>
        <w:t>GÜRLICH</w:t>
      </w:r>
      <w:r w:rsidR="0063609F" w:rsidRPr="00997E2D">
        <w:rPr>
          <w:rFonts w:ascii="Arial" w:hAnsi="Arial" w:cs="Arial"/>
          <w:szCs w:val="22"/>
        </w:rPr>
        <w:t xml:space="preserve"> </w:t>
      </w:r>
      <w:r w:rsidRPr="00997E2D">
        <w:rPr>
          <w:rFonts w:ascii="Arial" w:hAnsi="Arial" w:cs="Arial"/>
          <w:szCs w:val="22"/>
        </w:rPr>
        <w:t>VÍTEK &amp; PARTNERS</w:t>
      </w:r>
    </w:p>
    <w:p w14:paraId="144E18FA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zapsan</w:t>
      </w:r>
      <w:r w:rsidR="00997E2D">
        <w:rPr>
          <w:rFonts w:ascii="Arial" w:hAnsi="Arial" w:cs="Arial"/>
          <w:szCs w:val="22"/>
        </w:rPr>
        <w:t>ý</w:t>
      </w:r>
      <w:r w:rsidRPr="00997E2D">
        <w:rPr>
          <w:rFonts w:ascii="Arial" w:hAnsi="Arial" w:cs="Arial"/>
          <w:szCs w:val="22"/>
        </w:rPr>
        <w:t xml:space="preserve"> v seznamu advokátů vedeném ČAK pod ev. č. </w:t>
      </w:r>
      <w:r w:rsidR="00997E2D">
        <w:rPr>
          <w:rFonts w:ascii="Arial" w:hAnsi="Arial" w:cs="Arial"/>
          <w:szCs w:val="22"/>
        </w:rPr>
        <w:t>9456</w:t>
      </w:r>
      <w:r w:rsidRPr="00997E2D">
        <w:rPr>
          <w:rFonts w:ascii="Arial" w:hAnsi="Arial" w:cs="Arial"/>
          <w:szCs w:val="22"/>
        </w:rPr>
        <w:t>,</w:t>
      </w:r>
    </w:p>
    <w:p w14:paraId="1320DB1B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 xml:space="preserve">IČO: </w:t>
      </w:r>
      <w:r w:rsidR="00997E2D">
        <w:rPr>
          <w:rFonts w:ascii="Arial" w:hAnsi="Arial" w:cs="Arial"/>
          <w:szCs w:val="22"/>
        </w:rPr>
        <w:t>63622777</w:t>
      </w:r>
      <w:r w:rsidRPr="00997E2D">
        <w:rPr>
          <w:rFonts w:ascii="Arial" w:hAnsi="Arial" w:cs="Arial"/>
          <w:szCs w:val="22"/>
        </w:rPr>
        <w:t xml:space="preserve">, DIČ: </w:t>
      </w:r>
      <w:r w:rsidR="00EF1F34" w:rsidRPr="00997E2D">
        <w:rPr>
          <w:rFonts w:ascii="Arial" w:hAnsi="Arial" w:cs="Arial"/>
          <w:szCs w:val="22"/>
        </w:rPr>
        <w:t>CZ</w:t>
      </w:r>
      <w:r w:rsidR="00997E2D">
        <w:rPr>
          <w:rFonts w:ascii="Arial" w:hAnsi="Arial" w:cs="Arial"/>
          <w:szCs w:val="22"/>
        </w:rPr>
        <w:t>7305200485</w:t>
      </w:r>
      <w:r w:rsidRPr="00997E2D">
        <w:rPr>
          <w:rFonts w:ascii="Arial" w:hAnsi="Arial" w:cs="Arial"/>
          <w:szCs w:val="22"/>
        </w:rPr>
        <w:t>,</w:t>
      </w:r>
    </w:p>
    <w:p w14:paraId="6E825BB2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se sídlem Šafaříkova 201/17, 120 00, Praha 2</w:t>
      </w:r>
    </w:p>
    <w:p w14:paraId="1A04A10B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3EA2F3B2" w14:textId="4E50C15F" w:rsidR="006865E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(dále jen „</w:t>
      </w:r>
      <w:r w:rsidRPr="00997E2D">
        <w:rPr>
          <w:rFonts w:ascii="Arial" w:hAnsi="Arial" w:cs="Arial"/>
          <w:b/>
          <w:szCs w:val="22"/>
        </w:rPr>
        <w:t>Advokát</w:t>
      </w:r>
      <w:r w:rsidRPr="00997E2D">
        <w:rPr>
          <w:rFonts w:ascii="Arial" w:hAnsi="Arial" w:cs="Arial"/>
          <w:szCs w:val="22"/>
        </w:rPr>
        <w:t>“)</w:t>
      </w:r>
    </w:p>
    <w:p w14:paraId="0B17341B" w14:textId="14369414" w:rsidR="009241D5" w:rsidRDefault="009241D5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0CDB7373" w14:textId="5BA77E88" w:rsidR="009241D5" w:rsidRPr="00997E2D" w:rsidRDefault="009241D5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(Klient a Advokát dále společně jen „</w:t>
      </w:r>
      <w:r w:rsidRPr="009241D5">
        <w:rPr>
          <w:rFonts w:ascii="Arial" w:hAnsi="Arial" w:cs="Arial"/>
          <w:b/>
          <w:bCs/>
          <w:szCs w:val="22"/>
        </w:rPr>
        <w:t>smluvní strany</w:t>
      </w:r>
      <w:r>
        <w:rPr>
          <w:rFonts w:ascii="Arial" w:hAnsi="Arial" w:cs="Arial"/>
          <w:szCs w:val="22"/>
        </w:rPr>
        <w:t>“)</w:t>
      </w:r>
    </w:p>
    <w:p w14:paraId="0C6BBF32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1C92983D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na straně druhé</w:t>
      </w:r>
    </w:p>
    <w:p w14:paraId="3EE7230B" w14:textId="77777777" w:rsidR="006865ED" w:rsidRPr="00997E2D" w:rsidRDefault="006865ED" w:rsidP="00997E2D">
      <w:pPr>
        <w:spacing w:line="300" w:lineRule="atLeast"/>
        <w:contextualSpacing/>
        <w:rPr>
          <w:rFonts w:ascii="Arial" w:hAnsi="Arial" w:cs="Arial"/>
          <w:szCs w:val="22"/>
        </w:rPr>
      </w:pPr>
    </w:p>
    <w:p w14:paraId="44383064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3AA54C89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tuto</w:t>
      </w:r>
    </w:p>
    <w:p w14:paraId="7276064C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b/>
          <w:spacing w:val="20"/>
          <w:szCs w:val="22"/>
        </w:rPr>
      </w:pPr>
      <w:r w:rsidRPr="00997E2D">
        <w:rPr>
          <w:rFonts w:ascii="Arial" w:hAnsi="Arial" w:cs="Arial"/>
          <w:b/>
          <w:spacing w:val="20"/>
          <w:szCs w:val="22"/>
        </w:rPr>
        <w:t>smlouvu o poskytování právních služeb</w:t>
      </w:r>
    </w:p>
    <w:p w14:paraId="34DC8C58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0C00D3D4" w14:textId="39C5CADD" w:rsidR="006865ED" w:rsidRPr="00997E2D" w:rsidRDefault="00981A28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(dále jen „</w:t>
      </w:r>
      <w:r w:rsidRPr="00981A28">
        <w:rPr>
          <w:rFonts w:ascii="Arial" w:hAnsi="Arial" w:cs="Arial"/>
          <w:b/>
          <w:bCs/>
          <w:szCs w:val="22"/>
        </w:rPr>
        <w:t>smlouva</w:t>
      </w:r>
      <w:r>
        <w:rPr>
          <w:rFonts w:ascii="Arial" w:hAnsi="Arial" w:cs="Arial"/>
          <w:szCs w:val="22"/>
        </w:rPr>
        <w:t>“)</w:t>
      </w:r>
    </w:p>
    <w:p w14:paraId="16CB26E9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0AA089A5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 xml:space="preserve">ve smyslu ustanovení § </w:t>
      </w:r>
      <w:smartTag w:uri="urn:schemas-microsoft-com:office:smarttags" w:element="metricconverter">
        <w:smartTagPr>
          <w:attr w:name="ProductID" w:val="2430 a"/>
        </w:smartTagPr>
        <w:r w:rsidRPr="00997E2D">
          <w:rPr>
            <w:rFonts w:ascii="Arial" w:hAnsi="Arial" w:cs="Arial"/>
            <w:szCs w:val="22"/>
          </w:rPr>
          <w:t>2430 a</w:t>
        </w:r>
      </w:smartTag>
      <w:r w:rsidRPr="00997E2D">
        <w:rPr>
          <w:rFonts w:ascii="Arial" w:hAnsi="Arial" w:cs="Arial"/>
          <w:szCs w:val="22"/>
        </w:rPr>
        <w:t xml:space="preserve"> následujících zákona č. 89/2012 Sb., občanský zákoník,</w:t>
      </w:r>
    </w:p>
    <w:p w14:paraId="4BCD3FFB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</w:p>
    <w:p w14:paraId="1C1C4D23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(za použití zákona č. 85/1996 Sb., zákon o advokacii, ve znění pozdějších předpisů, a</w:t>
      </w:r>
    </w:p>
    <w:p w14:paraId="04C80019" w14:textId="77777777" w:rsidR="006865ED" w:rsidRPr="00997E2D" w:rsidRDefault="006865ED" w:rsidP="00997E2D">
      <w:pPr>
        <w:spacing w:line="300" w:lineRule="atLeast"/>
        <w:contextualSpacing/>
        <w:jc w:val="center"/>
        <w:rPr>
          <w:rFonts w:ascii="Arial" w:hAnsi="Arial" w:cs="Arial"/>
          <w:szCs w:val="22"/>
        </w:rPr>
      </w:pPr>
      <w:r w:rsidRPr="00997E2D">
        <w:rPr>
          <w:rFonts w:ascii="Arial" w:hAnsi="Arial" w:cs="Arial"/>
          <w:szCs w:val="22"/>
        </w:rPr>
        <w:t>vyhlášky č. 177/1996 Sb., advokátní tarif, ve znění pozdějších předpisů).</w:t>
      </w:r>
    </w:p>
    <w:p w14:paraId="19670353" w14:textId="77777777" w:rsidR="00922AEF" w:rsidRDefault="00922AEF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B618421" w14:textId="5B6F109E" w:rsidR="006865ED" w:rsidRPr="008C3746" w:rsidRDefault="006865ED" w:rsidP="008C3746">
      <w:pPr>
        <w:pStyle w:val="Nadpis1"/>
      </w:pPr>
      <w:r w:rsidRPr="008C3746">
        <w:lastRenderedPageBreak/>
        <w:t>Předmět</w:t>
      </w:r>
      <w:r w:rsidRPr="00997E2D">
        <w:t xml:space="preserve"> smlouvy</w:t>
      </w:r>
    </w:p>
    <w:p w14:paraId="4EE99844" w14:textId="0156AC1F" w:rsidR="00997E2D" w:rsidRPr="008C3746" w:rsidRDefault="00997E2D" w:rsidP="008C3746">
      <w:pPr>
        <w:pStyle w:val="Nadpis2"/>
      </w:pPr>
      <w:r w:rsidRPr="008C3746">
        <w:t xml:space="preserve">Předmětem této smlouvy je poskytování právních služeb Advokátem Klientovi za podmínek stanovených v této smlouvě. </w:t>
      </w:r>
    </w:p>
    <w:p w14:paraId="045F0226" w14:textId="22658D57" w:rsidR="00043B80" w:rsidRDefault="006865ED" w:rsidP="008C3746">
      <w:pPr>
        <w:pStyle w:val="Nadpis2"/>
      </w:pPr>
      <w:r w:rsidRPr="008C3746">
        <w:t>Advokát se</w:t>
      </w:r>
      <w:r w:rsidR="00F45CB8" w:rsidRPr="008C3746">
        <w:t xml:space="preserve"> </w:t>
      </w:r>
      <w:r w:rsidRPr="008C3746">
        <w:t xml:space="preserve">zavazuje poskytovat Klientovi právní služby v oblasti </w:t>
      </w:r>
      <w:r w:rsidR="00997E2D" w:rsidRPr="008C3746">
        <w:t xml:space="preserve">práva </w:t>
      </w:r>
      <w:r w:rsidRPr="008C3746">
        <w:t>veřejných zakázek spojené s komplexní administrací zadávací</w:t>
      </w:r>
      <w:r w:rsidR="00EF1F34" w:rsidRPr="008C3746">
        <w:t>ho</w:t>
      </w:r>
      <w:r w:rsidR="00997E2D" w:rsidRPr="008C3746">
        <w:t xml:space="preserve"> řízení dle zákona</w:t>
      </w:r>
      <w:r w:rsidRPr="008C3746">
        <w:t xml:space="preserve"> </w:t>
      </w:r>
      <w:r w:rsidR="00997E2D" w:rsidRPr="008C3746">
        <w:t>č. 134/2016 Sb., o zadávání veřejných zakázek, ve znění pozdějších předpisů (dále jen „</w:t>
      </w:r>
      <w:r w:rsidR="00997E2D" w:rsidRPr="00981A28">
        <w:rPr>
          <w:b/>
          <w:bCs/>
        </w:rPr>
        <w:t>ZZVZ</w:t>
      </w:r>
      <w:r w:rsidR="00997E2D" w:rsidRPr="008C3746">
        <w:t>“)</w:t>
      </w:r>
      <w:r w:rsidR="00043B80">
        <w:t xml:space="preserve"> na nadlimitní </w:t>
      </w:r>
      <w:r w:rsidR="00085C04">
        <w:t>veřejnou zakázku na stavební práce</w:t>
      </w:r>
      <w:r w:rsidR="009E58DD">
        <w:t xml:space="preserve"> s</w:t>
      </w:r>
      <w:r w:rsidR="003340BA">
        <w:t>počívající ve výstavbě heliportu</w:t>
      </w:r>
      <w:r w:rsidR="00BC245C">
        <w:t xml:space="preserve"> na pavilonu N1 a </w:t>
      </w:r>
      <w:r w:rsidR="00AE2985">
        <w:t>rekonstrukce kliniky popáleninové medicíny, vše v areálu Klienta</w:t>
      </w:r>
      <w:r w:rsidR="009E58DD">
        <w:t xml:space="preserve"> </w:t>
      </w:r>
      <w:r w:rsidR="00085C04">
        <w:rPr>
          <w:bCs/>
        </w:rPr>
        <w:t>(dále jen „</w:t>
      </w:r>
      <w:r w:rsidR="006C20F6">
        <w:rPr>
          <w:b/>
        </w:rPr>
        <w:t>Z</w:t>
      </w:r>
      <w:r w:rsidR="00085C04" w:rsidRPr="00E4559B">
        <w:rPr>
          <w:b/>
        </w:rPr>
        <w:t>adávací řízení</w:t>
      </w:r>
      <w:r w:rsidR="00085C04">
        <w:rPr>
          <w:bCs/>
        </w:rPr>
        <w:t>“</w:t>
      </w:r>
      <w:r w:rsidR="006C20F6">
        <w:rPr>
          <w:bCs/>
        </w:rPr>
        <w:t xml:space="preserve"> a „</w:t>
      </w:r>
      <w:r w:rsidR="006C20F6" w:rsidRPr="00A619D0">
        <w:rPr>
          <w:b/>
        </w:rPr>
        <w:t>Veřejná zakázka</w:t>
      </w:r>
      <w:r w:rsidR="006C20F6">
        <w:rPr>
          <w:bCs/>
        </w:rPr>
        <w:t>“</w:t>
      </w:r>
      <w:r w:rsidR="00085C04">
        <w:rPr>
          <w:bCs/>
        </w:rPr>
        <w:t>)</w:t>
      </w:r>
      <w:r w:rsidR="0046195A">
        <w:rPr>
          <w:bCs/>
        </w:rPr>
        <w:t xml:space="preserve"> a </w:t>
      </w:r>
      <w:r w:rsidR="0046195A" w:rsidRPr="008C3746">
        <w:t xml:space="preserve">právní poradenství související se zadáváním </w:t>
      </w:r>
      <w:r w:rsidR="0046195A">
        <w:t>Veřejné zakázky</w:t>
      </w:r>
      <w:r w:rsidR="0046195A" w:rsidRPr="008C3746">
        <w:t xml:space="preserve"> dle konkrétního požadavku Klienta</w:t>
      </w:r>
      <w:r w:rsidR="00043B80" w:rsidRPr="00043B80">
        <w:rPr>
          <w:bCs/>
        </w:rPr>
        <w:t>.</w:t>
      </w:r>
      <w:r w:rsidR="00E4559B">
        <w:rPr>
          <w:bCs/>
        </w:rPr>
        <w:t xml:space="preserve"> Při komplexní administraci </w:t>
      </w:r>
      <w:r w:rsidR="00894ACD">
        <w:rPr>
          <w:bCs/>
        </w:rPr>
        <w:t>Z</w:t>
      </w:r>
      <w:r w:rsidR="00E4559B">
        <w:rPr>
          <w:bCs/>
        </w:rPr>
        <w:t xml:space="preserve">adávacího řízení bude Advokát zastupovat Klienta ve smyslu </w:t>
      </w:r>
      <w:proofErr w:type="spellStart"/>
      <w:r w:rsidR="00E4559B">
        <w:rPr>
          <w:bCs/>
        </w:rPr>
        <w:t>ust</w:t>
      </w:r>
      <w:proofErr w:type="spellEnd"/>
      <w:r w:rsidR="00E4559B">
        <w:rPr>
          <w:bCs/>
        </w:rPr>
        <w:t>. § 43 ZZVZ.</w:t>
      </w:r>
    </w:p>
    <w:p w14:paraId="10CD6232" w14:textId="72799158" w:rsidR="00873D6D" w:rsidRDefault="00873D6D" w:rsidP="008C3746">
      <w:pPr>
        <w:pStyle w:val="Nadpis2"/>
      </w:pPr>
      <w:r>
        <w:t xml:space="preserve">Smluvní strany výslovně uvádí, že </w:t>
      </w:r>
      <w:r w:rsidR="00C455C7">
        <w:t>dne 18. 12. 2019</w:t>
      </w:r>
      <w:r w:rsidR="006C20F6">
        <w:t xml:space="preserve"> podepsali smlouvu o poskytování právních služeb, jejímž předmětem je mj. poskytování právních služeb spočívajících v komplexní administraci zadávacích řízení Advokátem Klientovi. Smluvní strany uvádí, že předmět této smlouvy není součástí uvedené smlouvy o poskytování služeb ze dne 18. 12. 2019</w:t>
      </w:r>
      <w:r w:rsidR="00E831BD">
        <w:t>, a poskytování právních služeb spočívajících v zajištění komplexní administrace Zadávacího řízení se řídí touto smlouvou</w:t>
      </w:r>
      <w:r w:rsidR="006C20F6">
        <w:t>, a to z níže uvedených důvodů. Komplexní administrace Zadávacího řízení vykazuje n</w:t>
      </w:r>
      <w:r w:rsidR="00E831BD">
        <w:t>ad</w:t>
      </w:r>
      <w:r w:rsidR="006C20F6">
        <w:t xml:space="preserve">standardní náročnost oproti zadávacím řízením </w:t>
      </w:r>
      <w:r w:rsidR="00E831BD">
        <w:t xml:space="preserve">běžně </w:t>
      </w:r>
      <w:r w:rsidR="006C20F6">
        <w:t xml:space="preserve">vedeným Klientem, což je vyvoláno zejména povahou předmětu </w:t>
      </w:r>
      <w:r w:rsidR="006013F1">
        <w:t>V</w:t>
      </w:r>
      <w:r w:rsidR="006C20F6">
        <w:t xml:space="preserve">eřejné zakázky a dále taktéž skutečností, že </w:t>
      </w:r>
      <w:r w:rsidR="006013F1">
        <w:t>Veřejná zakázka je</w:t>
      </w:r>
      <w:r w:rsidR="00327658">
        <w:t xml:space="preserve"> částečně</w:t>
      </w:r>
      <w:r w:rsidR="006013F1">
        <w:t xml:space="preserve"> financována z dotace v rámci </w:t>
      </w:r>
      <w:r w:rsidR="006013F1" w:rsidRPr="006013F1">
        <w:t>projektu realizov</w:t>
      </w:r>
      <w:r w:rsidR="00F53FB2">
        <w:t>aného z</w:t>
      </w:r>
      <w:r w:rsidR="006013F1" w:rsidRPr="006013F1">
        <w:t xml:space="preserve"> výzvy č. 98 Integrovaného regionálního operačního programu (IROP) s názvem Rozvoj, modernizace a posílení odolnosti páteřní sítě poskytovatelů zdravotní péče s ohledem na potenciální hrozby, prioritní osa 6, specifický cíl 6.1 – REACT-EU</w:t>
      </w:r>
      <w:r w:rsidR="009F2A76">
        <w:t xml:space="preserve"> a dále je část předmětu Veřejné zakázky financován</w:t>
      </w:r>
      <w:r w:rsidR="001101FF">
        <w:t>a</w:t>
      </w:r>
      <w:r w:rsidR="009F2A76">
        <w:t xml:space="preserve"> z dotace poskytnuté </w:t>
      </w:r>
      <w:r w:rsidR="009F2A76" w:rsidRPr="001101FF">
        <w:t>Ministerstvem zdravotnictví ČR</w:t>
      </w:r>
      <w:r w:rsidR="006013F1">
        <w:t xml:space="preserve">. </w:t>
      </w:r>
      <w:r w:rsidR="00E831BD">
        <w:t>Administrace Zadávacího řízení vyžaduje na straně Advokáta zejména vyšší časovou náročnost spojenou se studiem potřebných podkladů</w:t>
      </w:r>
      <w:r w:rsidR="00BD4EC2">
        <w:t xml:space="preserve"> (včetně pravidel poskytovatele dotace)</w:t>
      </w:r>
      <w:r w:rsidR="00E831BD">
        <w:t xml:space="preserve">, </w:t>
      </w:r>
      <w:r w:rsidR="009F2A76">
        <w:t>posouzením aspektů související</w:t>
      </w:r>
      <w:r w:rsidR="001101FF">
        <w:t>ch</w:t>
      </w:r>
      <w:r w:rsidR="009F2A76">
        <w:t xml:space="preserve"> s financováním předmětu plnění z různých zdrojů, </w:t>
      </w:r>
      <w:r w:rsidR="00E831BD">
        <w:t>přípravou zadávací dokumentace a dalších dokumentů v rámci administrace Zadávacího řízení</w:t>
      </w:r>
      <w:r w:rsidR="009F2A76">
        <w:t xml:space="preserve"> (kdy se mj. předpokládá příprava dvou smluv o dílo)</w:t>
      </w:r>
      <w:r w:rsidR="00E831BD">
        <w:t>, poskytování</w:t>
      </w:r>
      <w:r w:rsidR="00343A77">
        <w:t>m</w:t>
      </w:r>
      <w:r w:rsidR="00E831BD">
        <w:t xml:space="preserve"> komplexní součinnosti při komunikaci s poskytovatelem dotace a příprav</w:t>
      </w:r>
      <w:r w:rsidR="00343A77">
        <w:t>ou</w:t>
      </w:r>
      <w:r w:rsidR="00E831BD">
        <w:t xml:space="preserve"> podkladů pro účely kontrol ze strany poskytovatele dotace.</w:t>
      </w:r>
    </w:p>
    <w:p w14:paraId="34CAFC1D" w14:textId="1CCFBEC6" w:rsidR="006865ED" w:rsidRPr="008C3746" w:rsidRDefault="006865ED" w:rsidP="008C3746">
      <w:pPr>
        <w:pStyle w:val="Nadpis2"/>
      </w:pPr>
      <w:r w:rsidRPr="008C3746">
        <w:t xml:space="preserve">Komplexní </w:t>
      </w:r>
      <w:r w:rsidR="009646E9" w:rsidRPr="008C3746">
        <w:t>administrace</w:t>
      </w:r>
      <w:r w:rsidRPr="008C3746">
        <w:t xml:space="preserve"> </w:t>
      </w:r>
      <w:r w:rsidR="009F2A08">
        <w:t>Z</w:t>
      </w:r>
      <w:r w:rsidRPr="008C3746">
        <w:t>adávacíh</w:t>
      </w:r>
      <w:r w:rsidR="00687668" w:rsidRPr="008C3746">
        <w:t>o</w:t>
      </w:r>
      <w:r w:rsidRPr="008C3746">
        <w:t xml:space="preserve"> řízení dle </w:t>
      </w:r>
      <w:r w:rsidR="008660A7">
        <w:t>odst</w:t>
      </w:r>
      <w:r w:rsidRPr="008C3746">
        <w:t>. 1.</w:t>
      </w:r>
      <w:r w:rsidR="009646E9" w:rsidRPr="008C3746">
        <w:t>2</w:t>
      </w:r>
      <w:r w:rsidRPr="008C3746">
        <w:t xml:space="preserve"> této </w:t>
      </w:r>
      <w:r w:rsidR="00E979AF" w:rsidRPr="008C3746">
        <w:t>s</w:t>
      </w:r>
      <w:r w:rsidRPr="008C3746">
        <w:t xml:space="preserve">mlouvy zahrnuje </w:t>
      </w:r>
      <w:r w:rsidR="00873D6D">
        <w:t>veškeré</w:t>
      </w:r>
      <w:r w:rsidR="00F028C5" w:rsidRPr="008C3746">
        <w:t xml:space="preserve"> úkony nezbytné pro přípravu, administraci zadávacího nebo výběrového řízení a jeho ukončení</w:t>
      </w:r>
      <w:r w:rsidR="00873D6D">
        <w:t>, zejména</w:t>
      </w:r>
      <w:r w:rsidRPr="008C3746">
        <w:t>:</w:t>
      </w:r>
    </w:p>
    <w:p w14:paraId="6A36AF89" w14:textId="7E1DA640" w:rsidR="009646E9" w:rsidRPr="009646E9" w:rsidRDefault="009646E9" w:rsidP="008C3746">
      <w:pPr>
        <w:pStyle w:val="Nadpis3"/>
        <w:ind w:left="1701" w:hanging="850"/>
      </w:pPr>
      <w:r w:rsidRPr="009646E9">
        <w:t xml:space="preserve">Převzetí podkladů týkajících se </w:t>
      </w:r>
      <w:r w:rsidR="001167CB">
        <w:t>V</w:t>
      </w:r>
      <w:r w:rsidRPr="009646E9">
        <w:t>eřejné zakázky;</w:t>
      </w:r>
    </w:p>
    <w:p w14:paraId="4EF91427" w14:textId="1C060A23" w:rsidR="009646E9" w:rsidRPr="008C3746" w:rsidRDefault="009646E9" w:rsidP="008C3746">
      <w:pPr>
        <w:pStyle w:val="Nadpis3"/>
        <w:ind w:left="1701" w:hanging="850"/>
      </w:pPr>
      <w:r w:rsidRPr="008C3746">
        <w:t xml:space="preserve">Navržení druhu </w:t>
      </w:r>
      <w:r w:rsidR="009F2A08">
        <w:t>Z</w:t>
      </w:r>
      <w:r w:rsidRPr="008C3746">
        <w:t xml:space="preserve">adávacího řízení včetně orientačního časového harmonogramu průběhu </w:t>
      </w:r>
      <w:r w:rsidR="009F2A08">
        <w:t>Z</w:t>
      </w:r>
      <w:r w:rsidRPr="008C3746">
        <w:t>adávacího řízení na základě údajů poskytnutých zadavatelem a včetně lhůt daných zákonem;</w:t>
      </w:r>
    </w:p>
    <w:p w14:paraId="4486FFE6" w14:textId="77777777" w:rsidR="009646E9" w:rsidRPr="008C3746" w:rsidRDefault="009646E9" w:rsidP="008C3746">
      <w:pPr>
        <w:pStyle w:val="Nadpis3"/>
        <w:ind w:left="1701" w:hanging="850"/>
      </w:pPr>
      <w:r w:rsidRPr="008C3746">
        <w:t xml:space="preserve">Řádné vyhotovení a vedení dokumentace o veřejné zakázce, zahrnující písemnou evidenci všech úkonů komunikace mezi zadavatelem a </w:t>
      </w:r>
      <w:r w:rsidRPr="008C3746">
        <w:lastRenderedPageBreak/>
        <w:t>dodavateli, zkompletování dokladů (včetně originálů všech nabídek) a předání zadavateli;</w:t>
      </w:r>
    </w:p>
    <w:p w14:paraId="0A13EB55" w14:textId="77777777" w:rsidR="009646E9" w:rsidRPr="008C3746" w:rsidRDefault="009646E9" w:rsidP="008C3746">
      <w:pPr>
        <w:pStyle w:val="Nadpis3"/>
        <w:ind w:left="1701" w:hanging="850"/>
      </w:pPr>
      <w:r w:rsidRPr="008C3746">
        <w:t>Vyplnění a rozeslání veškerých procesních dokumentů ve vztahu k dodavatelům a účastníkům v průběhu řízení;</w:t>
      </w:r>
    </w:p>
    <w:p w14:paraId="3937C803" w14:textId="08769887" w:rsidR="009646E9" w:rsidRPr="008C3746" w:rsidRDefault="009646E9" w:rsidP="008C3746">
      <w:pPr>
        <w:pStyle w:val="Nadpis3"/>
        <w:ind w:left="1701" w:hanging="850"/>
      </w:pPr>
      <w:r w:rsidRPr="008C3746">
        <w:t xml:space="preserve">Příprava a uveřejňování formulářů, týkajících se </w:t>
      </w:r>
      <w:r w:rsidR="009F2A08">
        <w:t>Z</w:t>
      </w:r>
      <w:r w:rsidRPr="008C3746">
        <w:t>adávacího řízení ve Věstníku veřejných zakázek, Úředním věstníku Evropské unie a profilu zadavatele;</w:t>
      </w:r>
    </w:p>
    <w:p w14:paraId="2C00F468" w14:textId="77777777" w:rsidR="009646E9" w:rsidRPr="008C3746" w:rsidRDefault="009646E9" w:rsidP="008C3746">
      <w:pPr>
        <w:pStyle w:val="Nadpis3"/>
        <w:ind w:left="1701" w:hanging="850"/>
      </w:pPr>
      <w:r w:rsidRPr="008C3746">
        <w:t>Zpracování odpovědí na dotazy dodavatelů v průběhu lhůty pro podání nabídek, zajištění včasného doručení odpovědí na dotaz ve lhůtě stanovené zákonem na základě součinnosti poskytnuté zadavatelem;</w:t>
      </w:r>
    </w:p>
    <w:p w14:paraId="3BAD010A" w14:textId="77777777" w:rsidR="009646E9" w:rsidRPr="008C3746" w:rsidRDefault="009646E9" w:rsidP="008C3746">
      <w:pPr>
        <w:pStyle w:val="Nadpis3"/>
        <w:ind w:left="1701" w:hanging="850"/>
      </w:pPr>
      <w:r w:rsidRPr="008C3746">
        <w:t>Organizační zajištění přijímání obálek s nabídkami, včetně vystavení potvrzení o jejich převzetí, vyhotovení seznamu podaných nabídek, případně vyhotovení vyrozumění o podání nabídky po uplynutí lhůty pro podání nabídek, pokud jsou nabídky podávány v listinné podobě;</w:t>
      </w:r>
    </w:p>
    <w:p w14:paraId="770DAC81" w14:textId="77777777" w:rsidR="009646E9" w:rsidRPr="008C3746" w:rsidRDefault="009646E9" w:rsidP="008C3746">
      <w:pPr>
        <w:pStyle w:val="Nadpis3"/>
        <w:ind w:left="1701" w:hanging="850"/>
      </w:pPr>
      <w:r w:rsidRPr="008C3746">
        <w:t>Zpracování a rozeslání pozvánky k účasti na jednání komise pro otevírání nabídek a na jednání hodnotící komise jednotlivým členům a náhradníků hodnotící komise jmenované zadavatelem, s uvedením místa a data konání;</w:t>
      </w:r>
    </w:p>
    <w:p w14:paraId="629FC2D4" w14:textId="77777777" w:rsidR="009646E9" w:rsidRPr="008C3746" w:rsidRDefault="009646E9" w:rsidP="008C3746">
      <w:pPr>
        <w:pStyle w:val="Nadpis3"/>
        <w:ind w:left="1701" w:hanging="850"/>
      </w:pPr>
      <w:r w:rsidRPr="008C3746">
        <w:t>Vypracování a zajištění čestných prohlášení ke střetu zájmů pro členy a náhradníky komise;</w:t>
      </w:r>
    </w:p>
    <w:p w14:paraId="2602237F" w14:textId="77777777" w:rsidR="009646E9" w:rsidRPr="008C3746" w:rsidRDefault="009646E9" w:rsidP="008C3746">
      <w:pPr>
        <w:pStyle w:val="Nadpis3"/>
        <w:ind w:left="1701" w:hanging="850"/>
      </w:pPr>
      <w:r w:rsidRPr="008C3746">
        <w:t xml:space="preserve">Organizační zajištění vlastního aktu otevírání obálek s nabídkami jednotlivých účastníků, pokud probíhá veřejně nebo se ho účastní komise jmenovaná Klientem; </w:t>
      </w:r>
    </w:p>
    <w:p w14:paraId="3B1888DE" w14:textId="77777777" w:rsidR="009646E9" w:rsidRPr="008C3746" w:rsidRDefault="009646E9" w:rsidP="008C3746">
      <w:pPr>
        <w:pStyle w:val="Nadpis3"/>
        <w:ind w:left="1701" w:hanging="850"/>
      </w:pPr>
      <w:r w:rsidRPr="008C3746">
        <w:t>Vyhotovení protokolu o otevírání nabídek včetně všech náležitostí a příloh, pokud jsou nabídky podávány v listinné podobě nebo Klient o jeho vyhotovení požádá;</w:t>
      </w:r>
    </w:p>
    <w:p w14:paraId="37477C4C" w14:textId="1E240ED8" w:rsidR="009646E9" w:rsidRPr="008C3746" w:rsidRDefault="009646E9" w:rsidP="008C3746">
      <w:pPr>
        <w:pStyle w:val="Nadpis3"/>
        <w:ind w:left="1701" w:hanging="850"/>
      </w:pPr>
      <w:r w:rsidRPr="008C3746">
        <w:t>Zpracování a rozeslání pozvánky členům hodnotící komise k účasti na jednání hodnotící komise;</w:t>
      </w:r>
    </w:p>
    <w:p w14:paraId="4C784CAB" w14:textId="77777777" w:rsidR="009646E9" w:rsidRPr="008C3746" w:rsidRDefault="009646E9" w:rsidP="008C3746">
      <w:pPr>
        <w:pStyle w:val="Nadpis3"/>
        <w:ind w:left="1701" w:hanging="850"/>
      </w:pPr>
      <w:r w:rsidRPr="008C3746">
        <w:t>Organizační zajištění, řízení a účast na jednání hodnotící komise, příprava a tvorba podkladů a dokumentů, které jsou pro jednání komise nezbytné, vypracování zápisů o každém jednání hodnotící komise včetně všech náležitostí a příloh;</w:t>
      </w:r>
    </w:p>
    <w:p w14:paraId="3E222CE3" w14:textId="77777777" w:rsidR="009646E9" w:rsidRPr="008C3746" w:rsidRDefault="009646E9" w:rsidP="008C3746">
      <w:pPr>
        <w:pStyle w:val="Nadpis3"/>
        <w:ind w:left="1701" w:hanging="850"/>
      </w:pPr>
      <w:r w:rsidRPr="008C3746">
        <w:t>Organizační zajištění průběhu posouzení a hodnocení nabídek;</w:t>
      </w:r>
    </w:p>
    <w:p w14:paraId="4020E877" w14:textId="0C6AA94E" w:rsidR="009646E9" w:rsidRPr="008C3746" w:rsidRDefault="009646E9" w:rsidP="008C3746">
      <w:pPr>
        <w:pStyle w:val="Nadpis3"/>
        <w:ind w:left="1701" w:hanging="850"/>
      </w:pPr>
      <w:r w:rsidRPr="008C3746">
        <w:t xml:space="preserve">Rozbor nabídek účastníků, ověření a posouzení splnění kvalifikačních kritérií a dalších předpokladů pro plnění </w:t>
      </w:r>
      <w:r w:rsidR="001167CB">
        <w:t>V</w:t>
      </w:r>
      <w:r w:rsidRPr="008C3746">
        <w:t>eřejné zakázky, včetně vyhotovení žádosti o objasnění nebo doplnění údajů, dokladů, vzorků nebo modelů;</w:t>
      </w:r>
    </w:p>
    <w:p w14:paraId="4982FB91" w14:textId="77777777" w:rsidR="009646E9" w:rsidRPr="008C3746" w:rsidRDefault="009646E9" w:rsidP="008C3746">
      <w:pPr>
        <w:pStyle w:val="Nadpis3"/>
        <w:ind w:left="1701" w:hanging="850"/>
      </w:pPr>
      <w:r w:rsidRPr="008C3746">
        <w:t>Zpracování veškerých podkladů týkajících se metody hodnocení a posouzení nabídek;</w:t>
      </w:r>
    </w:p>
    <w:p w14:paraId="40F9B774" w14:textId="725F2967" w:rsidR="009646E9" w:rsidRPr="008C3746" w:rsidRDefault="009646E9" w:rsidP="008C3746">
      <w:pPr>
        <w:pStyle w:val="Nadpis3"/>
        <w:ind w:left="1701" w:hanging="850"/>
      </w:pPr>
      <w:r w:rsidRPr="008C3746">
        <w:t xml:space="preserve">Zpracování protokolu o posouzení splnění podmínek účasti v </w:t>
      </w:r>
      <w:r w:rsidR="009F2A08">
        <w:t>Z</w:t>
      </w:r>
      <w:r w:rsidRPr="008C3746">
        <w:t>adávacím řízení vybraného dodavatele, písemné zprávy o hodnocení nabídek a dalších souvisejících zápisů z jednání hodnotící komise;</w:t>
      </w:r>
    </w:p>
    <w:p w14:paraId="46FFA572" w14:textId="77777777" w:rsidR="009646E9" w:rsidRPr="008C3746" w:rsidRDefault="009646E9" w:rsidP="008C3746">
      <w:pPr>
        <w:pStyle w:val="Nadpis3"/>
        <w:ind w:left="1701" w:hanging="850"/>
      </w:pPr>
      <w:r w:rsidRPr="008C3746">
        <w:lastRenderedPageBreak/>
        <w:t>Vypracování návrhu rozhodnutí o výběru dodavatele a oznámení o výběru dodavatele, včetně zajištění rozeslání oznámení o výběru dodavatele;</w:t>
      </w:r>
    </w:p>
    <w:p w14:paraId="587AEB1E" w14:textId="77777777" w:rsidR="009646E9" w:rsidRPr="008C3746" w:rsidRDefault="009646E9" w:rsidP="008C3746">
      <w:pPr>
        <w:pStyle w:val="Nadpis3"/>
        <w:ind w:left="1701" w:hanging="850"/>
      </w:pPr>
      <w:r w:rsidRPr="008C3746">
        <w:t>Zpracování písemné zprávy zadavatele;</w:t>
      </w:r>
    </w:p>
    <w:p w14:paraId="7E9ABC88" w14:textId="77777777" w:rsidR="009646E9" w:rsidRPr="008C3746" w:rsidRDefault="009646E9" w:rsidP="008C3746">
      <w:pPr>
        <w:pStyle w:val="Nadpis3"/>
        <w:ind w:left="1701" w:hanging="850"/>
      </w:pPr>
      <w:r w:rsidRPr="008C3746">
        <w:t>Uveřejnění dokumentů na profilu zadavatele ve spolupráci se zadavatelem;</w:t>
      </w:r>
    </w:p>
    <w:p w14:paraId="113F970F" w14:textId="2E144BDC" w:rsidR="009646E9" w:rsidRPr="008C3746" w:rsidRDefault="009646E9" w:rsidP="008C3746">
      <w:pPr>
        <w:pStyle w:val="Nadpis3"/>
        <w:ind w:left="1701" w:hanging="850"/>
      </w:pPr>
      <w:r w:rsidRPr="008C3746">
        <w:t xml:space="preserve">Dohled nad dodržením veškerých lhůt stanovených zákonem v průběhu </w:t>
      </w:r>
      <w:r w:rsidR="009F2A08">
        <w:t>Z</w:t>
      </w:r>
      <w:r w:rsidRPr="008C3746">
        <w:t>adávacího řízení;</w:t>
      </w:r>
    </w:p>
    <w:p w14:paraId="4F92D26C" w14:textId="50907949" w:rsidR="009646E9" w:rsidRPr="008C3746" w:rsidRDefault="009646E9" w:rsidP="008C3746">
      <w:pPr>
        <w:pStyle w:val="Nadpis3"/>
        <w:ind w:left="1701" w:hanging="850"/>
      </w:pPr>
      <w:r w:rsidRPr="008C3746">
        <w:t xml:space="preserve">Součinnost při řádném ukončení </w:t>
      </w:r>
      <w:r w:rsidR="009F2A08">
        <w:t>V</w:t>
      </w:r>
      <w:r w:rsidRPr="008C3746">
        <w:t>eřejné zakázky po vydání rozhodnutí o podaných námitkách;</w:t>
      </w:r>
    </w:p>
    <w:p w14:paraId="4E9F4702" w14:textId="2A5421AC" w:rsidR="009646E9" w:rsidRPr="008C3746" w:rsidRDefault="009646E9" w:rsidP="008C3746">
      <w:pPr>
        <w:pStyle w:val="Nadpis3"/>
        <w:ind w:left="1701" w:hanging="850"/>
      </w:pPr>
      <w:r w:rsidRPr="008C3746">
        <w:t xml:space="preserve">Vyhotovení kompletního návrhu zadávací dokumentace k </w:t>
      </w:r>
      <w:r w:rsidR="001167CB">
        <w:t>V</w:t>
      </w:r>
      <w:r w:rsidRPr="008C3746">
        <w:t>eřejné zakázce včetně všech jejich součástí včetně návrhu příslušné smlouvy s výjimkou technické části zadávací dokumentace, případně následné zajištění zpracování jejich změn a doplnění dle zákona, a to v souladu s předloženými požadavky zadavatele na obchodní podmínky a v souladu s požadavky na správnost a úplnost zadávacích podmínek ve smyslu zákona a následné předložení čistopisu zadávací dokumentace zadavateli ke schválení;</w:t>
      </w:r>
    </w:p>
    <w:p w14:paraId="4F740665" w14:textId="4DEF61FB" w:rsidR="009646E9" w:rsidRPr="008C3746" w:rsidRDefault="009646E9" w:rsidP="008C3746">
      <w:pPr>
        <w:pStyle w:val="Nadpis3"/>
        <w:ind w:left="1701" w:hanging="850"/>
      </w:pPr>
      <w:r w:rsidRPr="008C3746">
        <w:t>Zajištění účasti pověřeného zástupce na jednáních komisí spojených s</w:t>
      </w:r>
      <w:r w:rsidR="009F2A08">
        <w:t>e Z</w:t>
      </w:r>
      <w:r w:rsidRPr="008C3746">
        <w:t>adávacím řízením po dohodě se zadavatelem;</w:t>
      </w:r>
    </w:p>
    <w:p w14:paraId="31263565" w14:textId="454F53D5" w:rsidR="009646E9" w:rsidRPr="008C3746" w:rsidRDefault="009646E9" w:rsidP="008C3746">
      <w:pPr>
        <w:pStyle w:val="Nadpis3"/>
        <w:ind w:left="1701" w:hanging="850"/>
      </w:pPr>
      <w:r w:rsidRPr="008C3746">
        <w:t xml:space="preserve">Vyhotovení podkladů pro rozhodnutí zadavatele o vyloučení účastníka ze </w:t>
      </w:r>
      <w:r w:rsidR="009F2A08">
        <w:t>Z</w:t>
      </w:r>
      <w:r w:rsidRPr="008C3746">
        <w:t>adávacího řízení, návrhu rozhodnutí zadavatele o vyloučení účastníka, oznámení o vyloučení účastníka včetně odůvodnění a odeslání oznámení po schválení a podepsání zadavatelem;</w:t>
      </w:r>
    </w:p>
    <w:p w14:paraId="21DB4254" w14:textId="77777777" w:rsidR="009646E9" w:rsidRPr="008C3746" w:rsidRDefault="009646E9" w:rsidP="008C3746">
      <w:pPr>
        <w:pStyle w:val="Nadpis3"/>
        <w:ind w:left="1701" w:hanging="850"/>
      </w:pPr>
      <w:r w:rsidRPr="008C3746">
        <w:t>Posouzení nabídkových cen uchazečů z toho hlediska, zda se v některém případě nejedná o mimořádně nízkou nabídkovou cenu z hlediska posouzení zákonných podmínek a zajištění vypracování návrhu žádosti o písemné zdůvodnění mimořádně nízké nabídkové ceny;</w:t>
      </w:r>
    </w:p>
    <w:p w14:paraId="738C53CC" w14:textId="0A08DC4B" w:rsidR="009646E9" w:rsidRPr="008C3746" w:rsidRDefault="009646E9" w:rsidP="008C3746">
      <w:pPr>
        <w:pStyle w:val="Nadpis3"/>
        <w:ind w:left="1701" w:hanging="850"/>
      </w:pPr>
      <w:r w:rsidRPr="008C3746">
        <w:t xml:space="preserve">Případné vyhotovení rozhodnutí o zrušení </w:t>
      </w:r>
      <w:r w:rsidR="009F2A08">
        <w:t>Z</w:t>
      </w:r>
      <w:r w:rsidRPr="008C3746">
        <w:t>adávacího řízení, oznámení tohoto rozhodnutí a vyhotovení a odeslání formuláře do Věstníku veřejných zakázek, případně do Úředního věstníku EU;</w:t>
      </w:r>
    </w:p>
    <w:p w14:paraId="111D9E6F" w14:textId="71CC3BC9" w:rsidR="00343A77" w:rsidRDefault="00343A77" w:rsidP="00343A77">
      <w:pPr>
        <w:pStyle w:val="Nadpis3"/>
        <w:ind w:left="1701" w:hanging="850"/>
      </w:pPr>
      <w:r>
        <w:t>V</w:t>
      </w:r>
      <w:r w:rsidRPr="008C3746">
        <w:t>ypracování stanoviska k podaným námitkám nebo návrhu rozhodnutí o námitkách</w:t>
      </w:r>
      <w:r>
        <w:t>;</w:t>
      </w:r>
    </w:p>
    <w:p w14:paraId="21C4AC95" w14:textId="0354B449" w:rsidR="00343A77" w:rsidRDefault="00343A77" w:rsidP="00343A77">
      <w:pPr>
        <w:pStyle w:val="Nadpis3"/>
        <w:ind w:left="1701" w:hanging="850"/>
      </w:pPr>
      <w:r>
        <w:t>V</w:t>
      </w:r>
      <w:r w:rsidRPr="008C3746">
        <w:t>ypracování podkladů, přehledů nebo výstupů pro poskytovatele dotace</w:t>
      </w:r>
      <w:r>
        <w:t>;</w:t>
      </w:r>
    </w:p>
    <w:p w14:paraId="574BFA37" w14:textId="04FEAD22" w:rsidR="00F028C5" w:rsidRPr="008C3746" w:rsidRDefault="009646E9" w:rsidP="008C3746">
      <w:pPr>
        <w:pStyle w:val="Nadpis3"/>
        <w:ind w:left="1701" w:hanging="850"/>
      </w:pPr>
      <w:r w:rsidRPr="008C3746">
        <w:t>Součinnost spočívající v poskytování konzultací a poradenství</w:t>
      </w:r>
      <w:r w:rsidR="00F73F62" w:rsidRPr="008C3746">
        <w:t xml:space="preserve"> k probíhajícímu </w:t>
      </w:r>
      <w:r w:rsidR="009F2A08">
        <w:t>Z</w:t>
      </w:r>
      <w:r w:rsidR="00F73F62" w:rsidRPr="008C3746">
        <w:t>adávacímu řízení</w:t>
      </w:r>
      <w:r w:rsidRPr="008C3746">
        <w:t xml:space="preserve"> (telefonicky, e-mailem, při osobním jednání) v průběhu celého </w:t>
      </w:r>
      <w:r w:rsidR="009F2A08">
        <w:t>Z</w:t>
      </w:r>
      <w:r w:rsidRPr="008C3746">
        <w:t>adávacího řízení</w:t>
      </w:r>
      <w:r w:rsidR="00C02B38" w:rsidRPr="008C3746">
        <w:t>.</w:t>
      </w:r>
    </w:p>
    <w:p w14:paraId="3C5EE49E" w14:textId="281F490B" w:rsidR="006865ED" w:rsidRPr="00997E2D" w:rsidRDefault="00F028C5" w:rsidP="008C3746">
      <w:pPr>
        <w:pStyle w:val="Nadpis3"/>
        <w:numPr>
          <w:ilvl w:val="0"/>
          <w:numId w:val="0"/>
        </w:numPr>
        <w:spacing w:line="300" w:lineRule="atLeast"/>
        <w:ind w:left="1278" w:firstLine="423"/>
        <w:contextualSpacing/>
        <w:rPr>
          <w:rFonts w:cs="Arial"/>
          <w:szCs w:val="22"/>
        </w:rPr>
      </w:pPr>
      <w:r>
        <w:rPr>
          <w:rFonts w:cs="Arial"/>
          <w:szCs w:val="22"/>
        </w:rPr>
        <w:t>(dále jen „komplexní administrace“)</w:t>
      </w:r>
      <w:r w:rsidR="004F38A9">
        <w:rPr>
          <w:rFonts w:cs="Arial"/>
          <w:szCs w:val="22"/>
        </w:rPr>
        <w:t>.</w:t>
      </w:r>
    </w:p>
    <w:p w14:paraId="70BEECEC" w14:textId="46D79FCA" w:rsidR="002E2330" w:rsidRPr="008C3746" w:rsidRDefault="00F45CB8" w:rsidP="008C3746">
      <w:pPr>
        <w:pStyle w:val="Nadpis2"/>
      </w:pPr>
      <w:r w:rsidRPr="008C3746">
        <w:t xml:space="preserve">Součástí komplexní administrace </w:t>
      </w:r>
      <w:r w:rsidR="001167CB">
        <w:t>V</w:t>
      </w:r>
      <w:r w:rsidRPr="008C3746">
        <w:t>eřejné zakázky</w:t>
      </w:r>
      <w:r w:rsidR="00981A28">
        <w:t xml:space="preserve"> ve smyslu odst. 1.</w:t>
      </w:r>
      <w:r w:rsidR="00343A77">
        <w:t>4</w:t>
      </w:r>
      <w:r w:rsidR="00981A28">
        <w:t>. smlouvy</w:t>
      </w:r>
      <w:r w:rsidRPr="008C3746">
        <w:t xml:space="preserve"> není detailní zpracování popisu předmětu </w:t>
      </w:r>
      <w:r w:rsidR="001167CB">
        <w:t>V</w:t>
      </w:r>
      <w:r w:rsidRPr="008C3746">
        <w:t>eřejné zakázky (technický popis, množství</w:t>
      </w:r>
      <w:r w:rsidR="00137782" w:rsidRPr="008C3746">
        <w:t>, technické podmínky</w:t>
      </w:r>
      <w:r w:rsidRPr="008C3746">
        <w:t xml:space="preserve"> atd.), určení výše předpokládané hodnoty </w:t>
      </w:r>
      <w:r w:rsidR="001167CB">
        <w:t>V</w:t>
      </w:r>
      <w:r w:rsidRPr="008C3746">
        <w:t xml:space="preserve">eřejné zakázky včetně jejího zdůvodnění, stanovení požadavků na hodnocení nabídek dodavatelů a na technickou a odbornou způsobilost dodavatele nad rámec zákonných požadavků, </w:t>
      </w:r>
      <w:r w:rsidRPr="008C3746">
        <w:lastRenderedPageBreak/>
        <w:t xml:space="preserve">technické posouzení nabídek, zpracování vysvětlení zadávací dokumentace, pokud se týká technické stránky </w:t>
      </w:r>
      <w:r w:rsidR="001167CB">
        <w:t>V</w:t>
      </w:r>
      <w:r w:rsidRPr="008C3746">
        <w:t>eřejné zakázky</w:t>
      </w:r>
      <w:r w:rsidR="00C02B38" w:rsidRPr="008C3746">
        <w:t>, ani zastupování Klienta před Úřadem pro ochranu hospodářské soutěže</w:t>
      </w:r>
      <w:r w:rsidR="0027450D">
        <w:t xml:space="preserve"> a v případných navazujících řízeních před správními soudy</w:t>
      </w:r>
      <w:r w:rsidR="00C02B38" w:rsidRPr="008C3746">
        <w:t xml:space="preserve">. </w:t>
      </w:r>
    </w:p>
    <w:p w14:paraId="300FD5BF" w14:textId="38444318" w:rsidR="00343A77" w:rsidRPr="008C3746" w:rsidRDefault="00343A77" w:rsidP="008C3746">
      <w:pPr>
        <w:pStyle w:val="Nadpis2"/>
      </w:pPr>
      <w:r>
        <w:t>Smluvní strany dále uvádí, že součástí plnění dle této smlouvy jsou též veškeré činnosti týkající se Zadávacího řízení, které již Advokát provedl před datem účinnosti této smlouvy.</w:t>
      </w:r>
    </w:p>
    <w:p w14:paraId="6EE99D5E" w14:textId="527D150F" w:rsidR="006865ED" w:rsidRPr="008C3746" w:rsidRDefault="006865ED" w:rsidP="008C3746">
      <w:pPr>
        <w:pStyle w:val="Nadpis1"/>
      </w:pPr>
      <w:r w:rsidRPr="00997E2D">
        <w:t>Odměna a náklady za právní služby</w:t>
      </w:r>
    </w:p>
    <w:p w14:paraId="48BA3D68" w14:textId="201D4281" w:rsidR="00AD0D88" w:rsidRPr="00BC74C8" w:rsidRDefault="00BC74C8" w:rsidP="00BC74C8">
      <w:pPr>
        <w:pStyle w:val="Nadpis2"/>
      </w:pPr>
      <w:r w:rsidRPr="005E5342">
        <w:t xml:space="preserve">Za právní služby </w:t>
      </w:r>
      <w:r>
        <w:t>poskytnuté Advokátem Klientovi v souladu s touto</w:t>
      </w:r>
      <w:r w:rsidRPr="005E5342">
        <w:t xml:space="preserve"> smlouv</w:t>
      </w:r>
      <w:r>
        <w:t>ou</w:t>
      </w:r>
      <w:r w:rsidRPr="005E5342">
        <w:t xml:space="preserve"> náleží Advokátovi odměna ve výši </w:t>
      </w:r>
      <w:r w:rsidRPr="005E5342">
        <w:rPr>
          <w:b/>
          <w:bCs/>
        </w:rPr>
        <w:t>1.400,- Kč bez DPH za 1 hodinu právní práce</w:t>
      </w:r>
      <w:r>
        <w:rPr>
          <w:b/>
          <w:bCs/>
        </w:rPr>
        <w:t>.</w:t>
      </w:r>
    </w:p>
    <w:p w14:paraId="7D71C821" w14:textId="75A855D8" w:rsidR="004520EB" w:rsidRDefault="004520EB" w:rsidP="004520EB">
      <w:pPr>
        <w:pStyle w:val="Nadpis2"/>
      </w:pPr>
      <w:r w:rsidRPr="001F1805">
        <w:t>Kromě odměny za právní služby</w:t>
      </w:r>
      <w:r>
        <w:t xml:space="preserve"> dle odst. 2.1. smlouvy</w:t>
      </w:r>
      <w:r w:rsidRPr="001F1805">
        <w:t xml:space="preserve"> se Klient zavazuje uhradit Advokátovi vynaložené hotové výdaje, a to zejména náklady na poštovné</w:t>
      </w:r>
      <w:r>
        <w:t xml:space="preserve">, </w:t>
      </w:r>
      <w:r w:rsidRPr="001F1805">
        <w:t>cestovné</w:t>
      </w:r>
      <w:r>
        <w:t xml:space="preserve">, náhradu za promeškaný čas, jakož i náklady na </w:t>
      </w:r>
      <w:r w:rsidRPr="008C3746">
        <w:t xml:space="preserve">uveřejňování formulářů týkajících se </w:t>
      </w:r>
      <w:r>
        <w:t>Z</w:t>
      </w:r>
      <w:r w:rsidRPr="008C3746">
        <w:t>adávacího řízení ve Věstníku veřejných zakázek, Úředním věstníku Evropské unie</w:t>
      </w:r>
      <w:r w:rsidRPr="001F1805">
        <w:t>.</w:t>
      </w:r>
    </w:p>
    <w:p w14:paraId="4D81A077" w14:textId="76718E6C" w:rsidR="00BC6C22" w:rsidRPr="00A6651F" w:rsidRDefault="00A629EA" w:rsidP="00A6651F">
      <w:pPr>
        <w:pStyle w:val="Nadpis2"/>
      </w:pPr>
      <w:r>
        <w:t xml:space="preserve">K odměně Advokáta bude vždy účtována daň z přidané hodnoty podle obecně závazných právních předpisů účinných v okamžiku zdanitelného plnění. </w:t>
      </w:r>
    </w:p>
    <w:p w14:paraId="743D72DE" w14:textId="3D1B77BA" w:rsidR="00BC6C22" w:rsidRPr="00757614" w:rsidRDefault="00BC6C22" w:rsidP="00757614">
      <w:pPr>
        <w:pStyle w:val="Nadpis2"/>
      </w:pPr>
      <w:r w:rsidRPr="00A6651F">
        <w:t>Na žádost Klienta je Advokát povinen sdělit předpokládaný rozsah úkonů, které bude muset vynaložit na uskutečnění požadované právní služby</w:t>
      </w:r>
      <w:r w:rsidR="00635E5D">
        <w:t xml:space="preserve">. </w:t>
      </w:r>
      <w:r w:rsidRPr="00A6651F">
        <w:t>Nesouhlasí-li Klient s odhadem předpokládaného rozsahu práce, strany se zavazují projednat možnost tento rozsah změnit. Nedojde-li mezi smluvními stranami k dohodě o jiném rozsahu právní služby, je Klient povinen bezodkladně sdělit, že již poskytnutí služby nepožaduje a případně zda tuto smlouvu vypovídá; jinak se má za to, že Klient předpokládaný rozsah služeb schválil. Totéž platí, neoznámí-li Klient svůj nesouhlas bez zbytečného odkladu. Překročení předpokládaného rozsahu služeb nezbavuje Klienta povinnosti uhradit odměnu za poskytnuté právní služby za předpokladu, že tyto byly poskytnuty řádně a účelně.</w:t>
      </w:r>
    </w:p>
    <w:p w14:paraId="075A6B79" w14:textId="4CB8D309" w:rsidR="00BC6C22" w:rsidRPr="00757614" w:rsidRDefault="00BC6C22" w:rsidP="00757614">
      <w:pPr>
        <w:pStyle w:val="Nadpis1"/>
      </w:pPr>
      <w:r w:rsidRPr="00757614">
        <w:t>Vyúčtování</w:t>
      </w:r>
      <w:r>
        <w:t xml:space="preserve"> právních služeb</w:t>
      </w:r>
    </w:p>
    <w:p w14:paraId="63D7E469" w14:textId="6F3DD49E" w:rsidR="00AE4F87" w:rsidRDefault="00AE4F87" w:rsidP="00757614">
      <w:pPr>
        <w:pStyle w:val="Nadpis2"/>
      </w:pPr>
      <w:r>
        <w:t>Vyúčtování právních služeb</w:t>
      </w:r>
      <w:r w:rsidR="00635E5D">
        <w:t xml:space="preserve"> poskytnutých Advokátem Klientovi v souladu s touto smlouvou </w:t>
      </w:r>
      <w:r>
        <w:t>bude provedeno pravidelně, zpravidla měsíčně pozadu.</w:t>
      </w:r>
    </w:p>
    <w:p w14:paraId="1843664E" w14:textId="7B69F1CC" w:rsidR="00AE4F87" w:rsidRDefault="00AE4F87" w:rsidP="00757614">
      <w:pPr>
        <w:pStyle w:val="Nadpis2"/>
      </w:pPr>
      <w:r>
        <w:t>Odměna Advokáta dle této smlouvy bude vždy hrazena na základě daňového dokladu vystaveného Advokátem.</w:t>
      </w:r>
    </w:p>
    <w:p w14:paraId="7D826CBF" w14:textId="01AA645B" w:rsidR="006865ED" w:rsidRPr="00997E2D" w:rsidRDefault="006865ED" w:rsidP="00757614">
      <w:pPr>
        <w:pStyle w:val="Nadpis2"/>
      </w:pPr>
      <w:r w:rsidRPr="00997E2D">
        <w:t>Fakturovaná částka je splatná v den uvedený na faktuře, který nesmí být stanoven dříve než 14 dnů od</w:t>
      </w:r>
      <w:r w:rsidR="00337B30">
        <w:t>e</w:t>
      </w:r>
      <w:r w:rsidRPr="00997E2D">
        <w:t xml:space="preserve"> </w:t>
      </w:r>
      <w:r w:rsidR="00337B30">
        <w:t>dne vystavení</w:t>
      </w:r>
      <w:r w:rsidRPr="00997E2D">
        <w:t xml:space="preserve"> daňového dokladu (faktury) Klientovi. </w:t>
      </w:r>
    </w:p>
    <w:p w14:paraId="0D1F22B7" w14:textId="594F64CA" w:rsidR="00AE4F87" w:rsidRPr="00757614" w:rsidRDefault="006865ED" w:rsidP="00757614">
      <w:pPr>
        <w:pStyle w:val="Nadpis2"/>
      </w:pPr>
      <w:r w:rsidRPr="00997E2D">
        <w:t>V případě, že faktura nebude mít náležitosti daňového dokladu nebo nebude obsahovat správné údaje podle této smlouvy, je Klient oprávněn takovou fakturu do dne splatnosti vrátit a Advokát je povinen vystavit fakturu novou.</w:t>
      </w:r>
    </w:p>
    <w:p w14:paraId="334C7446" w14:textId="21158965" w:rsidR="007603B3" w:rsidRPr="004A6D3E" w:rsidRDefault="00AE4F87" w:rsidP="007B53BA">
      <w:pPr>
        <w:pStyle w:val="Nadpis2"/>
      </w:pPr>
      <w:r w:rsidRPr="00757614">
        <w:t xml:space="preserve">V každé faktuře, resp. její příloze uvede Advokát den uskutečnění příslušného úkonu, jeho popis, vynaložený čas a částku v měně, v níž byla sjednána odměna Advokáta, připadající na každý jednotlivý úkon. </w:t>
      </w:r>
      <w:r w:rsidR="00ED22ED" w:rsidRPr="00757614">
        <w:t xml:space="preserve">Advokát se zavazuje na žádost Klienta </w:t>
      </w:r>
      <w:r w:rsidR="00ED22ED" w:rsidRPr="00757614">
        <w:lastRenderedPageBreak/>
        <w:t>v konkrétním případě specifikovat úkony právní služby i podrobněji; zvlášť mohou být na žádost Klienta specifikovány rovněž skutečně vynaložené výdaje.</w:t>
      </w:r>
    </w:p>
    <w:p w14:paraId="5996F2FD" w14:textId="6FDE8E58" w:rsidR="006865ED" w:rsidRPr="004A6D3E" w:rsidRDefault="006865ED" w:rsidP="004A6D3E">
      <w:pPr>
        <w:pStyle w:val="Nadpis1"/>
      </w:pPr>
      <w:r w:rsidRPr="00997E2D">
        <w:t xml:space="preserve">Práva a </w:t>
      </w:r>
      <w:r w:rsidRPr="004A6D3E">
        <w:t>povinnosti</w:t>
      </w:r>
      <w:r w:rsidRPr="00997E2D">
        <w:t xml:space="preserve"> Advokáta</w:t>
      </w:r>
    </w:p>
    <w:p w14:paraId="5BF3EDD5" w14:textId="3EAD6E7E" w:rsidR="006865ED" w:rsidRPr="00997E2D" w:rsidRDefault="006865ED" w:rsidP="004A6D3E">
      <w:pPr>
        <w:pStyle w:val="Nadpis2"/>
      </w:pPr>
      <w:r w:rsidRPr="00997E2D">
        <w:t>Advokát se zavazuje chránit a prosazovat práva a oprávněné zájmy Klienta. Při poskytování právních služeb je Advokát nezávislý, je však vázán právními předpisy a v jejich mezích příkazy a pokyny Klienta. Jsou-li pokyny Klienta v rozporu se zákonem nebo předpisem upravujícím výkon advokacie, není jimi Advokát vázán; o tom je povinen Klienta neprodleně vyrozumět.</w:t>
      </w:r>
    </w:p>
    <w:p w14:paraId="3FE8E468" w14:textId="5C01F86C" w:rsidR="006865ED" w:rsidRPr="00997E2D" w:rsidRDefault="006865ED" w:rsidP="004A6D3E">
      <w:pPr>
        <w:pStyle w:val="Nadpis2"/>
      </w:pPr>
      <w:r w:rsidRPr="00997E2D">
        <w:t>Advokát se zavazuje informovat včas Klienta o důležitých skutečnostech souvisejících s poskytováním právních služeb a poučit jej o jeho oprávněných nárocích, jakož i o lhůtách, v nichž je třeba je uplatňovat, jakož i o jeho povinnostech vyplývajících z právních a jiných předpisů.</w:t>
      </w:r>
    </w:p>
    <w:p w14:paraId="65F709E2" w14:textId="23782337" w:rsidR="004535CF" w:rsidRPr="00997E2D" w:rsidRDefault="006865ED" w:rsidP="0010114B">
      <w:pPr>
        <w:pStyle w:val="Nadpis2"/>
      </w:pPr>
      <w:r w:rsidRPr="00997E2D">
        <w:t xml:space="preserve">Advokát je v souladu s ustanovením § 26 zákona č. 85/1996 Sb., o advokacii, ve znění pozdějších předpisů, oprávněn se při jednotlivých úkonech nechat zastoupit jiným advokátem, koncipientem nebo zaměstnancem advokátní kanceláře. Určení, který z pověřených advokátů, koncipientů nebo pracovníků Advokáta se bude podílet na konkrétních úkonech právní služby a v jakém rozsahu, přísluší Advokátovi, pokud se smluvní strany v daném případě nedohodnou odchylně. </w:t>
      </w:r>
    </w:p>
    <w:p w14:paraId="12DA309F" w14:textId="30A6D875" w:rsidR="003D0EF1" w:rsidRDefault="004535CF" w:rsidP="0010114B">
      <w:pPr>
        <w:pStyle w:val="Nadpis2"/>
      </w:pPr>
      <w:r w:rsidRPr="00997E2D">
        <w:t xml:space="preserve">Advokát odpovídá za zákonný průběh </w:t>
      </w:r>
      <w:r w:rsidR="007603B3">
        <w:t>Za</w:t>
      </w:r>
      <w:r w:rsidRPr="00997E2D">
        <w:t xml:space="preserve">dávacího řízení a nese veškeré náklady vzniklé porušením zákona (zejména náklady na zabezpečení nápravných opatření) a je povinen uhradit Klientovi prostřednictvím svého pojistitele veškerou vzniklou finanční škodu, pokud vznikla porušením povinností Advokáta. Za tímto účelem je Advokát pojištěn </w:t>
      </w:r>
      <w:r w:rsidR="005E612B">
        <w:t xml:space="preserve">na </w:t>
      </w:r>
      <w:r w:rsidRPr="00997E2D">
        <w:t xml:space="preserve">odpovědnost za škodu </w:t>
      </w:r>
      <w:r w:rsidR="005E612B">
        <w:t xml:space="preserve">způsobenou třetím osobám </w:t>
      </w:r>
      <w:r w:rsidRPr="00997E2D">
        <w:t xml:space="preserve">do výše </w:t>
      </w:r>
      <w:r w:rsidR="005E612B">
        <w:t xml:space="preserve">pojistného plnění </w:t>
      </w:r>
      <w:r w:rsidRPr="009D628C">
        <w:t>100 mil. Kč</w:t>
      </w:r>
      <w:r w:rsidR="003D0EF1">
        <w:t xml:space="preserve"> po celou dobu trvání této smlouvy.</w:t>
      </w:r>
    </w:p>
    <w:p w14:paraId="43D703EF" w14:textId="02357392" w:rsidR="009241D5" w:rsidRDefault="004D2A30" w:rsidP="00B600A9">
      <w:pPr>
        <w:pStyle w:val="Nadpis2"/>
      </w:pPr>
      <w:r>
        <w:t>Nebude-li mezi Advokátem a Klientem dohodnuto jinak, je Advokát povinen výstupy a vypracovaná zadání poskytnout Klientovi ve lhůtě přiměřené ode dne doručení požadavku Klienta a předání všech podkladů nezbytných pro zpracování výstupů a zadání.</w:t>
      </w:r>
    </w:p>
    <w:p w14:paraId="17B08A73" w14:textId="7413DC8D" w:rsidR="004E6B9F" w:rsidRPr="009E0179" w:rsidRDefault="0063609F" w:rsidP="009E0179">
      <w:pPr>
        <w:pStyle w:val="Nadpis2"/>
      </w:pPr>
      <w:r>
        <w:t xml:space="preserve">Advokát je povinen bez zbytečného odkladu po ukončení komplexní administrace </w:t>
      </w:r>
      <w:r w:rsidR="007603B3">
        <w:t>Z</w:t>
      </w:r>
      <w:r w:rsidR="004D2A30">
        <w:t xml:space="preserve">adávacího řízení </w:t>
      </w:r>
      <w:r>
        <w:t>předat Klientovi dokumentaci k </w:t>
      </w:r>
      <w:r w:rsidR="007603B3">
        <w:t>V</w:t>
      </w:r>
      <w:r>
        <w:t>eřejné zakázce</w:t>
      </w:r>
      <w:r w:rsidR="004D2A30">
        <w:t>. Nedohodnou-li se smluvní strany jinak, předá Advokát Klientovi dokumentaci k </w:t>
      </w:r>
      <w:r w:rsidR="007603B3">
        <w:t>V</w:t>
      </w:r>
      <w:r w:rsidR="004D2A30">
        <w:t xml:space="preserve">eřejné zakázce v elektronické podobě </w:t>
      </w:r>
      <w:r w:rsidR="009E0179">
        <w:t>na datovém nosiči.</w:t>
      </w:r>
    </w:p>
    <w:p w14:paraId="4D02AFDF" w14:textId="40928080" w:rsidR="006865ED" w:rsidRPr="00F74E79" w:rsidRDefault="006865ED" w:rsidP="00F74E79">
      <w:pPr>
        <w:pStyle w:val="Nadpis1"/>
      </w:pPr>
      <w:r w:rsidRPr="00997E2D">
        <w:t>Práva a povinnosti Klienta</w:t>
      </w:r>
    </w:p>
    <w:p w14:paraId="5A856D55" w14:textId="2FBC12DE" w:rsidR="006865ED" w:rsidRPr="00F74E79" w:rsidRDefault="006865ED" w:rsidP="00F74E79">
      <w:pPr>
        <w:pStyle w:val="Nadpis2"/>
      </w:pPr>
      <w:r w:rsidRPr="00F74E79">
        <w:t xml:space="preserve">Klient se zavazuje poskytovat Advokátovi včas úplné a pravdivé informace a předkládat mu veškeré listinné materiály potřebné k řádnému výkonu činnosti podle této </w:t>
      </w:r>
      <w:r w:rsidR="00E979AF" w:rsidRPr="00F74E79">
        <w:t>s</w:t>
      </w:r>
      <w:r w:rsidRPr="00F74E79">
        <w:t xml:space="preserve">mlouvy, jakož i poskytnout jinou potřebnou součinnost. Klient bere na vědomí, že Advokát poskytuje právní poradenství související se zajištěním </w:t>
      </w:r>
      <w:r w:rsidR="007B53BA">
        <w:t>Z</w:t>
      </w:r>
      <w:r w:rsidRPr="00F74E79">
        <w:t xml:space="preserve">adávacích řízení a není odborníkem v rozsahu technických znalostí. Advokát není způsobilý otázky technické povahy odborně posoudit a za posouzení těchto otázek neodpovídá. Posouzení technických otázek nad rámec právních posouzení a souvisejících konzultací ze strany Advokáta není předmětem této </w:t>
      </w:r>
      <w:r w:rsidR="00E979AF" w:rsidRPr="00F74E79">
        <w:t>s</w:t>
      </w:r>
      <w:r w:rsidRPr="00F74E79">
        <w:t xml:space="preserve">mlouvy. Advokát rovněž není </w:t>
      </w:r>
      <w:r w:rsidRPr="00F74E79">
        <w:lastRenderedPageBreak/>
        <w:t xml:space="preserve">odpovědný za důsledky spojené s případným nesprávným posouzením technických otázek ze strany Klienta a jím určených osob. </w:t>
      </w:r>
    </w:p>
    <w:p w14:paraId="2BAAC133" w14:textId="73A413C7" w:rsidR="006865ED" w:rsidRPr="00F74E79" w:rsidRDefault="006865ED" w:rsidP="00F74E79">
      <w:pPr>
        <w:pStyle w:val="Nadpis2"/>
      </w:pPr>
      <w:r w:rsidRPr="00F74E79">
        <w:t xml:space="preserve">Klient je povinen poskytovat Advokátovi součinnost </w:t>
      </w:r>
      <w:r w:rsidR="007F578A" w:rsidRPr="00F74E79">
        <w:t xml:space="preserve">při poskytování právních služeb souvisejících s právním poradenstvím týkajícím se </w:t>
      </w:r>
      <w:r w:rsidR="007B53BA">
        <w:t>Veřejné zakázky</w:t>
      </w:r>
      <w:r w:rsidR="007F578A" w:rsidRPr="00F74E79">
        <w:t xml:space="preserve">, </w:t>
      </w:r>
      <w:r w:rsidRPr="00F74E79">
        <w:t xml:space="preserve">a to </w:t>
      </w:r>
      <w:r w:rsidR="007F578A" w:rsidRPr="00F74E79">
        <w:t>zejména v níže uvedeném rozsahu:</w:t>
      </w:r>
    </w:p>
    <w:p w14:paraId="50C2966C" w14:textId="6E6F3D92" w:rsidR="006865ED" w:rsidRPr="00997E2D" w:rsidRDefault="006865ED" w:rsidP="00F74E79">
      <w:pPr>
        <w:pStyle w:val="Nadpis3"/>
        <w:ind w:left="1560"/>
      </w:pPr>
      <w:r w:rsidRPr="00997E2D">
        <w:t xml:space="preserve">Sdělení detailního popisu předmětu </w:t>
      </w:r>
      <w:r w:rsidR="007B53BA">
        <w:t>V</w:t>
      </w:r>
      <w:r w:rsidRPr="00997E2D">
        <w:t>eřejné zakázky (technický popis, množství atd.)</w:t>
      </w:r>
      <w:r w:rsidR="00B612C4" w:rsidRPr="00997E2D">
        <w:t>;</w:t>
      </w:r>
      <w:r w:rsidRPr="00997E2D">
        <w:t xml:space="preserve"> </w:t>
      </w:r>
    </w:p>
    <w:p w14:paraId="54117F5B" w14:textId="799C5FE4" w:rsidR="006865ED" w:rsidRPr="00997E2D" w:rsidRDefault="006865ED" w:rsidP="00F74E79">
      <w:pPr>
        <w:pStyle w:val="Nadpis3"/>
        <w:ind w:left="1560"/>
      </w:pPr>
      <w:r w:rsidRPr="00997E2D">
        <w:t xml:space="preserve">Sdělení výše předpokládané hodnoty </w:t>
      </w:r>
      <w:r w:rsidR="007B53BA">
        <w:t>V</w:t>
      </w:r>
      <w:r w:rsidRPr="00997E2D">
        <w:t>eřejné zakázky včetně jejího zdůvodnění, případně poskytnutí informací pro stanovení předpokládané hodnoty v rozsahu požadovaném Advokátem</w:t>
      </w:r>
      <w:r w:rsidR="00B612C4" w:rsidRPr="00997E2D">
        <w:t>;</w:t>
      </w:r>
    </w:p>
    <w:p w14:paraId="3E4FA2E5" w14:textId="4B0ED422" w:rsidR="006865ED" w:rsidRPr="00997E2D" w:rsidRDefault="006865ED" w:rsidP="00F74E79">
      <w:pPr>
        <w:pStyle w:val="Nadpis3"/>
        <w:ind w:left="1560"/>
      </w:pPr>
      <w:r w:rsidRPr="00997E2D">
        <w:t xml:space="preserve">Popis technických parametrů plnění </w:t>
      </w:r>
      <w:r w:rsidR="007B53BA">
        <w:t>V</w:t>
      </w:r>
      <w:r w:rsidRPr="00997E2D">
        <w:t>eřejné zakázky</w:t>
      </w:r>
      <w:r w:rsidR="00B612C4" w:rsidRPr="00997E2D">
        <w:t>;</w:t>
      </w:r>
    </w:p>
    <w:p w14:paraId="1029070F" w14:textId="77777777" w:rsidR="006865ED" w:rsidRPr="00997E2D" w:rsidRDefault="006865ED" w:rsidP="00F74E79">
      <w:pPr>
        <w:pStyle w:val="Nadpis3"/>
        <w:ind w:left="1560"/>
      </w:pPr>
      <w:r w:rsidRPr="00997E2D">
        <w:t>Sdělení požadavků na hodnocení nabídek dodavatelů</w:t>
      </w:r>
      <w:r w:rsidR="00B612C4" w:rsidRPr="00997E2D">
        <w:t>;</w:t>
      </w:r>
    </w:p>
    <w:p w14:paraId="11007217" w14:textId="77777777" w:rsidR="006865ED" w:rsidRPr="00997E2D" w:rsidRDefault="006865ED" w:rsidP="00F74E79">
      <w:pPr>
        <w:pStyle w:val="Nadpis3"/>
        <w:ind w:left="1560"/>
      </w:pPr>
      <w:r w:rsidRPr="00997E2D">
        <w:t>Sdělení požadavků na technickou a odbornou způsobilost dodavatele nad rámec zákonných požadavků</w:t>
      </w:r>
      <w:r w:rsidR="00B612C4" w:rsidRPr="00997E2D">
        <w:t>;</w:t>
      </w:r>
    </w:p>
    <w:p w14:paraId="59259334" w14:textId="77777777" w:rsidR="006865ED" w:rsidRPr="00997E2D" w:rsidRDefault="006865ED" w:rsidP="00F74E79">
      <w:pPr>
        <w:pStyle w:val="Nadpis3"/>
        <w:ind w:left="1560"/>
      </w:pPr>
      <w:r w:rsidRPr="00997E2D">
        <w:t>Součinnost při zpracování administrativních úkonů (např. schválení textu rozhodnutí</w:t>
      </w:r>
      <w:r w:rsidR="007F578A">
        <w:t xml:space="preserve"> a podpis rozhodnutí</w:t>
      </w:r>
      <w:r w:rsidRPr="00997E2D">
        <w:t>)</w:t>
      </w:r>
      <w:r w:rsidR="00B612C4" w:rsidRPr="00997E2D">
        <w:t>;</w:t>
      </w:r>
    </w:p>
    <w:p w14:paraId="118D0A3C" w14:textId="77777777" w:rsidR="006865ED" w:rsidRPr="00997E2D" w:rsidRDefault="006865ED" w:rsidP="00F74E79">
      <w:pPr>
        <w:pStyle w:val="Nadpis3"/>
        <w:ind w:left="1560"/>
      </w:pPr>
      <w:r w:rsidRPr="00997E2D">
        <w:t>Zajištění uznávaných elektronických podpisů, pokud bude vyžadováno</w:t>
      </w:r>
      <w:r w:rsidR="00B612C4" w:rsidRPr="00997E2D">
        <w:t>;</w:t>
      </w:r>
    </w:p>
    <w:p w14:paraId="6ACE5931" w14:textId="77777777" w:rsidR="006865ED" w:rsidRPr="00997E2D" w:rsidRDefault="006865ED" w:rsidP="00F74E79">
      <w:pPr>
        <w:pStyle w:val="Nadpis3"/>
        <w:ind w:left="1560"/>
      </w:pPr>
      <w:r w:rsidRPr="00997E2D">
        <w:t>Nominace osob do komisí a zajištění jejich účasti</w:t>
      </w:r>
      <w:r w:rsidR="00B612C4" w:rsidRPr="00997E2D">
        <w:t>;</w:t>
      </w:r>
    </w:p>
    <w:p w14:paraId="09408BE3" w14:textId="77777777" w:rsidR="006865ED" w:rsidRPr="00997E2D" w:rsidRDefault="006865ED" w:rsidP="00F74E79">
      <w:pPr>
        <w:pStyle w:val="Nadpis3"/>
        <w:ind w:left="1560"/>
      </w:pPr>
      <w:r w:rsidRPr="00997E2D">
        <w:t>Zajištění technického posouzení nabídek</w:t>
      </w:r>
      <w:r w:rsidR="00B612C4" w:rsidRPr="00997E2D">
        <w:t>;</w:t>
      </w:r>
    </w:p>
    <w:p w14:paraId="0C434A47" w14:textId="2623FCD3" w:rsidR="006865ED" w:rsidRPr="00997E2D" w:rsidRDefault="006865ED" w:rsidP="00F74E79">
      <w:pPr>
        <w:pStyle w:val="Nadpis3"/>
        <w:ind w:left="1560"/>
      </w:pPr>
      <w:r w:rsidRPr="00997E2D">
        <w:t xml:space="preserve">Součinnost při stanovení termínů průběhu </w:t>
      </w:r>
      <w:r w:rsidR="000B6D0B">
        <w:t>Z</w:t>
      </w:r>
      <w:r w:rsidRPr="00997E2D">
        <w:t>adávacího řízení</w:t>
      </w:r>
      <w:r w:rsidR="00B612C4" w:rsidRPr="00997E2D">
        <w:t>;</w:t>
      </w:r>
    </w:p>
    <w:p w14:paraId="0C852BDC" w14:textId="15D54777" w:rsidR="006865ED" w:rsidRPr="00997E2D" w:rsidRDefault="006865ED" w:rsidP="00F74E79">
      <w:pPr>
        <w:pStyle w:val="Nadpis3"/>
        <w:ind w:left="1560"/>
      </w:pPr>
      <w:r w:rsidRPr="00997E2D">
        <w:t xml:space="preserve">Poskytování konzultací Advokátovi, komunikace s Advokátem v rámci </w:t>
      </w:r>
      <w:r w:rsidR="000B6D0B">
        <w:t>Z</w:t>
      </w:r>
      <w:r w:rsidRPr="00997E2D">
        <w:t>adávacího řízení</w:t>
      </w:r>
      <w:r w:rsidR="00B612C4" w:rsidRPr="00997E2D">
        <w:t>;</w:t>
      </w:r>
    </w:p>
    <w:p w14:paraId="6BF054E3" w14:textId="77777777" w:rsidR="006865ED" w:rsidRPr="00997E2D" w:rsidRDefault="006865ED" w:rsidP="00F74E79">
      <w:pPr>
        <w:pStyle w:val="Nadpis3"/>
        <w:ind w:left="1560"/>
      </w:pPr>
      <w:r w:rsidRPr="00997E2D">
        <w:t>Sdělení dalších požadavků na sestavení zadávací dokumentac</w:t>
      </w:r>
      <w:r w:rsidR="00137782" w:rsidRPr="00997E2D">
        <w:t>e</w:t>
      </w:r>
      <w:r w:rsidRPr="00997E2D">
        <w:t xml:space="preserve"> nad rámec zákonných (např. rozdělení na části, </w:t>
      </w:r>
      <w:r w:rsidR="007F578A">
        <w:t xml:space="preserve">jistota, </w:t>
      </w:r>
      <w:r w:rsidRPr="00997E2D">
        <w:t>prohlídka místa plnění apod.)</w:t>
      </w:r>
      <w:r w:rsidR="00B612C4" w:rsidRPr="00997E2D">
        <w:t>;</w:t>
      </w:r>
    </w:p>
    <w:p w14:paraId="4B082DCD" w14:textId="6BF26D1B" w:rsidR="006865ED" w:rsidRPr="009649AF" w:rsidRDefault="006865ED" w:rsidP="009649AF">
      <w:pPr>
        <w:pStyle w:val="Nadpis3"/>
        <w:ind w:left="1560"/>
      </w:pPr>
      <w:r w:rsidRPr="00997E2D">
        <w:t>Součinnost při zpracování vysvětlení zadávací dokumentace (zejména technické povahy a požadavků Klienta nad rámec zákona)</w:t>
      </w:r>
      <w:r w:rsidR="00B612C4" w:rsidRPr="00997E2D">
        <w:t>.</w:t>
      </w:r>
    </w:p>
    <w:p w14:paraId="79B59148" w14:textId="763046F6" w:rsidR="006865ED" w:rsidRPr="009649AF" w:rsidRDefault="006865ED" w:rsidP="009649AF">
      <w:pPr>
        <w:pStyle w:val="Nadpis2"/>
      </w:pPr>
      <w:r w:rsidRPr="009649AF">
        <w:t>Klient se zavazuje poskytovat Advokátovi součinnost bezodkladně, zejména s ohledem na lhůty vyplývající z postupu v </w:t>
      </w:r>
      <w:r w:rsidR="000B6D0B">
        <w:t>Z</w:t>
      </w:r>
      <w:r w:rsidRPr="009649AF">
        <w:t xml:space="preserve">adávacím řízení, které budou sděleny ze strany Advokáta. Advokát neodpovídá za nedodržení lhůt v případě porušení povinnosti Klienta uvedené v tomto článku </w:t>
      </w:r>
      <w:r w:rsidR="00E979AF" w:rsidRPr="009649AF">
        <w:t>s</w:t>
      </w:r>
      <w:r w:rsidRPr="009649AF">
        <w:t xml:space="preserve">mlouvy, ani za důsledky z toho vyplývající pro Klienta a </w:t>
      </w:r>
      <w:r w:rsidR="000B6D0B">
        <w:t>Z</w:t>
      </w:r>
      <w:r w:rsidRPr="009649AF">
        <w:t xml:space="preserve">adávací řízení. </w:t>
      </w:r>
    </w:p>
    <w:p w14:paraId="41A240D9" w14:textId="484AEDB4" w:rsidR="004E6B9F" w:rsidRPr="009649AF" w:rsidRDefault="006865ED" w:rsidP="009649AF">
      <w:pPr>
        <w:pStyle w:val="Nadpis2"/>
      </w:pPr>
      <w:r w:rsidRPr="009649AF">
        <w:t xml:space="preserve">Klient se zavazuje uvědomit stanoveným způsobem Advokáta s dostatečným předstihem o svých požadavcích na poskytování právních služeb podle této </w:t>
      </w:r>
      <w:r w:rsidR="00E979AF" w:rsidRPr="009649AF">
        <w:t>s</w:t>
      </w:r>
      <w:r w:rsidRPr="009649AF">
        <w:t xml:space="preserve">mlouvy. </w:t>
      </w:r>
    </w:p>
    <w:p w14:paraId="46097760" w14:textId="1445225C" w:rsidR="006865ED" w:rsidRPr="007B53BA" w:rsidRDefault="006865ED" w:rsidP="007B53BA">
      <w:pPr>
        <w:pStyle w:val="Nadpis1"/>
      </w:pPr>
      <w:r w:rsidRPr="009649AF">
        <w:t>Komunikace</w:t>
      </w:r>
    </w:p>
    <w:p w14:paraId="41DF9D6C" w14:textId="34EE4359" w:rsidR="00137782" w:rsidRPr="009649AF" w:rsidRDefault="006865ED" w:rsidP="009649AF">
      <w:pPr>
        <w:pStyle w:val="Nadpis2"/>
      </w:pPr>
      <w:r w:rsidRPr="009649AF">
        <w:t xml:space="preserve">Veškeré pokyny poskytuje a informace předává Klient prostřednictvím kontaktní osoby. Ke dni podpisu této </w:t>
      </w:r>
      <w:r w:rsidR="00E979AF" w:rsidRPr="009649AF">
        <w:t>s</w:t>
      </w:r>
      <w:r w:rsidRPr="009649AF">
        <w:t>mlouvy j</w:t>
      </w:r>
      <w:r w:rsidR="006B4BA0" w:rsidRPr="009649AF">
        <w:t>sou kontaktními osobami Klienta:</w:t>
      </w:r>
      <w:r w:rsidR="00AE0BA7" w:rsidRPr="009649AF">
        <w:t xml:space="preserve"> </w:t>
      </w:r>
      <w:r w:rsidR="00F93BC3" w:rsidRPr="00FC05E7">
        <w:rPr>
          <w:highlight w:val="black"/>
        </w:rPr>
        <w:t>JUDr. Josef Mach</w:t>
      </w:r>
      <w:r w:rsidR="00F93BC3">
        <w:t xml:space="preserve">, e-mail: </w:t>
      </w:r>
      <w:hyperlink r:id="rId7" w:history="1">
        <w:r w:rsidR="00F93BC3" w:rsidRPr="00FC05E7">
          <w:rPr>
            <w:rStyle w:val="Hypertextovodkaz"/>
            <w:highlight w:val="black"/>
          </w:rPr>
          <w:t>josef.mach</w:t>
        </w:r>
        <w:r w:rsidR="00F93BC3" w:rsidRPr="00FC05E7">
          <w:rPr>
            <w:rStyle w:val="Hypertextovodkaz"/>
            <w:rFonts w:cs="Arial"/>
            <w:highlight w:val="black"/>
          </w:rPr>
          <w:t>@fnkv.cz</w:t>
        </w:r>
      </w:hyperlink>
      <w:r w:rsidR="00F93BC3">
        <w:t xml:space="preserve">, tel.: </w:t>
      </w:r>
      <w:r w:rsidR="00F93BC3" w:rsidRPr="00FC05E7">
        <w:rPr>
          <w:highlight w:val="black"/>
        </w:rPr>
        <w:t>267162224</w:t>
      </w:r>
      <w:r w:rsidR="00F93BC3">
        <w:rPr>
          <w:rFonts w:cs="Arial"/>
        </w:rPr>
        <w:t xml:space="preserve"> </w:t>
      </w:r>
      <w:r w:rsidR="00AE0BA7" w:rsidRPr="00FC05E7">
        <w:rPr>
          <w:highlight w:val="black"/>
        </w:rPr>
        <w:t xml:space="preserve">a Mgr. Ing. Michal </w:t>
      </w:r>
      <w:proofErr w:type="spellStart"/>
      <w:r w:rsidR="00AE0BA7" w:rsidRPr="00FC05E7">
        <w:rPr>
          <w:highlight w:val="black"/>
        </w:rPr>
        <w:t>Punda</w:t>
      </w:r>
      <w:proofErr w:type="spellEnd"/>
      <w:r w:rsidR="00AE0BA7" w:rsidRPr="009649AF">
        <w:t xml:space="preserve">, email: </w:t>
      </w:r>
      <w:hyperlink r:id="rId8" w:history="1">
        <w:r w:rsidR="00F93BC3" w:rsidRPr="00FC05E7">
          <w:rPr>
            <w:rStyle w:val="Hypertextovodkaz"/>
            <w:highlight w:val="black"/>
          </w:rPr>
          <w:t>michal.punda@fnkv.cz</w:t>
        </w:r>
      </w:hyperlink>
      <w:r w:rsidR="00AE0BA7" w:rsidRPr="009649AF">
        <w:t>, tel</w:t>
      </w:r>
      <w:r w:rsidR="00AE0BA7" w:rsidRPr="00FC05E7">
        <w:rPr>
          <w:highlight w:val="black"/>
        </w:rPr>
        <w:t>: 267162747</w:t>
      </w:r>
      <w:r w:rsidRPr="009649AF">
        <w:t xml:space="preserve">. Tím není dotčeno právo statutárního nebo </w:t>
      </w:r>
      <w:r w:rsidRPr="009649AF">
        <w:lastRenderedPageBreak/>
        <w:t xml:space="preserve">jiného orgánu zastupovat právnickou osobu; tento orgán je také jediný oprávněn udělit plnou moc. </w:t>
      </w:r>
    </w:p>
    <w:p w14:paraId="33C1135B" w14:textId="325AEF9F" w:rsidR="0050062E" w:rsidRDefault="00137782" w:rsidP="009649AF">
      <w:pPr>
        <w:pStyle w:val="Nadpis2"/>
      </w:pPr>
      <w:r w:rsidRPr="00997E2D">
        <w:t>Kontaktními osobami Advokáta jsou</w:t>
      </w:r>
      <w:r w:rsidR="0050062E">
        <w:t xml:space="preserve"> ke dni podpisu této smlouvy určeni</w:t>
      </w:r>
      <w:r w:rsidR="0050062E" w:rsidRPr="00FC05E7">
        <w:rPr>
          <w:highlight w:val="black"/>
        </w:rPr>
        <w:t>:</w:t>
      </w:r>
      <w:r w:rsidRPr="00FC05E7">
        <w:rPr>
          <w:highlight w:val="black"/>
        </w:rPr>
        <w:t xml:space="preserve"> </w:t>
      </w:r>
      <w:r w:rsidR="00F57A21" w:rsidRPr="00FC05E7">
        <w:rPr>
          <w:highlight w:val="black"/>
        </w:rPr>
        <w:t>JUDr. Jindřich Vítek, Ph.D.,</w:t>
      </w:r>
      <w:r w:rsidR="00F57A21">
        <w:t xml:space="preserve"> email</w:t>
      </w:r>
      <w:r w:rsidR="00F57A21" w:rsidRPr="00FC05E7">
        <w:rPr>
          <w:highlight w:val="black"/>
        </w:rPr>
        <w:t xml:space="preserve">: </w:t>
      </w:r>
      <w:hyperlink r:id="rId9" w:history="1">
        <w:r w:rsidR="00F57A21" w:rsidRPr="00FC05E7">
          <w:rPr>
            <w:rStyle w:val="Hypertextovodkaz"/>
            <w:rFonts w:cs="Arial"/>
            <w:szCs w:val="22"/>
            <w:highlight w:val="black"/>
          </w:rPr>
          <w:t>vitek@akegv.cz</w:t>
        </w:r>
      </w:hyperlink>
      <w:r w:rsidR="00F57A21">
        <w:t xml:space="preserve">, tel: </w:t>
      </w:r>
      <w:r w:rsidR="00F57A21" w:rsidRPr="00FC05E7">
        <w:rPr>
          <w:highlight w:val="black"/>
        </w:rPr>
        <w:t>224 409</w:t>
      </w:r>
      <w:r w:rsidR="00234464" w:rsidRPr="00FC05E7">
        <w:rPr>
          <w:highlight w:val="black"/>
        </w:rPr>
        <w:t> </w:t>
      </w:r>
      <w:r w:rsidR="00F57A21" w:rsidRPr="00FC05E7">
        <w:rPr>
          <w:highlight w:val="black"/>
        </w:rPr>
        <w:t>920</w:t>
      </w:r>
      <w:r w:rsidR="00234464">
        <w:t>.</w:t>
      </w:r>
    </w:p>
    <w:p w14:paraId="3A45DDB7" w14:textId="17EFD66F" w:rsidR="004E6B9F" w:rsidRPr="00F93BC3" w:rsidRDefault="0050062E" w:rsidP="00F93BC3">
      <w:pPr>
        <w:pStyle w:val="Nadpis2"/>
      </w:pPr>
      <w:r>
        <w:t>Smluvní strany jsou oprávněny kdykoli v průběhu účinnosti této smlouvy změnit kontaktní osoby uvedené v </w:t>
      </w:r>
      <w:r w:rsidR="008660A7">
        <w:t>odst</w:t>
      </w:r>
      <w:r>
        <w:t>.</w:t>
      </w:r>
      <w:r w:rsidR="005E612B">
        <w:t xml:space="preserve"> 6</w:t>
      </w:r>
      <w:r>
        <w:t xml:space="preserve">.1 a </w:t>
      </w:r>
      <w:r w:rsidR="005E612B">
        <w:t>6</w:t>
      </w:r>
      <w:r>
        <w:t>.2 této smlouvy, a to písemným oznámením druhé smluvní straně.</w:t>
      </w:r>
      <w:r w:rsidR="006865ED" w:rsidRPr="00997E2D">
        <w:t xml:space="preserve">  </w:t>
      </w:r>
    </w:p>
    <w:p w14:paraId="282570DD" w14:textId="5923B7AF" w:rsidR="006865ED" w:rsidRPr="001F1B7B" w:rsidRDefault="006865ED" w:rsidP="001F1B7B">
      <w:pPr>
        <w:pStyle w:val="Nadpis1"/>
      </w:pPr>
      <w:r w:rsidRPr="001F1B7B">
        <w:t>Mlčenlivost</w:t>
      </w:r>
    </w:p>
    <w:p w14:paraId="0425C245" w14:textId="508ADE99" w:rsidR="006865ED" w:rsidRPr="001F1B7B" w:rsidRDefault="006865ED" w:rsidP="001F1B7B">
      <w:pPr>
        <w:pStyle w:val="Nadpis2"/>
      </w:pPr>
      <w:r w:rsidRPr="001F1B7B">
        <w:t>Advokát je povinen zachovávat mlčenlivost o všech skutečnostech, o nichž se dozvěděl v souvislosti s poskytováním právních služeb. Povinnosti může Advokáta zprostit pouze Klient a po jeho smrti či zániku právní nástupce. I poté je však Advokát povinen zachovávat mlčenlivost, pokud je z okolností případu zřejmé, že jej Klient nebo jeho právní nástupce této povinnosti zprostil pod nátlakem nebo v tísni. Povinnost mlčenlivosti se vztahuje též na osoby, které Advokáta zastupují.</w:t>
      </w:r>
    </w:p>
    <w:p w14:paraId="3E2656CE" w14:textId="1258C5BA" w:rsidR="006865ED" w:rsidRPr="001F1B7B" w:rsidRDefault="006865ED" w:rsidP="001F1B7B">
      <w:pPr>
        <w:pStyle w:val="Nadpis2"/>
      </w:pPr>
      <w:r w:rsidRPr="001F1B7B">
        <w:t>Klient výslovně zprošťuje Advokáta jeho povinnosti mlčenlivosti vůči kontaktní osobě Klienta, popř. dalším osobám, které v budoucnu určí pro komunikaci s Advokátem.</w:t>
      </w:r>
    </w:p>
    <w:p w14:paraId="3C0F8F96" w14:textId="4E72A1E0" w:rsidR="004E6B9F" w:rsidRPr="001F1B7B" w:rsidRDefault="006865ED" w:rsidP="001F1B7B">
      <w:pPr>
        <w:pStyle w:val="Nadpis2"/>
      </w:pPr>
      <w:r w:rsidRPr="001F1B7B">
        <w:t>Klient prohlašuje, že souhlasí s tím, že údaje o jeho společnosti či podnikání Advokát uvede a zveřejní ve svém seznamu referencí.</w:t>
      </w:r>
    </w:p>
    <w:p w14:paraId="0C9B8942" w14:textId="5C7B6401" w:rsidR="006865ED" w:rsidRPr="00B44901" w:rsidRDefault="00E03C61" w:rsidP="00B44901">
      <w:pPr>
        <w:pStyle w:val="Nadpis1"/>
      </w:pPr>
      <w:r>
        <w:t>Trvání</w:t>
      </w:r>
      <w:r w:rsidR="006865ED" w:rsidRPr="00997E2D">
        <w:t xml:space="preserve"> smlouvy</w:t>
      </w:r>
    </w:p>
    <w:p w14:paraId="409B81CF" w14:textId="162006D4" w:rsidR="006865ED" w:rsidRPr="00997E2D" w:rsidRDefault="006865ED" w:rsidP="00B44901">
      <w:pPr>
        <w:pStyle w:val="Nadpis2"/>
      </w:pPr>
      <w:bookmarkStart w:id="0" w:name="_Ref5609241"/>
      <w:r w:rsidRPr="00997E2D">
        <w:t xml:space="preserve">Tato </w:t>
      </w:r>
      <w:r w:rsidR="00E979AF" w:rsidRPr="00997E2D">
        <w:t>s</w:t>
      </w:r>
      <w:r w:rsidRPr="00997E2D">
        <w:t xml:space="preserve">mlouva nabývá </w:t>
      </w:r>
      <w:r w:rsidR="0050062E">
        <w:t xml:space="preserve">platnosti </w:t>
      </w:r>
      <w:r w:rsidRPr="00997E2D">
        <w:t>dnem připojení podpisu poslední smluvní stranou</w:t>
      </w:r>
      <w:r w:rsidR="0050062E">
        <w:t xml:space="preserve"> a účinnosti dnem uveřejnění v registru smluv</w:t>
      </w:r>
      <w:r w:rsidRPr="00997E2D">
        <w:t>.</w:t>
      </w:r>
      <w:r w:rsidR="005E612B">
        <w:t xml:space="preserve"> Uveřejnění smlouvy v registru smluv zajistí Klient.</w:t>
      </w:r>
    </w:p>
    <w:p w14:paraId="44CF58E8" w14:textId="7D6C350D" w:rsidR="006865ED" w:rsidRPr="00997E2D" w:rsidRDefault="006865ED" w:rsidP="00B44901">
      <w:pPr>
        <w:pStyle w:val="Nadpis2"/>
      </w:pPr>
      <w:r w:rsidRPr="00997E2D">
        <w:t xml:space="preserve">Tato </w:t>
      </w:r>
      <w:r w:rsidR="00E979AF" w:rsidRPr="00997E2D">
        <w:t>s</w:t>
      </w:r>
      <w:r w:rsidRPr="00997E2D">
        <w:t xml:space="preserve">mlouva </w:t>
      </w:r>
      <w:r w:rsidR="007B53BA">
        <w:t>zaniká splněním všech povinností dle této smlouvy.</w:t>
      </w:r>
    </w:p>
    <w:p w14:paraId="51845EB0" w14:textId="14E24E19" w:rsidR="006865ED" w:rsidRPr="00997E2D" w:rsidRDefault="006865ED" w:rsidP="00B44901">
      <w:pPr>
        <w:pStyle w:val="Nadpis2"/>
      </w:pPr>
      <w:r w:rsidRPr="00997E2D">
        <w:t xml:space="preserve">Advokát může vypovědět tuto </w:t>
      </w:r>
      <w:r w:rsidR="00E979AF" w:rsidRPr="00997E2D">
        <w:t>s</w:t>
      </w:r>
      <w:r w:rsidRPr="00997E2D">
        <w:t xml:space="preserve">mlouvu, pouze dojde-li k narušení důvěry mezi ním a Klientem, pokud Klient neposkytuje potřebnou součinnost nebo v případě, že je Klient v prodlení s plněním svých peněžitých závazků vůči Advokátovi po dobu delší než </w:t>
      </w:r>
      <w:r w:rsidR="00337B30">
        <w:t>2</w:t>
      </w:r>
      <w:r w:rsidRPr="00997E2D">
        <w:t xml:space="preserve"> měsíc</w:t>
      </w:r>
      <w:r w:rsidR="00337B30">
        <w:t>e</w:t>
      </w:r>
      <w:r w:rsidRPr="00997E2D">
        <w:t>.</w:t>
      </w:r>
      <w:bookmarkEnd w:id="0"/>
      <w:r w:rsidRPr="00997E2D">
        <w:t xml:space="preserve"> </w:t>
      </w:r>
    </w:p>
    <w:p w14:paraId="2A254515" w14:textId="3F2F58DA" w:rsidR="006865ED" w:rsidRPr="00997E2D" w:rsidRDefault="006865ED" w:rsidP="00B44901">
      <w:pPr>
        <w:pStyle w:val="Nadpis2"/>
      </w:pPr>
      <w:r w:rsidRPr="00997E2D">
        <w:t xml:space="preserve">Klient je oprávněn tuto </w:t>
      </w:r>
      <w:r w:rsidR="00E979AF" w:rsidRPr="00997E2D">
        <w:t>s</w:t>
      </w:r>
      <w:r w:rsidRPr="00997E2D">
        <w:t>mlouvu vypovědět bez uvedení důvodu písemnou výpovědí. Výpověď je účinná doručením druhé straně.</w:t>
      </w:r>
    </w:p>
    <w:p w14:paraId="3128FBFE" w14:textId="3C5FB342" w:rsidR="004E6B9F" w:rsidRPr="00E03C61" w:rsidRDefault="006865ED" w:rsidP="00E03C61">
      <w:pPr>
        <w:pStyle w:val="Nadpis2"/>
      </w:pPr>
      <w:r w:rsidRPr="00997E2D">
        <w:t xml:space="preserve">Advokát je povinen v době 15 dnů ode dne vypovězení či odstoupení od této </w:t>
      </w:r>
      <w:r w:rsidR="00E979AF" w:rsidRPr="00997E2D">
        <w:t>s</w:t>
      </w:r>
      <w:r w:rsidRPr="00997E2D">
        <w:t>mlouvy učinit veškeré neodkladné úkony tak, aby Klientovi nevznikla na právech nebo oprávněných zájmech škoda, pokud Klient neučiní jiná opatření.</w:t>
      </w:r>
    </w:p>
    <w:p w14:paraId="26A38EEE" w14:textId="7085B839" w:rsidR="006865ED" w:rsidRPr="00B44901" w:rsidRDefault="006865ED" w:rsidP="00B44901">
      <w:pPr>
        <w:pStyle w:val="Nadpis1"/>
      </w:pPr>
      <w:r w:rsidRPr="00997E2D">
        <w:t>Závěrečná ustanovení</w:t>
      </w:r>
    </w:p>
    <w:p w14:paraId="356BC659" w14:textId="7FADC5E9" w:rsidR="006865ED" w:rsidRPr="00B44901" w:rsidRDefault="006865ED" w:rsidP="00B44901">
      <w:pPr>
        <w:pStyle w:val="Nadpis2"/>
      </w:pPr>
      <w:r w:rsidRPr="00B44901">
        <w:t xml:space="preserve">Klient současně s podpisem této </w:t>
      </w:r>
      <w:r w:rsidR="00E979AF" w:rsidRPr="00B44901">
        <w:t>s</w:t>
      </w:r>
      <w:r w:rsidRPr="00B44901">
        <w:t xml:space="preserve">mlouvy uděluje Advokátovi plnou moc k jednání jeho jménem v mezích této </w:t>
      </w:r>
      <w:r w:rsidR="00E979AF" w:rsidRPr="00B44901">
        <w:t>s</w:t>
      </w:r>
      <w:r w:rsidRPr="00B44901">
        <w:t>mlouvy. Vyžaduje-li zákon zvláštní formu plné moci, nebo pokud k tomu Advokát Klienta vyzve, zavazuje se Klient vystavit Advokátovi písemnou plnou moc zvláštní listinou.</w:t>
      </w:r>
    </w:p>
    <w:p w14:paraId="10AEF040" w14:textId="72BE0A3D" w:rsidR="006865ED" w:rsidRPr="00B44901" w:rsidRDefault="006865ED" w:rsidP="00B44901">
      <w:pPr>
        <w:pStyle w:val="Nadpis2"/>
      </w:pPr>
      <w:r w:rsidRPr="00B44901">
        <w:lastRenderedPageBreak/>
        <w:t xml:space="preserve">Klient prohlašuje, že byl seznámen s povinnostmi Advokáta podle zákona č. 253/2008 Sb., o některých opatřeních proti legalizaci výnosů z trestné činnosti a financování terorismu, ve znění pozdějších předpisů, a dle usnesení představenstva České advokátní komory č. 2/2008 Věstníku, zejména s povinností identifikace klienta, kontroly klienta a s jeho oznamovací povinností. </w:t>
      </w:r>
    </w:p>
    <w:p w14:paraId="121E565E" w14:textId="2BC8D37B" w:rsidR="00CF2508" w:rsidRPr="00B44901" w:rsidRDefault="00CF2508" w:rsidP="00B44901">
      <w:pPr>
        <w:pStyle w:val="Nadpis2"/>
      </w:pPr>
      <w:r w:rsidRPr="00B44901">
        <w:t xml:space="preserve">Klient prohlašuje, že byl seznámen s tím, že v případě sporu mezi Advokátem a Klientem je věcně příslušným orgánem mimosoudního řešení sporu Česká advokátní komora, se sídlem Národní 16, 110 00 Praha 1, internetová adresa: </w:t>
      </w:r>
      <w:hyperlink r:id="rId10" w:history="1">
        <w:r w:rsidRPr="00B44901">
          <w:t>www.cak.cz</w:t>
        </w:r>
      </w:hyperlink>
      <w:r w:rsidRPr="00B44901">
        <w:t>.</w:t>
      </w:r>
    </w:p>
    <w:p w14:paraId="30E41BEE" w14:textId="77777777" w:rsidR="006865ED" w:rsidRPr="00B44901" w:rsidRDefault="006865ED" w:rsidP="00B44901">
      <w:pPr>
        <w:pStyle w:val="Nadpis2"/>
      </w:pPr>
      <w:r w:rsidRPr="00B44901">
        <w:t xml:space="preserve">Právní vztahy založené touto </w:t>
      </w:r>
      <w:r w:rsidR="00E979AF" w:rsidRPr="00B44901">
        <w:t>s</w:t>
      </w:r>
      <w:r w:rsidRPr="00B44901">
        <w:t xml:space="preserve">mlouvou se řídí českým právním řádem, zejména zákonem č. 89/2012 Sb., občanský zákoník, zákonem č. 85/1996 Sb., o advokacii, ve znění pozdějších předpisů, a vyhláškou č. 177/1996 Sb., advokátní tarif, ve znění pozdějších předpisů. </w:t>
      </w:r>
    </w:p>
    <w:p w14:paraId="1F69C1DF" w14:textId="77777777" w:rsidR="00C31D1B" w:rsidRPr="00997E2D" w:rsidRDefault="00C31D1B" w:rsidP="00997E2D">
      <w:pPr>
        <w:pStyle w:val="Nadpis2"/>
        <w:numPr>
          <w:ilvl w:val="0"/>
          <w:numId w:val="0"/>
        </w:numPr>
        <w:spacing w:line="300" w:lineRule="atLeast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31D1B" w:rsidRPr="00997E2D" w14:paraId="19E9E0A2" w14:textId="77777777" w:rsidTr="00C31D1B">
        <w:tc>
          <w:tcPr>
            <w:tcW w:w="4530" w:type="dxa"/>
          </w:tcPr>
          <w:p w14:paraId="373F48AD" w14:textId="29F673F9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997E2D">
              <w:rPr>
                <w:rFonts w:ascii="Arial" w:hAnsi="Arial" w:cs="Arial"/>
                <w:szCs w:val="22"/>
              </w:rPr>
              <w:t xml:space="preserve">V Praze dne </w:t>
            </w:r>
            <w:r w:rsidR="00FC05E7">
              <w:rPr>
                <w:rFonts w:ascii="Arial" w:hAnsi="Arial" w:cs="Arial"/>
                <w:szCs w:val="22"/>
              </w:rPr>
              <w:t>22.12.2021</w:t>
            </w:r>
          </w:p>
          <w:p w14:paraId="11D3E553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091157C7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796130BA" w14:textId="77777777" w:rsidR="004E6B9F" w:rsidRPr="00997E2D" w:rsidRDefault="004E6B9F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20973BB2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997E2D">
              <w:rPr>
                <w:rFonts w:ascii="Arial" w:hAnsi="Arial" w:cs="Arial"/>
                <w:szCs w:val="22"/>
              </w:rPr>
              <w:t>...........................................</w:t>
            </w:r>
          </w:p>
          <w:p w14:paraId="64D9D355" w14:textId="77777777" w:rsidR="0050062E" w:rsidRDefault="0063609F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Fakultní nemocnice Královské Vinohrady</w:t>
            </w:r>
          </w:p>
          <w:p w14:paraId="138D6283" w14:textId="77777777" w:rsidR="0063609F" w:rsidRDefault="0063609F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prof. MUDr. Petr </w:t>
            </w:r>
            <w:proofErr w:type="spellStart"/>
            <w:r>
              <w:rPr>
                <w:rFonts w:ascii="Arial" w:hAnsi="Arial" w:cs="Arial"/>
                <w:szCs w:val="22"/>
              </w:rPr>
              <w:t>Arenberger</w:t>
            </w:r>
            <w:proofErr w:type="spellEnd"/>
            <w:r>
              <w:rPr>
                <w:rFonts w:ascii="Arial" w:hAnsi="Arial" w:cs="Arial"/>
                <w:szCs w:val="22"/>
              </w:rPr>
              <w:t>, Ph.D., MBA, FCMA, ředitel nemocnice</w:t>
            </w:r>
          </w:p>
          <w:p w14:paraId="3208EE05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1B9FF2A9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622D03C0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30" w:type="dxa"/>
          </w:tcPr>
          <w:p w14:paraId="73F5CC17" w14:textId="715ACA28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997E2D">
              <w:rPr>
                <w:rFonts w:ascii="Arial" w:hAnsi="Arial" w:cs="Arial"/>
                <w:szCs w:val="22"/>
              </w:rPr>
              <w:t xml:space="preserve">V Praze dne </w:t>
            </w:r>
            <w:r w:rsidR="00FC05E7">
              <w:rPr>
                <w:rFonts w:ascii="Arial" w:hAnsi="Arial" w:cs="Arial"/>
                <w:szCs w:val="22"/>
              </w:rPr>
              <w:t>22.12.2021</w:t>
            </w:r>
          </w:p>
          <w:p w14:paraId="37A38B69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18281B21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55A58E9D" w14:textId="77777777" w:rsidR="004E6B9F" w:rsidRPr="00997E2D" w:rsidRDefault="004E6B9F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14:paraId="4B5CFDC4" w14:textId="77777777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997E2D">
              <w:rPr>
                <w:rFonts w:ascii="Arial" w:hAnsi="Arial" w:cs="Arial"/>
                <w:szCs w:val="22"/>
              </w:rPr>
              <w:t>...........................................</w:t>
            </w:r>
          </w:p>
          <w:p w14:paraId="49803526" w14:textId="77777777" w:rsidR="00C31D1B" w:rsidRPr="0050062E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b/>
                <w:szCs w:val="22"/>
              </w:rPr>
            </w:pPr>
            <w:r w:rsidRPr="0050062E">
              <w:rPr>
                <w:rFonts w:ascii="Arial" w:hAnsi="Arial" w:cs="Arial"/>
                <w:b/>
                <w:szCs w:val="22"/>
              </w:rPr>
              <w:t xml:space="preserve">JUDr. </w:t>
            </w:r>
            <w:r w:rsidR="0050062E" w:rsidRPr="0050062E">
              <w:rPr>
                <w:rFonts w:ascii="Arial" w:hAnsi="Arial" w:cs="Arial"/>
                <w:b/>
                <w:szCs w:val="22"/>
              </w:rPr>
              <w:t xml:space="preserve">Jindřich Vítek, Ph.D., </w:t>
            </w:r>
            <w:r w:rsidRPr="0050062E">
              <w:rPr>
                <w:rFonts w:ascii="Arial" w:hAnsi="Arial" w:cs="Arial"/>
                <w:b/>
                <w:szCs w:val="22"/>
              </w:rPr>
              <w:t>advokát</w:t>
            </w:r>
          </w:p>
          <w:p w14:paraId="5683D0B0" w14:textId="36DC7D33" w:rsidR="00C31D1B" w:rsidRPr="00997E2D" w:rsidRDefault="00C31D1B" w:rsidP="00997E2D">
            <w:pPr>
              <w:pStyle w:val="Odstavecseseznamem"/>
              <w:spacing w:line="300" w:lineRule="atLeast"/>
              <w:ind w:left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997E2D">
              <w:rPr>
                <w:rFonts w:ascii="Arial" w:hAnsi="Arial" w:cs="Arial"/>
                <w:szCs w:val="22"/>
              </w:rPr>
              <w:t xml:space="preserve">Advokátní kancelář </w:t>
            </w:r>
            <w:r w:rsidR="00234464">
              <w:rPr>
                <w:rFonts w:ascii="Arial" w:hAnsi="Arial" w:cs="Arial"/>
                <w:szCs w:val="22"/>
              </w:rPr>
              <w:t xml:space="preserve">GÜRLICH </w:t>
            </w:r>
            <w:r w:rsidRPr="00997E2D">
              <w:rPr>
                <w:rFonts w:ascii="Arial" w:hAnsi="Arial" w:cs="Arial"/>
                <w:szCs w:val="22"/>
              </w:rPr>
              <w:t>VÍTEK &amp; PARTNERS</w:t>
            </w:r>
          </w:p>
        </w:tc>
      </w:tr>
    </w:tbl>
    <w:p w14:paraId="3C5B6185" w14:textId="77777777" w:rsidR="00095906" w:rsidRPr="00997E2D" w:rsidRDefault="00095906" w:rsidP="00997E2D">
      <w:pPr>
        <w:spacing w:line="300" w:lineRule="atLeast"/>
        <w:contextualSpacing/>
        <w:rPr>
          <w:rFonts w:ascii="Arial" w:hAnsi="Arial" w:cs="Arial"/>
          <w:szCs w:val="22"/>
        </w:rPr>
      </w:pPr>
    </w:p>
    <w:sectPr w:rsidR="00095906" w:rsidRPr="00997E2D" w:rsidSect="005560CB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3DCD3" w14:textId="77777777" w:rsidR="002F45CF" w:rsidRDefault="002F45CF" w:rsidP="00BB1A50">
      <w:r>
        <w:separator/>
      </w:r>
    </w:p>
  </w:endnote>
  <w:endnote w:type="continuationSeparator" w:id="0">
    <w:p w14:paraId="3E961F6E" w14:textId="77777777" w:rsidR="002F45CF" w:rsidRDefault="002F45CF" w:rsidP="00BB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8132" w14:textId="77777777" w:rsidR="0048573E" w:rsidRPr="00F00FA0" w:rsidRDefault="00E979AF">
    <w:pPr>
      <w:pStyle w:val="Zpat"/>
      <w:jc w:val="center"/>
      <w:rPr>
        <w:rFonts w:ascii="Arial" w:hAnsi="Arial" w:cs="Arial"/>
        <w:sz w:val="18"/>
        <w:szCs w:val="18"/>
      </w:rPr>
    </w:pPr>
    <w:r w:rsidRPr="00F00FA0">
      <w:rPr>
        <w:rFonts w:ascii="Arial" w:hAnsi="Arial" w:cs="Arial"/>
        <w:sz w:val="18"/>
        <w:szCs w:val="18"/>
      </w:rPr>
      <w:t xml:space="preserve">Stránka </w:t>
    </w:r>
    <w:r w:rsidR="00783A17" w:rsidRPr="00F00FA0">
      <w:rPr>
        <w:rFonts w:ascii="Arial" w:hAnsi="Arial" w:cs="Arial"/>
        <w:sz w:val="18"/>
        <w:szCs w:val="18"/>
      </w:rPr>
      <w:fldChar w:fldCharType="begin"/>
    </w:r>
    <w:r w:rsidRPr="00F00FA0">
      <w:rPr>
        <w:rFonts w:ascii="Arial" w:hAnsi="Arial" w:cs="Arial"/>
        <w:sz w:val="18"/>
        <w:szCs w:val="18"/>
      </w:rPr>
      <w:instrText>PAGE</w:instrText>
    </w:r>
    <w:r w:rsidR="00783A17" w:rsidRPr="00F00FA0">
      <w:rPr>
        <w:rFonts w:ascii="Arial" w:hAnsi="Arial" w:cs="Arial"/>
        <w:sz w:val="18"/>
        <w:szCs w:val="18"/>
      </w:rPr>
      <w:fldChar w:fldCharType="separate"/>
    </w:r>
    <w:r w:rsidR="00337B30">
      <w:rPr>
        <w:rFonts w:ascii="Arial" w:hAnsi="Arial" w:cs="Arial"/>
        <w:noProof/>
        <w:sz w:val="18"/>
        <w:szCs w:val="18"/>
      </w:rPr>
      <w:t>8</w:t>
    </w:r>
    <w:r w:rsidR="00783A17" w:rsidRPr="00F00FA0">
      <w:rPr>
        <w:rFonts w:ascii="Arial" w:hAnsi="Arial" w:cs="Arial"/>
        <w:sz w:val="18"/>
        <w:szCs w:val="18"/>
      </w:rPr>
      <w:fldChar w:fldCharType="end"/>
    </w:r>
    <w:r w:rsidRPr="00F00FA0">
      <w:rPr>
        <w:rFonts w:ascii="Arial" w:hAnsi="Arial" w:cs="Arial"/>
        <w:sz w:val="18"/>
        <w:szCs w:val="18"/>
      </w:rPr>
      <w:t xml:space="preserve"> z </w:t>
    </w:r>
    <w:r w:rsidR="00783A17" w:rsidRPr="00F00FA0">
      <w:rPr>
        <w:rFonts w:ascii="Arial" w:hAnsi="Arial" w:cs="Arial"/>
        <w:sz w:val="18"/>
        <w:szCs w:val="18"/>
      </w:rPr>
      <w:fldChar w:fldCharType="begin"/>
    </w:r>
    <w:r w:rsidRPr="00F00FA0">
      <w:rPr>
        <w:rFonts w:ascii="Arial" w:hAnsi="Arial" w:cs="Arial"/>
        <w:sz w:val="18"/>
        <w:szCs w:val="18"/>
      </w:rPr>
      <w:instrText>NUMPAGES</w:instrText>
    </w:r>
    <w:r w:rsidR="00783A17" w:rsidRPr="00F00FA0">
      <w:rPr>
        <w:rFonts w:ascii="Arial" w:hAnsi="Arial" w:cs="Arial"/>
        <w:sz w:val="18"/>
        <w:szCs w:val="18"/>
      </w:rPr>
      <w:fldChar w:fldCharType="separate"/>
    </w:r>
    <w:r w:rsidR="00337B30">
      <w:rPr>
        <w:rFonts w:ascii="Arial" w:hAnsi="Arial" w:cs="Arial"/>
        <w:noProof/>
        <w:sz w:val="18"/>
        <w:szCs w:val="18"/>
      </w:rPr>
      <w:t>9</w:t>
    </w:r>
    <w:r w:rsidR="00783A17" w:rsidRPr="00F00FA0">
      <w:rPr>
        <w:rFonts w:ascii="Arial" w:hAnsi="Arial" w:cs="Arial"/>
        <w:sz w:val="18"/>
        <w:szCs w:val="18"/>
      </w:rPr>
      <w:fldChar w:fldCharType="end"/>
    </w:r>
  </w:p>
  <w:p w14:paraId="4244068C" w14:textId="77777777" w:rsidR="0048573E" w:rsidRDefault="002F45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A7373" w14:textId="77777777" w:rsidR="0048573E" w:rsidRDefault="002F45CF" w:rsidP="005560C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D091E" w14:textId="77777777" w:rsidR="002F45CF" w:rsidRDefault="002F45CF" w:rsidP="00BB1A50">
      <w:r>
        <w:separator/>
      </w:r>
    </w:p>
  </w:footnote>
  <w:footnote w:type="continuationSeparator" w:id="0">
    <w:p w14:paraId="5022C19F" w14:textId="77777777" w:rsidR="002F45CF" w:rsidRDefault="002F45CF" w:rsidP="00BB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5709B7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10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4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2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573B95"/>
    <w:multiLevelType w:val="hybridMultilevel"/>
    <w:tmpl w:val="11346146"/>
    <w:lvl w:ilvl="0" w:tplc="030432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F77AA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02A7D91"/>
    <w:multiLevelType w:val="hybridMultilevel"/>
    <w:tmpl w:val="D2FCB1CA"/>
    <w:lvl w:ilvl="0" w:tplc="80280182">
      <w:start w:val="1"/>
      <w:numFmt w:val="decimal"/>
      <w:lvlText w:val="%1.2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647AA"/>
    <w:multiLevelType w:val="hybridMultilevel"/>
    <w:tmpl w:val="164490EE"/>
    <w:lvl w:ilvl="0" w:tplc="A738B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1F30"/>
    <w:multiLevelType w:val="multilevel"/>
    <w:tmpl w:val="B276E8D4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C490650"/>
    <w:multiLevelType w:val="multilevel"/>
    <w:tmpl w:val="1AA453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729F050C"/>
    <w:multiLevelType w:val="multilevel"/>
    <w:tmpl w:val="4DC01B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7"/>
  </w:num>
  <w:num w:numId="12">
    <w:abstractNumId w:val="6"/>
  </w:num>
  <w:num w:numId="13">
    <w:abstractNumId w:val="7"/>
  </w:num>
  <w:num w:numId="14">
    <w:abstractNumId w:val="0"/>
  </w:num>
  <w:num w:numId="15">
    <w:abstractNumId w:val="3"/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ED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3B80"/>
    <w:rsid w:val="0004464B"/>
    <w:rsid w:val="0004661A"/>
    <w:rsid w:val="00051B58"/>
    <w:rsid w:val="000527F8"/>
    <w:rsid w:val="00054DA5"/>
    <w:rsid w:val="000554FC"/>
    <w:rsid w:val="00055BF5"/>
    <w:rsid w:val="00055E28"/>
    <w:rsid w:val="00056E77"/>
    <w:rsid w:val="00063C80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5C04"/>
    <w:rsid w:val="000874E8"/>
    <w:rsid w:val="000878DA"/>
    <w:rsid w:val="0009244D"/>
    <w:rsid w:val="00093FA7"/>
    <w:rsid w:val="00095906"/>
    <w:rsid w:val="00096458"/>
    <w:rsid w:val="00097377"/>
    <w:rsid w:val="000A4CD5"/>
    <w:rsid w:val="000B6D0B"/>
    <w:rsid w:val="000C1230"/>
    <w:rsid w:val="000C2054"/>
    <w:rsid w:val="000C395F"/>
    <w:rsid w:val="000C47B5"/>
    <w:rsid w:val="000C672B"/>
    <w:rsid w:val="000D1783"/>
    <w:rsid w:val="000D37AC"/>
    <w:rsid w:val="000D37B7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14B"/>
    <w:rsid w:val="00101E16"/>
    <w:rsid w:val="00106962"/>
    <w:rsid w:val="00106C70"/>
    <w:rsid w:val="001101FF"/>
    <w:rsid w:val="00112C6C"/>
    <w:rsid w:val="0011471F"/>
    <w:rsid w:val="001167CB"/>
    <w:rsid w:val="00117C4E"/>
    <w:rsid w:val="0012058B"/>
    <w:rsid w:val="00123A8A"/>
    <w:rsid w:val="00125A7F"/>
    <w:rsid w:val="00130289"/>
    <w:rsid w:val="001341B7"/>
    <w:rsid w:val="0013704E"/>
    <w:rsid w:val="00137782"/>
    <w:rsid w:val="0014156E"/>
    <w:rsid w:val="00141D5E"/>
    <w:rsid w:val="00142C1C"/>
    <w:rsid w:val="00144931"/>
    <w:rsid w:val="00144BD7"/>
    <w:rsid w:val="00147CE2"/>
    <w:rsid w:val="001531A0"/>
    <w:rsid w:val="0015653E"/>
    <w:rsid w:val="0015782B"/>
    <w:rsid w:val="0016342C"/>
    <w:rsid w:val="001644C9"/>
    <w:rsid w:val="001717B5"/>
    <w:rsid w:val="00171F13"/>
    <w:rsid w:val="00174DAF"/>
    <w:rsid w:val="00175C0C"/>
    <w:rsid w:val="001779AE"/>
    <w:rsid w:val="00183C57"/>
    <w:rsid w:val="001855B2"/>
    <w:rsid w:val="001928FC"/>
    <w:rsid w:val="00195338"/>
    <w:rsid w:val="0019752D"/>
    <w:rsid w:val="001A50D0"/>
    <w:rsid w:val="001A7445"/>
    <w:rsid w:val="001B5841"/>
    <w:rsid w:val="001C2262"/>
    <w:rsid w:val="001C4DF7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1E7B98"/>
    <w:rsid w:val="001F1B7B"/>
    <w:rsid w:val="00200D98"/>
    <w:rsid w:val="002016AA"/>
    <w:rsid w:val="002021BA"/>
    <w:rsid w:val="00202FD3"/>
    <w:rsid w:val="002131D5"/>
    <w:rsid w:val="00221385"/>
    <w:rsid w:val="00225448"/>
    <w:rsid w:val="0023135C"/>
    <w:rsid w:val="00234464"/>
    <w:rsid w:val="002344BB"/>
    <w:rsid w:val="00240C12"/>
    <w:rsid w:val="00242D94"/>
    <w:rsid w:val="00244458"/>
    <w:rsid w:val="00256941"/>
    <w:rsid w:val="00257EFB"/>
    <w:rsid w:val="00262062"/>
    <w:rsid w:val="0026353F"/>
    <w:rsid w:val="0027141E"/>
    <w:rsid w:val="0027190F"/>
    <w:rsid w:val="0027450D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97D57"/>
    <w:rsid w:val="002A2C7D"/>
    <w:rsid w:val="002B02CE"/>
    <w:rsid w:val="002B0A11"/>
    <w:rsid w:val="002B23F4"/>
    <w:rsid w:val="002B33FD"/>
    <w:rsid w:val="002B4E61"/>
    <w:rsid w:val="002B50E3"/>
    <w:rsid w:val="002B7BA8"/>
    <w:rsid w:val="002C1CEF"/>
    <w:rsid w:val="002C3348"/>
    <w:rsid w:val="002D0FB2"/>
    <w:rsid w:val="002D10DF"/>
    <w:rsid w:val="002D2FFB"/>
    <w:rsid w:val="002D30C7"/>
    <w:rsid w:val="002D32FA"/>
    <w:rsid w:val="002D4B83"/>
    <w:rsid w:val="002D4D14"/>
    <w:rsid w:val="002E2330"/>
    <w:rsid w:val="002E6AEE"/>
    <w:rsid w:val="002F124C"/>
    <w:rsid w:val="002F45CF"/>
    <w:rsid w:val="002F689F"/>
    <w:rsid w:val="002F6AF5"/>
    <w:rsid w:val="0030291C"/>
    <w:rsid w:val="003044C3"/>
    <w:rsid w:val="0030464C"/>
    <w:rsid w:val="00305DF2"/>
    <w:rsid w:val="00314BE6"/>
    <w:rsid w:val="003168EF"/>
    <w:rsid w:val="00327658"/>
    <w:rsid w:val="003340BA"/>
    <w:rsid w:val="00337B30"/>
    <w:rsid w:val="00343A77"/>
    <w:rsid w:val="003514C9"/>
    <w:rsid w:val="00354008"/>
    <w:rsid w:val="003555CE"/>
    <w:rsid w:val="003618CE"/>
    <w:rsid w:val="003673AD"/>
    <w:rsid w:val="003678BE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3023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1"/>
    <w:rsid w:val="003D0EF5"/>
    <w:rsid w:val="003D3A00"/>
    <w:rsid w:val="003D3F80"/>
    <w:rsid w:val="003D3FF6"/>
    <w:rsid w:val="003D5492"/>
    <w:rsid w:val="003D7627"/>
    <w:rsid w:val="003F11FE"/>
    <w:rsid w:val="00401CA8"/>
    <w:rsid w:val="00403A32"/>
    <w:rsid w:val="004056A9"/>
    <w:rsid w:val="00411B3E"/>
    <w:rsid w:val="004174AB"/>
    <w:rsid w:val="0042104E"/>
    <w:rsid w:val="00421B31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20EB"/>
    <w:rsid w:val="004535CF"/>
    <w:rsid w:val="00456047"/>
    <w:rsid w:val="004560F6"/>
    <w:rsid w:val="00457647"/>
    <w:rsid w:val="0046195A"/>
    <w:rsid w:val="00462764"/>
    <w:rsid w:val="00465FB7"/>
    <w:rsid w:val="004665CB"/>
    <w:rsid w:val="00467C5F"/>
    <w:rsid w:val="004707FA"/>
    <w:rsid w:val="0047103D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A6D3E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2A30"/>
    <w:rsid w:val="004D626B"/>
    <w:rsid w:val="004D64CC"/>
    <w:rsid w:val="004D6850"/>
    <w:rsid w:val="004D6C56"/>
    <w:rsid w:val="004E196F"/>
    <w:rsid w:val="004E3CD5"/>
    <w:rsid w:val="004E4DB5"/>
    <w:rsid w:val="004E52B1"/>
    <w:rsid w:val="004E6B9F"/>
    <w:rsid w:val="004E77CE"/>
    <w:rsid w:val="004F38A9"/>
    <w:rsid w:val="004F78C6"/>
    <w:rsid w:val="0050062E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4718"/>
    <w:rsid w:val="00525D9A"/>
    <w:rsid w:val="00532DA0"/>
    <w:rsid w:val="00536635"/>
    <w:rsid w:val="005372A2"/>
    <w:rsid w:val="00541418"/>
    <w:rsid w:val="005441A0"/>
    <w:rsid w:val="00550BE1"/>
    <w:rsid w:val="00552801"/>
    <w:rsid w:val="00552954"/>
    <w:rsid w:val="00556BDE"/>
    <w:rsid w:val="00560477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4B7"/>
    <w:rsid w:val="00592611"/>
    <w:rsid w:val="00594456"/>
    <w:rsid w:val="005A3DA2"/>
    <w:rsid w:val="005A68F6"/>
    <w:rsid w:val="005A779E"/>
    <w:rsid w:val="005B0829"/>
    <w:rsid w:val="005B4423"/>
    <w:rsid w:val="005B60C2"/>
    <w:rsid w:val="005C2A95"/>
    <w:rsid w:val="005C5EB9"/>
    <w:rsid w:val="005C6C6C"/>
    <w:rsid w:val="005E1190"/>
    <w:rsid w:val="005E5342"/>
    <w:rsid w:val="005E5BFC"/>
    <w:rsid w:val="005E612B"/>
    <w:rsid w:val="005F0376"/>
    <w:rsid w:val="005F1E88"/>
    <w:rsid w:val="005F43A3"/>
    <w:rsid w:val="005F4BAC"/>
    <w:rsid w:val="005F4C3C"/>
    <w:rsid w:val="005F6086"/>
    <w:rsid w:val="005F6E6D"/>
    <w:rsid w:val="005F6E7E"/>
    <w:rsid w:val="00600FE9"/>
    <w:rsid w:val="006013F1"/>
    <w:rsid w:val="00606B04"/>
    <w:rsid w:val="00610272"/>
    <w:rsid w:val="00610285"/>
    <w:rsid w:val="00611229"/>
    <w:rsid w:val="006134B8"/>
    <w:rsid w:val="006143B3"/>
    <w:rsid w:val="006204A1"/>
    <w:rsid w:val="00623BCD"/>
    <w:rsid w:val="00624ED3"/>
    <w:rsid w:val="006263BD"/>
    <w:rsid w:val="0062672B"/>
    <w:rsid w:val="00630BED"/>
    <w:rsid w:val="00632814"/>
    <w:rsid w:val="00635E5D"/>
    <w:rsid w:val="0063609F"/>
    <w:rsid w:val="00640133"/>
    <w:rsid w:val="006403B8"/>
    <w:rsid w:val="00640CEC"/>
    <w:rsid w:val="00641731"/>
    <w:rsid w:val="0064694F"/>
    <w:rsid w:val="0065185A"/>
    <w:rsid w:val="00652C5F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865ED"/>
    <w:rsid w:val="00687668"/>
    <w:rsid w:val="006922A2"/>
    <w:rsid w:val="0069406F"/>
    <w:rsid w:val="006973D3"/>
    <w:rsid w:val="006A1752"/>
    <w:rsid w:val="006A1916"/>
    <w:rsid w:val="006A19C5"/>
    <w:rsid w:val="006A34AA"/>
    <w:rsid w:val="006A7445"/>
    <w:rsid w:val="006B12E5"/>
    <w:rsid w:val="006B1A1A"/>
    <w:rsid w:val="006B2CE9"/>
    <w:rsid w:val="006B3420"/>
    <w:rsid w:val="006B4AA2"/>
    <w:rsid w:val="006B4BA0"/>
    <w:rsid w:val="006B5B79"/>
    <w:rsid w:val="006C083F"/>
    <w:rsid w:val="006C0DF3"/>
    <w:rsid w:val="006C20F6"/>
    <w:rsid w:val="006C26B3"/>
    <w:rsid w:val="006D2EFF"/>
    <w:rsid w:val="006D39BF"/>
    <w:rsid w:val="006D4BAD"/>
    <w:rsid w:val="006D6198"/>
    <w:rsid w:val="006D6C25"/>
    <w:rsid w:val="006E02EC"/>
    <w:rsid w:val="006E51CC"/>
    <w:rsid w:val="006E5230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61B6"/>
    <w:rsid w:val="00731ACA"/>
    <w:rsid w:val="00732689"/>
    <w:rsid w:val="0073349E"/>
    <w:rsid w:val="00742B85"/>
    <w:rsid w:val="007468BD"/>
    <w:rsid w:val="007507B8"/>
    <w:rsid w:val="0075560C"/>
    <w:rsid w:val="00757614"/>
    <w:rsid w:val="007603B3"/>
    <w:rsid w:val="007604E9"/>
    <w:rsid w:val="00763A79"/>
    <w:rsid w:val="00765543"/>
    <w:rsid w:val="00765F15"/>
    <w:rsid w:val="007666A2"/>
    <w:rsid w:val="007673F6"/>
    <w:rsid w:val="007702B8"/>
    <w:rsid w:val="00770B29"/>
    <w:rsid w:val="00774B0D"/>
    <w:rsid w:val="00774B69"/>
    <w:rsid w:val="00774D09"/>
    <w:rsid w:val="007808CE"/>
    <w:rsid w:val="00783A17"/>
    <w:rsid w:val="007930FF"/>
    <w:rsid w:val="00793F4A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53BA"/>
    <w:rsid w:val="007B6D23"/>
    <w:rsid w:val="007C0D5D"/>
    <w:rsid w:val="007C2547"/>
    <w:rsid w:val="007D029C"/>
    <w:rsid w:val="007D1521"/>
    <w:rsid w:val="007D2770"/>
    <w:rsid w:val="007E12BF"/>
    <w:rsid w:val="007E17DE"/>
    <w:rsid w:val="007E653D"/>
    <w:rsid w:val="007F0CD9"/>
    <w:rsid w:val="007F2C03"/>
    <w:rsid w:val="007F4F29"/>
    <w:rsid w:val="007F578A"/>
    <w:rsid w:val="007F6BF6"/>
    <w:rsid w:val="008044E7"/>
    <w:rsid w:val="00810302"/>
    <w:rsid w:val="00812BB4"/>
    <w:rsid w:val="00814EB0"/>
    <w:rsid w:val="00815A23"/>
    <w:rsid w:val="00833313"/>
    <w:rsid w:val="00833A6A"/>
    <w:rsid w:val="00836F97"/>
    <w:rsid w:val="00846E68"/>
    <w:rsid w:val="008524FC"/>
    <w:rsid w:val="00856139"/>
    <w:rsid w:val="00861AB8"/>
    <w:rsid w:val="00865373"/>
    <w:rsid w:val="008660A7"/>
    <w:rsid w:val="00871300"/>
    <w:rsid w:val="00873D6D"/>
    <w:rsid w:val="00874822"/>
    <w:rsid w:val="00874A22"/>
    <w:rsid w:val="00874A6D"/>
    <w:rsid w:val="0087711F"/>
    <w:rsid w:val="00877CA2"/>
    <w:rsid w:val="008840A9"/>
    <w:rsid w:val="008867F4"/>
    <w:rsid w:val="0088680D"/>
    <w:rsid w:val="00886976"/>
    <w:rsid w:val="00890309"/>
    <w:rsid w:val="00890BB2"/>
    <w:rsid w:val="00892B00"/>
    <w:rsid w:val="00894ACD"/>
    <w:rsid w:val="008950F7"/>
    <w:rsid w:val="008A37D0"/>
    <w:rsid w:val="008A71A1"/>
    <w:rsid w:val="008A7E3D"/>
    <w:rsid w:val="008B07D5"/>
    <w:rsid w:val="008B615C"/>
    <w:rsid w:val="008C120E"/>
    <w:rsid w:val="008C2C44"/>
    <w:rsid w:val="008C3746"/>
    <w:rsid w:val="008C5141"/>
    <w:rsid w:val="008C5E9F"/>
    <w:rsid w:val="008D1984"/>
    <w:rsid w:val="008D3E32"/>
    <w:rsid w:val="008D705A"/>
    <w:rsid w:val="008E4BAA"/>
    <w:rsid w:val="008E562A"/>
    <w:rsid w:val="008E7072"/>
    <w:rsid w:val="008F0604"/>
    <w:rsid w:val="008F1A55"/>
    <w:rsid w:val="008F28A8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2AEF"/>
    <w:rsid w:val="009235A3"/>
    <w:rsid w:val="009241D5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369"/>
    <w:rsid w:val="009516F4"/>
    <w:rsid w:val="009525C4"/>
    <w:rsid w:val="00956E47"/>
    <w:rsid w:val="00960A48"/>
    <w:rsid w:val="0096294E"/>
    <w:rsid w:val="00962F5B"/>
    <w:rsid w:val="009646E9"/>
    <w:rsid w:val="009649AF"/>
    <w:rsid w:val="009726D1"/>
    <w:rsid w:val="00975757"/>
    <w:rsid w:val="00976470"/>
    <w:rsid w:val="00976521"/>
    <w:rsid w:val="00977281"/>
    <w:rsid w:val="00977418"/>
    <w:rsid w:val="00981A28"/>
    <w:rsid w:val="00985A2C"/>
    <w:rsid w:val="00986050"/>
    <w:rsid w:val="009868F1"/>
    <w:rsid w:val="00986DC4"/>
    <w:rsid w:val="00991293"/>
    <w:rsid w:val="00993C31"/>
    <w:rsid w:val="00994742"/>
    <w:rsid w:val="009953E3"/>
    <w:rsid w:val="00996BF7"/>
    <w:rsid w:val="00997E2D"/>
    <w:rsid w:val="009A327C"/>
    <w:rsid w:val="009A33DB"/>
    <w:rsid w:val="009A4345"/>
    <w:rsid w:val="009A69CA"/>
    <w:rsid w:val="009A7381"/>
    <w:rsid w:val="009B1155"/>
    <w:rsid w:val="009B5D85"/>
    <w:rsid w:val="009B7650"/>
    <w:rsid w:val="009C3041"/>
    <w:rsid w:val="009C469D"/>
    <w:rsid w:val="009C471F"/>
    <w:rsid w:val="009D0AC3"/>
    <w:rsid w:val="009D4CB8"/>
    <w:rsid w:val="009D628C"/>
    <w:rsid w:val="009E014D"/>
    <w:rsid w:val="009E0179"/>
    <w:rsid w:val="009E47E9"/>
    <w:rsid w:val="009E4A05"/>
    <w:rsid w:val="009E4C0F"/>
    <w:rsid w:val="009E58DD"/>
    <w:rsid w:val="009E7E34"/>
    <w:rsid w:val="009F2360"/>
    <w:rsid w:val="009F2A08"/>
    <w:rsid w:val="009F2A76"/>
    <w:rsid w:val="00A01E37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19D0"/>
    <w:rsid w:val="00A629EA"/>
    <w:rsid w:val="00A6532C"/>
    <w:rsid w:val="00A65F06"/>
    <w:rsid w:val="00A662C7"/>
    <w:rsid w:val="00A664A3"/>
    <w:rsid w:val="00A6651F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2F66"/>
    <w:rsid w:val="00AA48E8"/>
    <w:rsid w:val="00AA6336"/>
    <w:rsid w:val="00AB02E6"/>
    <w:rsid w:val="00AB0A45"/>
    <w:rsid w:val="00AB7895"/>
    <w:rsid w:val="00AC546F"/>
    <w:rsid w:val="00AC5614"/>
    <w:rsid w:val="00AC7D25"/>
    <w:rsid w:val="00AD0D88"/>
    <w:rsid w:val="00AD4279"/>
    <w:rsid w:val="00AD58F3"/>
    <w:rsid w:val="00AD6FC8"/>
    <w:rsid w:val="00AD7D10"/>
    <w:rsid w:val="00AE0BA7"/>
    <w:rsid w:val="00AE2985"/>
    <w:rsid w:val="00AE317E"/>
    <w:rsid w:val="00AE4F87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44901"/>
    <w:rsid w:val="00B500E9"/>
    <w:rsid w:val="00B51608"/>
    <w:rsid w:val="00B51B13"/>
    <w:rsid w:val="00B51BE4"/>
    <w:rsid w:val="00B521E3"/>
    <w:rsid w:val="00B53A74"/>
    <w:rsid w:val="00B55E63"/>
    <w:rsid w:val="00B600A9"/>
    <w:rsid w:val="00B612C4"/>
    <w:rsid w:val="00B61D3F"/>
    <w:rsid w:val="00B642C6"/>
    <w:rsid w:val="00B7159D"/>
    <w:rsid w:val="00B71B60"/>
    <w:rsid w:val="00B74F8C"/>
    <w:rsid w:val="00B75F36"/>
    <w:rsid w:val="00B93D1A"/>
    <w:rsid w:val="00B93D97"/>
    <w:rsid w:val="00B95BA9"/>
    <w:rsid w:val="00BA08B4"/>
    <w:rsid w:val="00BA4612"/>
    <w:rsid w:val="00BB0384"/>
    <w:rsid w:val="00BB1A50"/>
    <w:rsid w:val="00BB3443"/>
    <w:rsid w:val="00BB430E"/>
    <w:rsid w:val="00BB44C9"/>
    <w:rsid w:val="00BB5F19"/>
    <w:rsid w:val="00BB6657"/>
    <w:rsid w:val="00BB7B87"/>
    <w:rsid w:val="00BC245C"/>
    <w:rsid w:val="00BC622D"/>
    <w:rsid w:val="00BC6B87"/>
    <w:rsid w:val="00BC6C22"/>
    <w:rsid w:val="00BC74C8"/>
    <w:rsid w:val="00BD3906"/>
    <w:rsid w:val="00BD4EC2"/>
    <w:rsid w:val="00BD53F7"/>
    <w:rsid w:val="00BD6236"/>
    <w:rsid w:val="00BE2151"/>
    <w:rsid w:val="00BE45AE"/>
    <w:rsid w:val="00BE5E84"/>
    <w:rsid w:val="00BF5341"/>
    <w:rsid w:val="00BF5B39"/>
    <w:rsid w:val="00BF676C"/>
    <w:rsid w:val="00C01267"/>
    <w:rsid w:val="00C02B38"/>
    <w:rsid w:val="00C04AC4"/>
    <w:rsid w:val="00C0642D"/>
    <w:rsid w:val="00C12531"/>
    <w:rsid w:val="00C14CF3"/>
    <w:rsid w:val="00C14CF4"/>
    <w:rsid w:val="00C15C2D"/>
    <w:rsid w:val="00C24A1F"/>
    <w:rsid w:val="00C31D1B"/>
    <w:rsid w:val="00C3318B"/>
    <w:rsid w:val="00C3350C"/>
    <w:rsid w:val="00C3554E"/>
    <w:rsid w:val="00C40210"/>
    <w:rsid w:val="00C42B79"/>
    <w:rsid w:val="00C43681"/>
    <w:rsid w:val="00C4371B"/>
    <w:rsid w:val="00C43FA8"/>
    <w:rsid w:val="00C455C7"/>
    <w:rsid w:val="00C46410"/>
    <w:rsid w:val="00C47587"/>
    <w:rsid w:val="00C47E49"/>
    <w:rsid w:val="00C50036"/>
    <w:rsid w:val="00C50732"/>
    <w:rsid w:val="00C50776"/>
    <w:rsid w:val="00C50D80"/>
    <w:rsid w:val="00C54ACA"/>
    <w:rsid w:val="00C631FA"/>
    <w:rsid w:val="00C639D9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4B27"/>
    <w:rsid w:val="00CA5A18"/>
    <w:rsid w:val="00CB1487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110C"/>
    <w:rsid w:val="00CD210F"/>
    <w:rsid w:val="00CD574F"/>
    <w:rsid w:val="00CE5E8C"/>
    <w:rsid w:val="00CE65DE"/>
    <w:rsid w:val="00CF2508"/>
    <w:rsid w:val="00CF2B5C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6A10"/>
    <w:rsid w:val="00D77AC5"/>
    <w:rsid w:val="00D77F4E"/>
    <w:rsid w:val="00D800A3"/>
    <w:rsid w:val="00D802CC"/>
    <w:rsid w:val="00D81110"/>
    <w:rsid w:val="00D8704D"/>
    <w:rsid w:val="00D90847"/>
    <w:rsid w:val="00D9363B"/>
    <w:rsid w:val="00DA1FEC"/>
    <w:rsid w:val="00DA25DE"/>
    <w:rsid w:val="00DA31DA"/>
    <w:rsid w:val="00DA6813"/>
    <w:rsid w:val="00DB18E0"/>
    <w:rsid w:val="00DB3F17"/>
    <w:rsid w:val="00DB6C9E"/>
    <w:rsid w:val="00DB7126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3C61"/>
    <w:rsid w:val="00E050C5"/>
    <w:rsid w:val="00E1240E"/>
    <w:rsid w:val="00E16721"/>
    <w:rsid w:val="00E17871"/>
    <w:rsid w:val="00E208F3"/>
    <w:rsid w:val="00E2186E"/>
    <w:rsid w:val="00E27949"/>
    <w:rsid w:val="00E36614"/>
    <w:rsid w:val="00E40B80"/>
    <w:rsid w:val="00E4559B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31BD"/>
    <w:rsid w:val="00E8417C"/>
    <w:rsid w:val="00E8516A"/>
    <w:rsid w:val="00E85C66"/>
    <w:rsid w:val="00E85DB9"/>
    <w:rsid w:val="00E90670"/>
    <w:rsid w:val="00E939E7"/>
    <w:rsid w:val="00E96299"/>
    <w:rsid w:val="00E965CB"/>
    <w:rsid w:val="00E979AF"/>
    <w:rsid w:val="00EA313E"/>
    <w:rsid w:val="00EA32D5"/>
    <w:rsid w:val="00EB1D81"/>
    <w:rsid w:val="00EB61B1"/>
    <w:rsid w:val="00EB75B7"/>
    <w:rsid w:val="00EB7ED0"/>
    <w:rsid w:val="00EC2023"/>
    <w:rsid w:val="00EC20AF"/>
    <w:rsid w:val="00EC4DF3"/>
    <w:rsid w:val="00ED22ED"/>
    <w:rsid w:val="00ED5D09"/>
    <w:rsid w:val="00EE1678"/>
    <w:rsid w:val="00EE36A0"/>
    <w:rsid w:val="00EE5AFA"/>
    <w:rsid w:val="00EF0358"/>
    <w:rsid w:val="00EF1F34"/>
    <w:rsid w:val="00EF4092"/>
    <w:rsid w:val="00EF44C4"/>
    <w:rsid w:val="00EF4CA6"/>
    <w:rsid w:val="00F00FA0"/>
    <w:rsid w:val="00F028C5"/>
    <w:rsid w:val="00F127A2"/>
    <w:rsid w:val="00F1434C"/>
    <w:rsid w:val="00F16105"/>
    <w:rsid w:val="00F2101F"/>
    <w:rsid w:val="00F36F77"/>
    <w:rsid w:val="00F45CB8"/>
    <w:rsid w:val="00F468F5"/>
    <w:rsid w:val="00F515FB"/>
    <w:rsid w:val="00F53FB2"/>
    <w:rsid w:val="00F54F4B"/>
    <w:rsid w:val="00F568D0"/>
    <w:rsid w:val="00F57A21"/>
    <w:rsid w:val="00F57E15"/>
    <w:rsid w:val="00F6073D"/>
    <w:rsid w:val="00F60F8A"/>
    <w:rsid w:val="00F61D10"/>
    <w:rsid w:val="00F652B3"/>
    <w:rsid w:val="00F6720A"/>
    <w:rsid w:val="00F70267"/>
    <w:rsid w:val="00F7142E"/>
    <w:rsid w:val="00F71FCB"/>
    <w:rsid w:val="00F73527"/>
    <w:rsid w:val="00F73784"/>
    <w:rsid w:val="00F73F62"/>
    <w:rsid w:val="00F74E79"/>
    <w:rsid w:val="00F76634"/>
    <w:rsid w:val="00F80C30"/>
    <w:rsid w:val="00F8267B"/>
    <w:rsid w:val="00F84A79"/>
    <w:rsid w:val="00F84CD0"/>
    <w:rsid w:val="00F91147"/>
    <w:rsid w:val="00F93BC3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440"/>
    <w:rsid w:val="00FB7527"/>
    <w:rsid w:val="00FB7B39"/>
    <w:rsid w:val="00FC05E7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D0A594"/>
  <w15:docId w15:val="{641CA97F-7D01-490F-8650-4DFE7A49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5E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C3746"/>
    <w:pPr>
      <w:numPr>
        <w:numId w:val="2"/>
      </w:numPr>
      <w:spacing w:before="240" w:after="240" w:line="288" w:lineRule="auto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basedOn w:val="Normln"/>
    <w:link w:val="Nadpis2Char"/>
    <w:qFormat/>
    <w:rsid w:val="008C3746"/>
    <w:pPr>
      <w:numPr>
        <w:ilvl w:val="1"/>
        <w:numId w:val="2"/>
      </w:numPr>
      <w:spacing w:before="120" w:after="120" w:line="288" w:lineRule="auto"/>
      <w:outlineLvl w:val="1"/>
    </w:pPr>
    <w:rPr>
      <w:rFonts w:ascii="Arial" w:hAnsi="Arial"/>
    </w:rPr>
  </w:style>
  <w:style w:type="paragraph" w:styleId="Nadpis3">
    <w:name w:val="heading 3"/>
    <w:basedOn w:val="Normln"/>
    <w:link w:val="Nadpis3Char"/>
    <w:qFormat/>
    <w:rsid w:val="008C3746"/>
    <w:pPr>
      <w:numPr>
        <w:ilvl w:val="2"/>
        <w:numId w:val="2"/>
      </w:numPr>
      <w:spacing w:before="120" w:after="120" w:line="288" w:lineRule="auto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8C3746"/>
    <w:pPr>
      <w:numPr>
        <w:ilvl w:val="3"/>
        <w:numId w:val="2"/>
      </w:numPr>
      <w:spacing w:before="120" w:after="120" w:line="288" w:lineRule="auto"/>
      <w:outlineLvl w:val="3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C3746"/>
    <w:rPr>
      <w:rFonts w:ascii="Arial" w:eastAsia="Times New Roman" w:hAnsi="Arial" w:cs="Times New Roman"/>
      <w:b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C3746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C3746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C3746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6865ED"/>
    <w:pPr>
      <w:jc w:val="center"/>
    </w:pPr>
    <w:rPr>
      <w:rFonts w:ascii="Garamond" w:hAnsi="Garamond"/>
      <w:b/>
      <w:caps/>
      <w:sz w:val="48"/>
    </w:rPr>
  </w:style>
  <w:style w:type="character" w:customStyle="1" w:styleId="NzevChar">
    <w:name w:val="Název Char"/>
    <w:basedOn w:val="Standardnpsmoodstavce"/>
    <w:link w:val="Nzev"/>
    <w:rsid w:val="006865ED"/>
    <w:rPr>
      <w:rFonts w:ascii="Garamond" w:eastAsia="Times New Roman" w:hAnsi="Garamond" w:cs="Times New Roman"/>
      <w:b/>
      <w:caps/>
      <w:sz w:val="4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865ED"/>
    <w:pPr>
      <w:tabs>
        <w:tab w:val="center" w:pos="4536"/>
        <w:tab w:val="right" w:pos="8640"/>
      </w:tabs>
    </w:pPr>
    <w:rPr>
      <w:rFonts w:ascii="Garamond" w:hAnsi="Garamond"/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6865ED"/>
    <w:rPr>
      <w:rFonts w:ascii="Garamond" w:eastAsia="Times New Roman" w:hAnsi="Garamond" w:cs="Times New Roman"/>
      <w:sz w:val="12"/>
      <w:szCs w:val="20"/>
    </w:rPr>
  </w:style>
  <w:style w:type="character" w:styleId="Siln">
    <w:name w:val="Strong"/>
    <w:qFormat/>
    <w:rsid w:val="006865ED"/>
    <w:rPr>
      <w:b/>
      <w:bCs/>
    </w:rPr>
  </w:style>
  <w:style w:type="paragraph" w:styleId="Odstavecseseznamem">
    <w:name w:val="List Paragraph"/>
    <w:basedOn w:val="Normln"/>
    <w:uiPriority w:val="34"/>
    <w:qFormat/>
    <w:rsid w:val="006865ED"/>
    <w:pPr>
      <w:ind w:left="708"/>
    </w:pPr>
  </w:style>
  <w:style w:type="paragraph" w:customStyle="1" w:styleId="Default">
    <w:name w:val="Default"/>
    <w:rsid w:val="000554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CF2508"/>
    <w:rPr>
      <w:color w:val="0000FF"/>
      <w:u w:val="single"/>
    </w:rPr>
  </w:style>
  <w:style w:type="paragraph" w:customStyle="1" w:styleId="Styl1">
    <w:name w:val="Styl1"/>
    <w:basedOn w:val="Odstavecseseznamem"/>
    <w:rsid w:val="004535CF"/>
    <w:pPr>
      <w:spacing w:before="120" w:after="120" w:line="276" w:lineRule="auto"/>
      <w:ind w:left="574" w:hanging="432"/>
    </w:pPr>
    <w:rPr>
      <w:rFonts w:ascii="Arial" w:eastAsiaTheme="minorHAnsi" w:hAnsi="Arial" w:cs="Arial"/>
      <w:sz w:val="20"/>
      <w:lang w:eastAsia="en-US"/>
    </w:rPr>
  </w:style>
  <w:style w:type="paragraph" w:customStyle="1" w:styleId="Styl2">
    <w:name w:val="Styl2"/>
    <w:basedOn w:val="Bezmezer"/>
    <w:uiPriority w:val="99"/>
    <w:qFormat/>
    <w:rsid w:val="004535CF"/>
    <w:pPr>
      <w:tabs>
        <w:tab w:val="num" w:pos="360"/>
        <w:tab w:val="num" w:pos="2138"/>
      </w:tabs>
      <w:spacing w:before="120" w:after="120" w:line="276" w:lineRule="auto"/>
      <w:ind w:left="567" w:hanging="567"/>
    </w:pPr>
    <w:rPr>
      <w:rFonts w:ascii="Arial" w:eastAsia="Calibri" w:hAnsi="Arial" w:cs="Arial"/>
      <w:sz w:val="20"/>
      <w:lang w:eastAsia="en-US"/>
    </w:rPr>
  </w:style>
  <w:style w:type="paragraph" w:customStyle="1" w:styleId="Styl11">
    <w:name w:val="Styl 1.1."/>
    <w:basedOn w:val="Styl1"/>
    <w:link w:val="Styl11Char"/>
    <w:qFormat/>
    <w:rsid w:val="004535CF"/>
    <w:rPr>
      <w:rFonts w:ascii="Times New Roman" w:hAnsi="Times New Roman" w:cs="Times New Roman"/>
      <w:sz w:val="24"/>
      <w:szCs w:val="24"/>
    </w:rPr>
  </w:style>
  <w:style w:type="character" w:customStyle="1" w:styleId="Styl11Char">
    <w:name w:val="Styl 1.1. Char"/>
    <w:basedOn w:val="Standardnpsmoodstavce"/>
    <w:link w:val="Styl11"/>
    <w:rsid w:val="004535CF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535C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A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A50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778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3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D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D1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57A2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37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7B3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7B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7B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7B3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9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unda@fnk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f.mach@fnk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ek@akeg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2957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Dita Zimmermannová</dc:creator>
  <cp:lastModifiedBy>HORÁKOVÁ Martina</cp:lastModifiedBy>
  <cp:revision>2</cp:revision>
  <dcterms:created xsi:type="dcterms:W3CDTF">2021-12-22T13:27:00Z</dcterms:created>
  <dcterms:modified xsi:type="dcterms:W3CDTF">2021-12-22T13:27:00Z</dcterms:modified>
</cp:coreProperties>
</file>