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42D1" w14:textId="77777777" w:rsidR="009716A6" w:rsidRDefault="00591A2A">
      <w:pPr>
        <w:jc w:val="center"/>
        <w:rPr>
          <w:sz w:val="2"/>
          <w:szCs w:val="2"/>
        </w:rPr>
      </w:pPr>
      <w:r>
        <w:rPr>
          <w:noProof/>
        </w:rPr>
        <w:drawing>
          <wp:inline distT="0" distB="0" distL="0" distR="0" wp14:anchorId="5593122E" wp14:editId="062D58D0">
            <wp:extent cx="1896110" cy="4635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896110" cy="463550"/>
                    </a:xfrm>
                    <a:prstGeom prst="rect">
                      <a:avLst/>
                    </a:prstGeom>
                  </pic:spPr>
                </pic:pic>
              </a:graphicData>
            </a:graphic>
          </wp:inline>
        </w:drawing>
      </w:r>
    </w:p>
    <w:p w14:paraId="357F0A91" w14:textId="77777777" w:rsidR="009716A6" w:rsidRDefault="009716A6">
      <w:pPr>
        <w:spacing w:after="299" w:line="1" w:lineRule="exact"/>
      </w:pPr>
    </w:p>
    <w:p w14:paraId="65C530D1" w14:textId="77777777" w:rsidR="009716A6" w:rsidRDefault="00591A2A">
      <w:pPr>
        <w:pStyle w:val="Zkladntext1"/>
        <w:spacing w:after="260" w:line="228" w:lineRule="auto"/>
        <w:ind w:firstLine="980"/>
        <w:rPr>
          <w:sz w:val="22"/>
          <w:szCs w:val="22"/>
        </w:rPr>
      </w:pPr>
      <w:r>
        <w:rPr>
          <w:b/>
          <w:bCs/>
          <w:sz w:val="22"/>
          <w:szCs w:val="22"/>
        </w:rPr>
        <w:t>SMLOUVA O VÝKONU FUNKCE EXTERNÍHO BEZPEČNOSTNÍHO PORADCE ADR</w:t>
      </w:r>
    </w:p>
    <w:p w14:paraId="58EEC174" w14:textId="77777777" w:rsidR="009716A6" w:rsidRDefault="00591A2A">
      <w:pPr>
        <w:pStyle w:val="Zkladntext1"/>
        <w:spacing w:after="260" w:line="252" w:lineRule="auto"/>
        <w:jc w:val="center"/>
      </w:pPr>
      <w:r>
        <w:rPr>
          <w:b/>
          <w:bCs/>
        </w:rPr>
        <w:t xml:space="preserve">Článek </w:t>
      </w:r>
      <w:r w:rsidRPr="009236CB">
        <w:rPr>
          <w:b/>
          <w:bCs/>
        </w:rPr>
        <w:t>I</w:t>
      </w:r>
      <w:r>
        <w:rPr>
          <w:b/>
          <w:bCs/>
        </w:rPr>
        <w:t>.</w:t>
      </w:r>
      <w:r>
        <w:rPr>
          <w:b/>
          <w:bCs/>
        </w:rPr>
        <w:br/>
        <w:t>Smluvní strany</w:t>
      </w:r>
    </w:p>
    <w:p w14:paraId="5A805ED3" w14:textId="77777777" w:rsidR="009716A6" w:rsidRDefault="00591A2A">
      <w:pPr>
        <w:pStyle w:val="Nadpis10"/>
        <w:keepNext/>
        <w:keepLines/>
        <w:spacing w:after="0" w:line="252" w:lineRule="auto"/>
        <w:jc w:val="left"/>
      </w:pPr>
      <w:bookmarkStart w:id="0" w:name="bookmark0"/>
      <w:bookmarkStart w:id="1" w:name="bookmark1"/>
      <w:bookmarkStart w:id="2" w:name="bookmark2"/>
      <w:r>
        <w:t>ELKOV elektro a. s.</w:t>
      </w:r>
      <w:bookmarkEnd w:id="0"/>
      <w:bookmarkEnd w:id="1"/>
      <w:bookmarkEnd w:id="2"/>
    </w:p>
    <w:p w14:paraId="09C29CC6" w14:textId="77777777" w:rsidR="009716A6" w:rsidRDefault="00591A2A">
      <w:pPr>
        <w:pStyle w:val="Zkladntext1"/>
        <w:spacing w:line="252" w:lineRule="auto"/>
      </w:pPr>
      <w:r>
        <w:t>Kšírova 701/255</w:t>
      </w:r>
    </w:p>
    <w:p w14:paraId="0A04FC6C" w14:textId="77777777" w:rsidR="009716A6" w:rsidRDefault="00591A2A">
      <w:pPr>
        <w:pStyle w:val="Zkladntext1"/>
        <w:spacing w:line="252" w:lineRule="auto"/>
      </w:pPr>
      <w:r>
        <w:t>619 00 Brno</w:t>
      </w:r>
    </w:p>
    <w:p w14:paraId="7C548051" w14:textId="77777777" w:rsidR="009716A6" w:rsidRDefault="00591A2A">
      <w:pPr>
        <w:pStyle w:val="Zkladntext1"/>
        <w:spacing w:line="252" w:lineRule="auto"/>
      </w:pPr>
      <w:r>
        <w:t>IČ: 26279690</w:t>
      </w:r>
    </w:p>
    <w:p w14:paraId="50CB8F66" w14:textId="77777777" w:rsidR="009716A6" w:rsidRDefault="00591A2A">
      <w:pPr>
        <w:pStyle w:val="Zkladntext1"/>
        <w:spacing w:line="252" w:lineRule="auto"/>
      </w:pPr>
      <w:r>
        <w:t>DIČ: CZ26279690</w:t>
      </w:r>
    </w:p>
    <w:p w14:paraId="2C490C28" w14:textId="77777777" w:rsidR="009716A6" w:rsidRDefault="00591A2A">
      <w:pPr>
        <w:pStyle w:val="Zkladntext1"/>
        <w:spacing w:after="260" w:line="252" w:lineRule="auto"/>
      </w:pPr>
      <w:r>
        <w:t>Vedená v obchodním rejstříku Krajského soudu v Brně, oddíl B, vložka č. 3718</w:t>
      </w:r>
    </w:p>
    <w:p w14:paraId="096414AE" w14:textId="77777777" w:rsidR="009716A6" w:rsidRDefault="00591A2A">
      <w:pPr>
        <w:pStyle w:val="Zkladntext1"/>
        <w:spacing w:after="760" w:line="252" w:lineRule="auto"/>
      </w:pPr>
      <w:r>
        <w:t>(dále jen „objednatel")</w:t>
      </w:r>
    </w:p>
    <w:p w14:paraId="5F7A08E3" w14:textId="77777777" w:rsidR="009716A6" w:rsidRDefault="00591A2A">
      <w:pPr>
        <w:pStyle w:val="Nadpis10"/>
        <w:keepNext/>
        <w:keepLines/>
        <w:spacing w:after="0"/>
        <w:jc w:val="left"/>
      </w:pPr>
      <w:bookmarkStart w:id="3" w:name="bookmark3"/>
      <w:bookmarkStart w:id="4" w:name="bookmark4"/>
      <w:bookmarkStart w:id="5" w:name="bookmark5"/>
      <w:r>
        <w:t>Centrum dopravního výzkumu, v. v. i.</w:t>
      </w:r>
      <w:bookmarkEnd w:id="3"/>
      <w:bookmarkEnd w:id="4"/>
      <w:bookmarkEnd w:id="5"/>
    </w:p>
    <w:p w14:paraId="1CA7D071" w14:textId="77777777" w:rsidR="009236CB" w:rsidRDefault="00591A2A">
      <w:pPr>
        <w:pStyle w:val="Zkladntext1"/>
      </w:pPr>
      <w:r>
        <w:t>Líšeňská 2657/</w:t>
      </w:r>
      <w:proofErr w:type="gramStart"/>
      <w:r>
        <w:t>33a</w:t>
      </w:r>
      <w:proofErr w:type="gramEnd"/>
      <w:r>
        <w:t xml:space="preserve"> 636 00 Brno </w:t>
      </w:r>
    </w:p>
    <w:p w14:paraId="72DB0D54" w14:textId="77777777" w:rsidR="009236CB" w:rsidRDefault="00591A2A">
      <w:pPr>
        <w:pStyle w:val="Zkladntext1"/>
      </w:pPr>
      <w:r>
        <w:t>IČ:</w:t>
      </w:r>
      <w:r w:rsidRPr="009236CB">
        <w:t xml:space="preserve"> </w:t>
      </w:r>
      <w:r>
        <w:t>44994575</w:t>
      </w:r>
    </w:p>
    <w:p w14:paraId="67B3D6B6" w14:textId="589B4108" w:rsidR="009716A6" w:rsidRDefault="00591A2A">
      <w:pPr>
        <w:pStyle w:val="Zkladntext1"/>
      </w:pPr>
      <w:r>
        <w:t>DIČ: CZ44994575</w:t>
      </w:r>
    </w:p>
    <w:p w14:paraId="7940F3AF" w14:textId="77777777" w:rsidR="009716A6" w:rsidRDefault="00591A2A">
      <w:pPr>
        <w:pStyle w:val="Zkladntext1"/>
        <w:spacing w:after="260"/>
      </w:pPr>
      <w:r>
        <w:t>Zapsaná v rejstříku veřejných výzkumných institucí u MŠMT</w:t>
      </w:r>
    </w:p>
    <w:p w14:paraId="4BD16C2C" w14:textId="77777777" w:rsidR="009716A6" w:rsidRDefault="00591A2A">
      <w:pPr>
        <w:pStyle w:val="Zkladntext1"/>
      </w:pPr>
      <w:r>
        <w:t>(dále jen „vykonavatel")</w:t>
      </w:r>
    </w:p>
    <w:p w14:paraId="3C2FA788" w14:textId="77777777" w:rsidR="009716A6" w:rsidRDefault="00591A2A">
      <w:pPr>
        <w:pStyle w:val="Zkladntext1"/>
        <w:spacing w:after="260"/>
      </w:pPr>
      <w:r>
        <w:t>Společně též jako „Smluvní strany" či jednotlivě jako „Smluvní strana"</w:t>
      </w:r>
    </w:p>
    <w:p w14:paraId="0B3AD431" w14:textId="77777777" w:rsidR="009716A6" w:rsidRDefault="00591A2A">
      <w:pPr>
        <w:pStyle w:val="Nadpis10"/>
        <w:keepNext/>
        <w:keepLines/>
        <w:spacing w:after="0"/>
      </w:pPr>
      <w:bookmarkStart w:id="6" w:name="bookmark8"/>
      <w:r>
        <w:t>Článek II.</w:t>
      </w:r>
      <w:bookmarkEnd w:id="6"/>
    </w:p>
    <w:p w14:paraId="6AEB0FB9" w14:textId="77777777" w:rsidR="009716A6" w:rsidRDefault="00591A2A">
      <w:pPr>
        <w:pStyle w:val="Nadpis10"/>
        <w:keepNext/>
        <w:keepLines/>
      </w:pPr>
      <w:bookmarkStart w:id="7" w:name="bookmark6"/>
      <w:bookmarkStart w:id="8" w:name="bookmark7"/>
      <w:bookmarkStart w:id="9" w:name="bookmark9"/>
      <w:r>
        <w:t>Předmět smlouvy</w:t>
      </w:r>
      <w:bookmarkEnd w:id="7"/>
      <w:bookmarkEnd w:id="8"/>
      <w:bookmarkEnd w:id="9"/>
    </w:p>
    <w:p w14:paraId="56C727B0" w14:textId="23FE8C58" w:rsidR="009716A6" w:rsidRDefault="00591A2A">
      <w:pPr>
        <w:pStyle w:val="Zkladntext1"/>
        <w:spacing w:after="260"/>
        <w:jc w:val="both"/>
      </w:pPr>
      <w:r>
        <w:t xml:space="preserve">Touto smlouvou se vykonavatel zavazuje vykonávat pro objednatele funkci externího bezpečnostního poradce dle pododdílu 1.8.3 Evropské dohody o silniční přepravě nebezpečných věcí ADR (dále jen „dohoda ADR") zveřejněné ve vyhlášce č. 64/1987 Sb. v platném znění příloh A </w:t>
      </w:r>
      <w:proofErr w:type="spellStart"/>
      <w:r>
        <w:t>a</w:t>
      </w:r>
      <w:proofErr w:type="spellEnd"/>
      <w:r>
        <w:t xml:space="preserve"> B ve znění změn, které vstoupily v platnost na základě článku 14 odst. 3 Dohody ADR dne 1. ledna 2021 a tímto dnem vstoupily v platnost i pro Českou republiku. Vykonavatel tímto pro objednatele zajistí splnění povinností podle zákona č. 111/1994 Sb. o silniční dopravě § 23 odst. 1, písm. h); § 23 odst. 2, písm. m); § 23 odst. 3, písm. a). V souladu s ustanovením 1.8.</w:t>
      </w:r>
      <w:r w:rsidRPr="009236CB">
        <w:t>3</w:t>
      </w:r>
      <w:r>
        <w:t>.</w:t>
      </w:r>
      <w:r w:rsidRPr="009236CB">
        <w:t>3</w:t>
      </w:r>
      <w:r>
        <w:t xml:space="preserve"> dohody ADR je hlavním úkolem vykonavatele, při zachování odpovědnosti vedoucího objednatele, snažit se všemi vhodnými prostředky a opatřeními v mezích příslušných činností objednatele usnadnit provádění těchto činností v souladu </w:t>
      </w:r>
      <w:r w:rsidRPr="009236CB">
        <w:t>s</w:t>
      </w:r>
      <w:r w:rsidR="009236CB" w:rsidRPr="009236CB">
        <w:t xml:space="preserve"> </w:t>
      </w:r>
      <w:r w:rsidRPr="009236CB">
        <w:t>p</w:t>
      </w:r>
      <w:r>
        <w:t>latnými předpisy a co nejbezpečnějším způsobem. Objednatel se zavazuje zaplatit za činnost blíže specifikovanou touto smlouvou sjednanou odměnu.</w:t>
      </w:r>
    </w:p>
    <w:p w14:paraId="314A71F7" w14:textId="77777777" w:rsidR="009716A6" w:rsidRDefault="00591A2A">
      <w:pPr>
        <w:pStyle w:val="Zkladntext1"/>
        <w:spacing w:after="120"/>
      </w:pPr>
      <w:r>
        <w:t>Předmětem této smlouvy je vykonání následujících prací:</w:t>
      </w:r>
    </w:p>
    <w:p w14:paraId="1002E135" w14:textId="77777777" w:rsidR="009716A6" w:rsidRDefault="00591A2A">
      <w:pPr>
        <w:pStyle w:val="Zkladntext1"/>
        <w:numPr>
          <w:ilvl w:val="0"/>
          <w:numId w:val="1"/>
        </w:numPr>
        <w:tabs>
          <w:tab w:val="left" w:pos="392"/>
        </w:tabs>
        <w:ind w:left="420" w:hanging="420"/>
        <w:jc w:val="both"/>
      </w:pPr>
      <w:bookmarkStart w:id="10" w:name="bookmark10"/>
      <w:bookmarkEnd w:id="10"/>
      <w:r>
        <w:t>Za účelem naplnění předmětu smlouvy bude provádět vykonavatel pro objednatele následující činnosti:</w:t>
      </w:r>
    </w:p>
    <w:p w14:paraId="598664E0" w14:textId="77777777" w:rsidR="009716A6" w:rsidRDefault="00591A2A">
      <w:pPr>
        <w:pStyle w:val="Zkladntext1"/>
        <w:numPr>
          <w:ilvl w:val="0"/>
          <w:numId w:val="2"/>
        </w:numPr>
        <w:tabs>
          <w:tab w:val="left" w:pos="1087"/>
        </w:tabs>
        <w:ind w:left="1080" w:hanging="400"/>
        <w:jc w:val="both"/>
      </w:pPr>
      <w:bookmarkStart w:id="11" w:name="bookmark11"/>
      <w:bookmarkEnd w:id="11"/>
      <w:r w:rsidRPr="009236CB">
        <w:t xml:space="preserve">posouzení stavu a navržení případných změn a nastavení činností </w:t>
      </w:r>
      <w:r>
        <w:t>v oblasti přepravy nebezpečných věcí v souladu s platnými právními předpisy (min. 2x za kalendářní rok formou písemné zprávy předané objednateli vždy do 30. 6. příslušného kalendářního roku a do 15. 12. příslušného kalendářního roku),</w:t>
      </w:r>
    </w:p>
    <w:p w14:paraId="13D8CF2D" w14:textId="11777D8B" w:rsidR="009716A6" w:rsidRDefault="00591A2A">
      <w:pPr>
        <w:pStyle w:val="Zkladntext1"/>
        <w:numPr>
          <w:ilvl w:val="0"/>
          <w:numId w:val="2"/>
        </w:numPr>
        <w:tabs>
          <w:tab w:val="left" w:pos="1087"/>
        </w:tabs>
        <w:spacing w:after="260"/>
        <w:ind w:left="1080" w:hanging="400"/>
        <w:jc w:val="both"/>
      </w:pPr>
      <w:bookmarkStart w:id="12" w:name="bookmark12"/>
      <w:bookmarkEnd w:id="12"/>
      <w:r w:rsidRPr="009236CB">
        <w:t xml:space="preserve">telefonické/emailové konzultace </w:t>
      </w:r>
      <w:r>
        <w:t xml:space="preserve">v oblasti přepravy nebezpečných věcí na telefonním čísle </w:t>
      </w:r>
      <w:proofErr w:type="spellStart"/>
      <w:r w:rsidR="009236CB">
        <w:t>xxxxxxxx</w:t>
      </w:r>
      <w:proofErr w:type="spellEnd"/>
      <w:r>
        <w:t xml:space="preserve">, e-mailu: </w:t>
      </w:r>
      <w:hyperlink r:id="rId8" w:history="1">
        <w:proofErr w:type="spellStart"/>
        <w:r w:rsidR="009236CB" w:rsidRPr="009236CB">
          <w:t>xxxxxxxx</w:t>
        </w:r>
        <w:proofErr w:type="spellEnd"/>
      </w:hyperlink>
      <w:r>
        <w:t xml:space="preserve"> (max. rozsah 10 hod./kalendářní rok),</w:t>
      </w:r>
    </w:p>
    <w:p w14:paraId="7F90B71A" w14:textId="77777777" w:rsidR="009716A6" w:rsidRDefault="00591A2A">
      <w:pPr>
        <w:pStyle w:val="Zkladntext1"/>
        <w:spacing w:after="260" w:line="252" w:lineRule="auto"/>
        <w:ind w:left="1080" w:hanging="400"/>
        <w:jc w:val="both"/>
      </w:pPr>
      <w:r>
        <w:t xml:space="preserve">c) </w:t>
      </w:r>
      <w:r>
        <w:rPr>
          <w:b/>
          <w:bCs/>
        </w:rPr>
        <w:t xml:space="preserve">vypracování výroční zprávy </w:t>
      </w:r>
      <w:r>
        <w:t>o činnostech týkajících se přepravy nebezpečných věcí (za každý kalendářní rok, předané objednateli vždy do 31. 1. následujícího kalendářního roku).</w:t>
      </w:r>
    </w:p>
    <w:p w14:paraId="6DCD64C4" w14:textId="77777777" w:rsidR="009716A6" w:rsidRDefault="00591A2A">
      <w:pPr>
        <w:pStyle w:val="Zkladntext1"/>
        <w:numPr>
          <w:ilvl w:val="0"/>
          <w:numId w:val="1"/>
        </w:numPr>
        <w:tabs>
          <w:tab w:val="left" w:pos="401"/>
        </w:tabs>
        <w:spacing w:line="252" w:lineRule="auto"/>
        <w:ind w:left="420" w:hanging="420"/>
        <w:jc w:val="both"/>
      </w:pPr>
      <w:bookmarkStart w:id="13" w:name="bookmark13"/>
      <w:bookmarkEnd w:id="13"/>
      <w:r>
        <w:t xml:space="preserve">Za účelem naplnění předmětu smlouvy bude provádět vykonavatel pro objednatele </w:t>
      </w:r>
      <w:r>
        <w:rPr>
          <w:b/>
          <w:bCs/>
        </w:rPr>
        <w:t xml:space="preserve">po vzájemné dohodě </w:t>
      </w:r>
      <w:r>
        <w:t>následující činnosti:</w:t>
      </w:r>
    </w:p>
    <w:p w14:paraId="7B9FAB03" w14:textId="0A184DEB" w:rsidR="009716A6" w:rsidRDefault="00591A2A" w:rsidP="009236CB">
      <w:pPr>
        <w:pStyle w:val="Zkladntext1"/>
        <w:numPr>
          <w:ilvl w:val="0"/>
          <w:numId w:val="9"/>
        </w:numPr>
        <w:spacing w:line="252" w:lineRule="auto"/>
        <w:jc w:val="both"/>
      </w:pPr>
      <w:r>
        <w:rPr>
          <w:b/>
          <w:bCs/>
        </w:rPr>
        <w:lastRenderedPageBreak/>
        <w:t xml:space="preserve">zpracování firemních směrnic, </w:t>
      </w:r>
      <w:r>
        <w:t>včetně zpracování přesných pracovních postupů pro jednotlivé pracovní pozice, které se podílí na přepravě nebezpečných věcí (každý rok aktualizace),</w:t>
      </w:r>
    </w:p>
    <w:p w14:paraId="37707D03" w14:textId="35B60C4D" w:rsidR="009716A6" w:rsidRDefault="00591A2A" w:rsidP="009236CB">
      <w:pPr>
        <w:pStyle w:val="Zkladntext1"/>
        <w:numPr>
          <w:ilvl w:val="0"/>
          <w:numId w:val="9"/>
        </w:numPr>
        <w:spacing w:line="252" w:lineRule="auto"/>
        <w:jc w:val="both"/>
      </w:pPr>
      <w:r>
        <w:rPr>
          <w:b/>
          <w:bCs/>
        </w:rPr>
        <w:t xml:space="preserve">vypracování zprávy o nehodě </w:t>
      </w:r>
      <w:r>
        <w:t>dle pododdílu 1.8.</w:t>
      </w:r>
      <w:r w:rsidRPr="009236CB">
        <w:t>3</w:t>
      </w:r>
      <w:r>
        <w:t>.</w:t>
      </w:r>
      <w:r w:rsidRPr="009236CB">
        <w:t>6</w:t>
      </w:r>
      <w:r>
        <w:t xml:space="preserve"> dohody ADR, pokud taková nehoda nastane,</w:t>
      </w:r>
    </w:p>
    <w:p w14:paraId="7178BDB8" w14:textId="1CA2F608" w:rsidR="009716A6" w:rsidRDefault="00591A2A" w:rsidP="009236CB">
      <w:pPr>
        <w:pStyle w:val="Zkladntext1"/>
        <w:numPr>
          <w:ilvl w:val="0"/>
          <w:numId w:val="9"/>
        </w:numPr>
        <w:spacing w:line="252" w:lineRule="auto"/>
        <w:jc w:val="both"/>
      </w:pPr>
      <w:r>
        <w:rPr>
          <w:b/>
          <w:bCs/>
        </w:rPr>
        <w:t xml:space="preserve">vypracování bezpečnostního plánu </w:t>
      </w:r>
      <w:r>
        <w:t>pro vysoce rizikové věci podle pododdílu 1.10.3.2 dohody ADR, pokud vznikne povinnost bezpečnostní plán vypracovat (překročení limitů v oddílu 1.10.5 dohody ADR),</w:t>
      </w:r>
    </w:p>
    <w:p w14:paraId="40132FAF" w14:textId="0DC17D01" w:rsidR="009716A6" w:rsidRDefault="00591A2A" w:rsidP="009236CB">
      <w:pPr>
        <w:pStyle w:val="Zkladntext1"/>
        <w:numPr>
          <w:ilvl w:val="0"/>
          <w:numId w:val="9"/>
        </w:numPr>
        <w:spacing w:after="260" w:line="252" w:lineRule="auto"/>
        <w:jc w:val="both"/>
      </w:pPr>
      <w:r>
        <w:rPr>
          <w:b/>
          <w:bCs/>
        </w:rPr>
        <w:t xml:space="preserve">další konzultační služby v oblasti přepravy nebezpečných věcí, </w:t>
      </w:r>
      <w:r>
        <w:t>na kterých dojde k oboustranné shodě nad rámec uvedených.</w:t>
      </w:r>
    </w:p>
    <w:p w14:paraId="3B191F85" w14:textId="7D757ABC" w:rsidR="009716A6" w:rsidRDefault="00591A2A">
      <w:pPr>
        <w:pStyle w:val="Zkladntext1"/>
        <w:numPr>
          <w:ilvl w:val="0"/>
          <w:numId w:val="1"/>
        </w:numPr>
        <w:tabs>
          <w:tab w:val="left" w:pos="401"/>
        </w:tabs>
        <w:spacing w:line="254" w:lineRule="auto"/>
        <w:ind w:left="420" w:hanging="420"/>
        <w:jc w:val="both"/>
      </w:pPr>
      <w:bookmarkStart w:id="14" w:name="bookmark14"/>
      <w:bookmarkEnd w:id="14"/>
      <w:r>
        <w:t xml:space="preserve">Činnosti uvedené v článku II odst. 2 je vykonavatel oprávněn vykonat až po vzájemné, písemně odsouhlasené dohodě obou Smluvních stran. Email určený pro potvrzení ze strany vykonavatele: </w:t>
      </w:r>
      <w:hyperlink r:id="rId9" w:history="1">
        <w:proofErr w:type="spellStart"/>
        <w:r w:rsidR="009236CB" w:rsidRPr="009236CB">
          <w:t>xxxxxxx</w:t>
        </w:r>
        <w:proofErr w:type="spellEnd"/>
      </w:hyperlink>
      <w:r w:rsidRPr="009236CB">
        <w:t xml:space="preserve">. </w:t>
      </w:r>
      <w:r>
        <w:t>Jiný způsob odsouhlasení provedení činností uvedených v č</w:t>
      </w:r>
      <w:r w:rsidRPr="009236CB">
        <w:t>l</w:t>
      </w:r>
      <w:r>
        <w:t>. II odst. 2 této Smlouvy je možný pouze po vzájemné, písemně odsouhlasené dohodě Smluvních stran.</w:t>
      </w:r>
    </w:p>
    <w:p w14:paraId="4DDB0E14" w14:textId="77777777" w:rsidR="009716A6" w:rsidRDefault="00591A2A">
      <w:pPr>
        <w:pStyle w:val="Zkladntext1"/>
        <w:numPr>
          <w:ilvl w:val="0"/>
          <w:numId w:val="1"/>
        </w:numPr>
        <w:tabs>
          <w:tab w:val="left" w:pos="401"/>
        </w:tabs>
        <w:spacing w:line="254" w:lineRule="auto"/>
      </w:pPr>
      <w:bookmarkStart w:id="15" w:name="bookmark15"/>
      <w:bookmarkEnd w:id="15"/>
      <w:r>
        <w:t>Objednatel je povinen poskytnout vykonavateli následující součinnost pro plnění smlouvy:</w:t>
      </w:r>
    </w:p>
    <w:p w14:paraId="727BB8C2" w14:textId="77777777" w:rsidR="00F167A2" w:rsidRDefault="00591A2A" w:rsidP="009236CB">
      <w:pPr>
        <w:pStyle w:val="Zkladntext1"/>
        <w:numPr>
          <w:ilvl w:val="0"/>
          <w:numId w:val="9"/>
        </w:numPr>
        <w:spacing w:line="254" w:lineRule="auto"/>
      </w:pPr>
      <w:r>
        <w:t xml:space="preserve">zajištění styčné osoby pro komunikaci, </w:t>
      </w:r>
    </w:p>
    <w:p w14:paraId="3975EE33" w14:textId="77777777" w:rsidR="00F167A2" w:rsidRDefault="00591A2A" w:rsidP="009236CB">
      <w:pPr>
        <w:pStyle w:val="Zkladntext1"/>
        <w:numPr>
          <w:ilvl w:val="0"/>
          <w:numId w:val="9"/>
        </w:numPr>
        <w:spacing w:line="254" w:lineRule="auto"/>
      </w:pPr>
      <w:r>
        <w:t xml:space="preserve">umožnění kontroly přepravních dokladů nebezpečných věcí, </w:t>
      </w:r>
    </w:p>
    <w:p w14:paraId="67B7EA28" w14:textId="0F6BE67C" w:rsidR="009716A6" w:rsidRDefault="00591A2A" w:rsidP="009236CB">
      <w:pPr>
        <w:pStyle w:val="Zkladntext1"/>
        <w:numPr>
          <w:ilvl w:val="0"/>
          <w:numId w:val="9"/>
        </w:numPr>
        <w:spacing w:line="254" w:lineRule="auto"/>
      </w:pPr>
      <w:r>
        <w:t>umožnění kontroly systému školení zaměstnanců,</w:t>
      </w:r>
    </w:p>
    <w:p w14:paraId="159EF905" w14:textId="41B7C7FE" w:rsidR="009716A6" w:rsidRDefault="00591A2A" w:rsidP="009236CB">
      <w:pPr>
        <w:pStyle w:val="Zkladntext1"/>
        <w:numPr>
          <w:ilvl w:val="0"/>
          <w:numId w:val="9"/>
        </w:numPr>
        <w:spacing w:after="260" w:line="254" w:lineRule="auto"/>
        <w:jc w:val="both"/>
      </w:pPr>
      <w:r>
        <w:t>umožnění přístupu do místa skladování, balení a odesílání nebezpečných věcí za účelem kontroly v doprovodu styčné osoby pro komunikaci.</w:t>
      </w:r>
    </w:p>
    <w:p w14:paraId="0EC3EB4B" w14:textId="77777777" w:rsidR="009716A6" w:rsidRDefault="00591A2A">
      <w:pPr>
        <w:pStyle w:val="Nadpis10"/>
        <w:keepNext/>
        <w:keepLines/>
        <w:spacing w:after="0" w:line="252" w:lineRule="auto"/>
      </w:pPr>
      <w:bookmarkStart w:id="16" w:name="bookmark18"/>
      <w:r>
        <w:t xml:space="preserve">Článek </w:t>
      </w:r>
      <w:r w:rsidRPr="00F167A2">
        <w:t>I</w:t>
      </w:r>
      <w:r>
        <w:t>I</w:t>
      </w:r>
      <w:r w:rsidRPr="00F167A2">
        <w:t>I</w:t>
      </w:r>
      <w:r>
        <w:t>.</w:t>
      </w:r>
      <w:bookmarkEnd w:id="16"/>
    </w:p>
    <w:p w14:paraId="0D2651C0" w14:textId="77777777" w:rsidR="009716A6" w:rsidRDefault="00591A2A">
      <w:pPr>
        <w:pStyle w:val="Nadpis10"/>
        <w:keepNext/>
        <w:keepLines/>
        <w:spacing w:line="252" w:lineRule="auto"/>
      </w:pPr>
      <w:bookmarkStart w:id="17" w:name="bookmark16"/>
      <w:bookmarkStart w:id="18" w:name="bookmark17"/>
      <w:bookmarkStart w:id="19" w:name="bookmark19"/>
      <w:r>
        <w:t>Doba a místo plnění</w:t>
      </w:r>
      <w:bookmarkEnd w:id="17"/>
      <w:bookmarkEnd w:id="18"/>
      <w:bookmarkEnd w:id="19"/>
    </w:p>
    <w:p w14:paraId="121ADA64" w14:textId="77777777" w:rsidR="009716A6" w:rsidRDefault="00591A2A">
      <w:pPr>
        <w:pStyle w:val="Zkladntext1"/>
        <w:numPr>
          <w:ilvl w:val="0"/>
          <w:numId w:val="3"/>
        </w:numPr>
        <w:tabs>
          <w:tab w:val="left" w:pos="401"/>
        </w:tabs>
      </w:pPr>
      <w:bookmarkStart w:id="20" w:name="bookmark20"/>
      <w:bookmarkEnd w:id="20"/>
      <w:r>
        <w:t>Tato smlouva se uzavírá na období od 1. ledna 2022 na dobu neurčitou.</w:t>
      </w:r>
    </w:p>
    <w:p w14:paraId="2B38E52D" w14:textId="77777777" w:rsidR="009716A6" w:rsidRDefault="00591A2A">
      <w:pPr>
        <w:pStyle w:val="Zkladntext1"/>
        <w:numPr>
          <w:ilvl w:val="0"/>
          <w:numId w:val="3"/>
        </w:numPr>
        <w:tabs>
          <w:tab w:val="left" w:pos="401"/>
        </w:tabs>
        <w:spacing w:after="260"/>
        <w:ind w:left="420" w:hanging="420"/>
        <w:jc w:val="both"/>
      </w:pPr>
      <w:bookmarkStart w:id="21" w:name="bookmark21"/>
      <w:bookmarkEnd w:id="21"/>
      <w:r>
        <w:t xml:space="preserve">Místo výkonu </w:t>
      </w:r>
      <w:proofErr w:type="gramStart"/>
      <w:r>
        <w:t>práce - osobní</w:t>
      </w:r>
      <w:proofErr w:type="gramEnd"/>
      <w:r>
        <w:t xml:space="preserve"> kontrola a posouzení stavu přepravy nebezpečných věcí v areálu společnosti ELKOV elektro a. s., IČ: 26279690, na adrese Kšírova 701/255, 619 00 Brno, ostatní pracovní čas je místo výkonu práce Brno.</w:t>
      </w:r>
    </w:p>
    <w:p w14:paraId="40BCC7B0" w14:textId="77777777" w:rsidR="009716A6" w:rsidRDefault="00591A2A">
      <w:pPr>
        <w:pStyle w:val="Nadpis10"/>
        <w:keepNext/>
        <w:keepLines/>
        <w:spacing w:line="252" w:lineRule="auto"/>
      </w:pPr>
      <w:bookmarkStart w:id="22" w:name="bookmark22"/>
      <w:bookmarkStart w:id="23" w:name="bookmark23"/>
      <w:bookmarkStart w:id="24" w:name="bookmark24"/>
      <w:r>
        <w:t>Článek IV.</w:t>
      </w:r>
      <w:r>
        <w:br/>
        <w:t>Cena a sankce</w:t>
      </w:r>
      <w:bookmarkEnd w:id="22"/>
      <w:bookmarkEnd w:id="23"/>
      <w:bookmarkEnd w:id="24"/>
    </w:p>
    <w:p w14:paraId="25458AB3" w14:textId="77777777" w:rsidR="009716A6" w:rsidRDefault="00591A2A">
      <w:pPr>
        <w:pStyle w:val="Zkladntext1"/>
        <w:numPr>
          <w:ilvl w:val="0"/>
          <w:numId w:val="4"/>
        </w:numPr>
        <w:tabs>
          <w:tab w:val="left" w:pos="401"/>
        </w:tabs>
        <w:ind w:left="420" w:hanging="420"/>
        <w:jc w:val="both"/>
      </w:pPr>
      <w:bookmarkStart w:id="25" w:name="bookmark25"/>
      <w:bookmarkEnd w:id="25"/>
      <w:r>
        <w:t>Za vykonání činností dle článku II. odstavce 1 této Smlouvy se sjednává souhrnná odměna za všechny činnosti ve výši 25 000 Kč bez DPH, výše DPH 5 250 Kč, 30 250 Kč vč. DPH.</w:t>
      </w:r>
    </w:p>
    <w:p w14:paraId="77E6ADBF" w14:textId="77777777" w:rsidR="009716A6" w:rsidRDefault="00591A2A">
      <w:pPr>
        <w:pStyle w:val="Zkladntext1"/>
        <w:numPr>
          <w:ilvl w:val="0"/>
          <w:numId w:val="4"/>
        </w:numPr>
        <w:tabs>
          <w:tab w:val="left" w:pos="401"/>
        </w:tabs>
        <w:ind w:left="420" w:hanging="420"/>
        <w:jc w:val="both"/>
      </w:pPr>
      <w:bookmarkStart w:id="26" w:name="bookmark26"/>
      <w:bookmarkEnd w:id="26"/>
      <w:r>
        <w:t>Za každou hodinu výkonu některé z činnosti uvedené v článku II. odstavce 2 této Smlouvy se sjednává odměna ve výši 853,00 Kč bez DPH za hodinu, výše DPH 179,13 Kč, 1 032,13 Kč vč. DPH.</w:t>
      </w:r>
    </w:p>
    <w:p w14:paraId="67A4657B" w14:textId="77777777" w:rsidR="009716A6" w:rsidRDefault="00591A2A">
      <w:pPr>
        <w:pStyle w:val="Zkladntext1"/>
        <w:numPr>
          <w:ilvl w:val="0"/>
          <w:numId w:val="4"/>
        </w:numPr>
        <w:tabs>
          <w:tab w:val="left" w:pos="401"/>
        </w:tabs>
        <w:ind w:left="420" w:hanging="420"/>
        <w:jc w:val="both"/>
      </w:pPr>
      <w:bookmarkStart w:id="27" w:name="bookmark27"/>
      <w:bookmarkEnd w:id="27"/>
      <w:r>
        <w:t>V případě výpovědi smlouvy dle článku VI. této Smlouvy je objednatel povinen zaplatit poměrnou částku sjednané ceny v odstavci 1.</w:t>
      </w:r>
    </w:p>
    <w:p w14:paraId="28D60B82" w14:textId="77777777" w:rsidR="009716A6" w:rsidRDefault="00591A2A">
      <w:pPr>
        <w:pStyle w:val="Zkladntext1"/>
        <w:numPr>
          <w:ilvl w:val="0"/>
          <w:numId w:val="4"/>
        </w:numPr>
        <w:tabs>
          <w:tab w:val="left" w:pos="401"/>
        </w:tabs>
        <w:ind w:left="420" w:hanging="420"/>
        <w:jc w:val="both"/>
      </w:pPr>
      <w:bookmarkStart w:id="28" w:name="bookmark28"/>
      <w:bookmarkEnd w:id="28"/>
      <w:r>
        <w:t>Finanční vyrovnání vzájemných závazků jsou Smluvní strany povinny učinit nejpozději do 20 kalendářních dnů ode dne ukončení smlouvy.</w:t>
      </w:r>
    </w:p>
    <w:p w14:paraId="36843C50" w14:textId="27CFA9B8" w:rsidR="009716A6" w:rsidRDefault="00591A2A">
      <w:pPr>
        <w:pStyle w:val="Zkladntext1"/>
        <w:numPr>
          <w:ilvl w:val="0"/>
          <w:numId w:val="4"/>
        </w:numPr>
        <w:tabs>
          <w:tab w:val="left" w:pos="401"/>
        </w:tabs>
        <w:ind w:left="420" w:hanging="420"/>
        <w:jc w:val="both"/>
      </w:pPr>
      <w:bookmarkStart w:id="29" w:name="bookmark29"/>
      <w:bookmarkEnd w:id="29"/>
      <w:r>
        <w:t xml:space="preserve">Platby dle této smlouvy budou provedeny na základě faktury, kterou vystaví vykonavatel na základě písemného předávacího protokolu potvrzeného objednatelem, který bude přílohou faktury. Faktura musí obsahovat náležitosti daňového dokladu stanovené právními předpisy. V případě, že faktura nebude obsahovat stanovené náležitosti, je objednatel povinen zaslat ji ve </w:t>
      </w:r>
      <w:r w:rsidR="00F167A2">
        <w:t>l</w:t>
      </w:r>
      <w:r>
        <w:t>hůtě splatnosti zhotoviteli k</w:t>
      </w:r>
      <w:r>
        <w:rPr>
          <w:shd w:val="clear" w:color="auto" w:fill="80FFFF"/>
        </w:rPr>
        <w:t xml:space="preserve"> </w:t>
      </w:r>
      <w:r>
        <w:t>doplnění, aniž se tak dostane do prodlení. Lhůta splatnosti počíná běžet znovu od opětovného doručení náležitě doplněné či opravené faktury.</w:t>
      </w:r>
    </w:p>
    <w:p w14:paraId="0A0AAAD9" w14:textId="45251492" w:rsidR="009716A6" w:rsidRDefault="00591A2A">
      <w:pPr>
        <w:pStyle w:val="Zkladntext1"/>
        <w:numPr>
          <w:ilvl w:val="0"/>
          <w:numId w:val="4"/>
        </w:numPr>
        <w:tabs>
          <w:tab w:val="left" w:pos="410"/>
        </w:tabs>
        <w:jc w:val="both"/>
      </w:pPr>
      <w:bookmarkStart w:id="30" w:name="bookmark30"/>
      <w:bookmarkEnd w:id="30"/>
      <w:r>
        <w:t xml:space="preserve">Smluvní strany se dohodly na </w:t>
      </w:r>
      <w:r w:rsidR="00F167A2">
        <w:t>l</w:t>
      </w:r>
      <w:r>
        <w:t>hůtě splatnosti 30 dní po doručení faktury.</w:t>
      </w:r>
    </w:p>
    <w:p w14:paraId="5648FBE1" w14:textId="77777777" w:rsidR="009716A6" w:rsidRDefault="00591A2A">
      <w:pPr>
        <w:pStyle w:val="Zkladntext1"/>
        <w:numPr>
          <w:ilvl w:val="0"/>
          <w:numId w:val="4"/>
        </w:numPr>
        <w:tabs>
          <w:tab w:val="left" w:pos="410"/>
        </w:tabs>
        <w:ind w:left="400" w:hanging="400"/>
        <w:jc w:val="both"/>
      </w:pPr>
      <w:bookmarkStart w:id="31" w:name="bookmark31"/>
      <w:bookmarkEnd w:id="31"/>
      <w:r>
        <w:t xml:space="preserve">Pro případ prodlení objednatele s platbou zavazuje se objednatel uhradit vykonavateli smluvní úrok z prodlení ve výši 0,5 </w:t>
      </w:r>
      <w:r w:rsidRPr="00F167A2">
        <w:t>%</w:t>
      </w:r>
      <w:r>
        <w:t xml:space="preserve"> z dlužné částky za každý započatý den prodlení.</w:t>
      </w:r>
    </w:p>
    <w:p w14:paraId="48F3D7A8" w14:textId="33295C58" w:rsidR="009716A6" w:rsidRDefault="00591A2A">
      <w:pPr>
        <w:pStyle w:val="Zkladntext1"/>
        <w:numPr>
          <w:ilvl w:val="0"/>
          <w:numId w:val="4"/>
        </w:numPr>
        <w:tabs>
          <w:tab w:val="left" w:pos="410"/>
        </w:tabs>
        <w:ind w:left="400" w:hanging="400"/>
        <w:jc w:val="both"/>
      </w:pPr>
      <w:bookmarkStart w:id="32" w:name="bookmark32"/>
      <w:bookmarkEnd w:id="32"/>
      <w:r>
        <w:t>Pro případ prodlení vykonavatele s předáním písemné zprávy o posouzení stavu a navržených případných změn dle čl. II. odst. 1. písm. a) a/nebo výroční zprávy dle č</w:t>
      </w:r>
      <w:r w:rsidR="00F167A2" w:rsidRPr="00F167A2">
        <w:t>l</w:t>
      </w:r>
      <w:r>
        <w:t xml:space="preserve">. II. odst. 1. písm. c), a to v termínu dle čl. </w:t>
      </w:r>
      <w:r w:rsidRPr="00F167A2">
        <w:t>I</w:t>
      </w:r>
      <w:r>
        <w:t xml:space="preserve">I. odst. 1., zavazuje se vykonavatel uhradit objednateli smluvní pokutu ve výši 0,5 % z částky </w:t>
      </w:r>
      <w:proofErr w:type="gramStart"/>
      <w:r>
        <w:t>25.000,-</w:t>
      </w:r>
      <w:proofErr w:type="gramEnd"/>
      <w:r>
        <w:t xml:space="preserve"> Kč za každý započatý den prodlení.</w:t>
      </w:r>
    </w:p>
    <w:p w14:paraId="4DA5179B" w14:textId="77777777" w:rsidR="009716A6" w:rsidRDefault="00591A2A">
      <w:pPr>
        <w:pStyle w:val="Zkladntext1"/>
        <w:numPr>
          <w:ilvl w:val="0"/>
          <w:numId w:val="4"/>
        </w:numPr>
        <w:tabs>
          <w:tab w:val="left" w:pos="410"/>
        </w:tabs>
        <w:jc w:val="both"/>
      </w:pPr>
      <w:bookmarkStart w:id="33" w:name="bookmark33"/>
      <w:bookmarkEnd w:id="33"/>
      <w:r>
        <w:t xml:space="preserve">Pro smluvní </w:t>
      </w:r>
      <w:r w:rsidRPr="00F167A2">
        <w:t>ú</w:t>
      </w:r>
      <w:r>
        <w:t>rok/smluvní pokuty uvedené v této smlouvě platí následující:</w:t>
      </w:r>
    </w:p>
    <w:p w14:paraId="51876B67" w14:textId="77777777" w:rsidR="009716A6" w:rsidRDefault="00591A2A">
      <w:pPr>
        <w:pStyle w:val="Zkladntext1"/>
        <w:numPr>
          <w:ilvl w:val="0"/>
          <w:numId w:val="5"/>
        </w:numPr>
        <w:tabs>
          <w:tab w:val="left" w:pos="962"/>
        </w:tabs>
        <w:ind w:left="960" w:hanging="340"/>
        <w:jc w:val="both"/>
      </w:pPr>
      <w:bookmarkStart w:id="34" w:name="bookmark34"/>
      <w:bookmarkEnd w:id="34"/>
      <w:r>
        <w:t>smluvní úrok/smluvní pokuta je splatná 10. dnem ode dne doručení oznámení oprávněné strany o vzniku povinnosti zaplatit smluvní pokutu povinné straně,</w:t>
      </w:r>
    </w:p>
    <w:p w14:paraId="53301CF1" w14:textId="77777777" w:rsidR="009716A6" w:rsidRDefault="00591A2A">
      <w:pPr>
        <w:pStyle w:val="Zkladntext1"/>
        <w:numPr>
          <w:ilvl w:val="0"/>
          <w:numId w:val="5"/>
        </w:numPr>
        <w:tabs>
          <w:tab w:val="left" w:pos="962"/>
        </w:tabs>
        <w:ind w:left="960" w:hanging="340"/>
        <w:jc w:val="both"/>
      </w:pPr>
      <w:bookmarkStart w:id="35" w:name="bookmark35"/>
      <w:bookmarkEnd w:id="35"/>
      <w:r>
        <w:t xml:space="preserve">smluvní úrok/smluvní pokuta nevylučuje ani neomezuje nárok poškozené strany na náhradu </w:t>
      </w:r>
      <w:r>
        <w:lastRenderedPageBreak/>
        <w:t>škody,</w:t>
      </w:r>
    </w:p>
    <w:p w14:paraId="77D3312C" w14:textId="77777777" w:rsidR="009716A6" w:rsidRDefault="00591A2A">
      <w:pPr>
        <w:pStyle w:val="Zkladntext1"/>
        <w:numPr>
          <w:ilvl w:val="0"/>
          <w:numId w:val="5"/>
        </w:numPr>
        <w:tabs>
          <w:tab w:val="left" w:pos="962"/>
        </w:tabs>
        <w:ind w:left="960" w:hanging="340"/>
        <w:jc w:val="both"/>
      </w:pPr>
      <w:bookmarkStart w:id="36" w:name="bookmark36"/>
      <w:bookmarkEnd w:id="36"/>
      <w:r>
        <w:t>závazek k úhradě smluvního úroku/smluvní pokuty trvá, i když porušením smluvní povinnosti zajištěné smluvním úrokem/smluvní pokutou nevznikla škoda,</w:t>
      </w:r>
    </w:p>
    <w:p w14:paraId="7C126D33" w14:textId="77777777" w:rsidR="009716A6" w:rsidRDefault="00591A2A">
      <w:pPr>
        <w:pStyle w:val="Zkladntext1"/>
        <w:numPr>
          <w:ilvl w:val="0"/>
          <w:numId w:val="5"/>
        </w:numPr>
        <w:tabs>
          <w:tab w:val="left" w:pos="962"/>
        </w:tabs>
        <w:ind w:left="960" w:hanging="340"/>
        <w:jc w:val="both"/>
      </w:pPr>
      <w:bookmarkStart w:id="37" w:name="bookmark37"/>
      <w:bookmarkEnd w:id="37"/>
      <w:r>
        <w:t>závazek plnit povinnost, jejíž splnění bylo zajištěno smluvním úrokem/smluvní pokutou, trvá i po zaplacení smluvního úroku/smluvní pokuty, pokud se strany ad hoc nedohodnou jinak,</w:t>
      </w:r>
    </w:p>
    <w:p w14:paraId="69F4466B" w14:textId="77777777" w:rsidR="009716A6" w:rsidRDefault="00591A2A">
      <w:pPr>
        <w:pStyle w:val="Zkladntext1"/>
        <w:numPr>
          <w:ilvl w:val="0"/>
          <w:numId w:val="5"/>
        </w:numPr>
        <w:tabs>
          <w:tab w:val="left" w:pos="962"/>
        </w:tabs>
        <w:spacing w:after="520"/>
        <w:ind w:left="960" w:hanging="340"/>
        <w:jc w:val="both"/>
      </w:pPr>
      <w:bookmarkStart w:id="38" w:name="bookmark38"/>
      <w:bookmarkEnd w:id="38"/>
      <w:r>
        <w:t>zánik této smlouvy se nedotýká nároku na zaplacení smluvního úroku/smluvní pokuty vzniklého před zánikem smlouvy, tj. nároky na smluvní úrok/smluvní pokutu a zaplacení smluvního úroku/smluvní pokuty trvají i po ukončení smlouvy.</w:t>
      </w:r>
    </w:p>
    <w:p w14:paraId="5B3E71AD" w14:textId="77777777" w:rsidR="009716A6" w:rsidRDefault="00591A2A">
      <w:pPr>
        <w:pStyle w:val="Nadpis10"/>
        <w:keepNext/>
        <w:keepLines/>
        <w:spacing w:after="0"/>
      </w:pPr>
      <w:bookmarkStart w:id="39" w:name="bookmark41"/>
      <w:r>
        <w:t>Článek V.</w:t>
      </w:r>
      <w:bookmarkEnd w:id="39"/>
    </w:p>
    <w:p w14:paraId="059BEEE4" w14:textId="77777777" w:rsidR="009716A6" w:rsidRDefault="00591A2A">
      <w:pPr>
        <w:pStyle w:val="Nadpis10"/>
        <w:keepNext/>
        <w:keepLines/>
      </w:pPr>
      <w:bookmarkStart w:id="40" w:name="bookmark39"/>
      <w:bookmarkStart w:id="41" w:name="bookmark40"/>
      <w:bookmarkStart w:id="42" w:name="bookmark42"/>
      <w:r>
        <w:t>Doložka vis maior</w:t>
      </w:r>
      <w:bookmarkEnd w:id="40"/>
      <w:bookmarkEnd w:id="41"/>
      <w:bookmarkEnd w:id="42"/>
    </w:p>
    <w:p w14:paraId="4A2849AA" w14:textId="2C06F88E" w:rsidR="009716A6" w:rsidRDefault="00591A2A">
      <w:pPr>
        <w:pStyle w:val="Zkladntext1"/>
        <w:numPr>
          <w:ilvl w:val="0"/>
          <w:numId w:val="6"/>
        </w:numPr>
        <w:tabs>
          <w:tab w:val="left" w:pos="410"/>
        </w:tabs>
        <w:ind w:left="400" w:hanging="400"/>
        <w:jc w:val="both"/>
      </w:pPr>
      <w:bookmarkStart w:id="43" w:name="bookmark43"/>
      <w:bookmarkEnd w:id="43"/>
      <w:r>
        <w:t xml:space="preserve">Pro účely smlouvy se za okolnosti vyšší moci, které mohou mít vliv na sjednaný termín dokončení předmětu plnění v předem stanoveném termínu považují mimořádné, objektivně neodvratitelné okolnosti, znemožňující splnění povinnosti dle této smlouvy, které nastaly po uzavření této smlouvy a nemohou být smluvní stranou odvráceny jako např. </w:t>
      </w:r>
      <w:proofErr w:type="gramStart"/>
      <w:r>
        <w:t>živelné</w:t>
      </w:r>
      <w:proofErr w:type="gramEnd"/>
      <w:r>
        <w:t xml:space="preserve"> pohromy, stávky, válka, mobilizace, povstání nebo jiné nepředvídané a neodvratitelné události. Mezi vyšší moc se řadí i zpřísnění mimořádných/ochranných/vládních opatření ČR proti šíření nemoci covid-19 či jiné světové pandemie. 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w:t>
      </w:r>
      <w:r w:rsidR="00F167A2">
        <w:t>l</w:t>
      </w:r>
      <w:r>
        <w:t xml:space="preserve">hůtě nejpozději 7 kalendářních dnů od vzniku a 7 kalendářních dnů od jejího ukončení. Nedodržení této </w:t>
      </w:r>
      <w:r w:rsidRPr="00F167A2">
        <w:t>l</w:t>
      </w:r>
      <w:r>
        <w:t>hůty má za následek zánik práva dovolávat se okolnosti vyšší moci.</w:t>
      </w:r>
    </w:p>
    <w:p w14:paraId="069ED860" w14:textId="77777777" w:rsidR="009716A6" w:rsidRDefault="00591A2A">
      <w:pPr>
        <w:pStyle w:val="Zkladntext1"/>
        <w:numPr>
          <w:ilvl w:val="0"/>
          <w:numId w:val="6"/>
        </w:numPr>
        <w:tabs>
          <w:tab w:val="left" w:pos="410"/>
        </w:tabs>
        <w:ind w:left="400" w:hanging="400"/>
        <w:jc w:val="both"/>
      </w:pPr>
      <w:bookmarkStart w:id="44" w:name="bookmark44"/>
      <w:bookmarkEnd w:id="44"/>
      <w:r>
        <w:t>Povinnosti smluvních stran dané touto smlouvou se po dobu trvání okolnosti vyšší moci dočasně přerušují.</w:t>
      </w:r>
    </w:p>
    <w:p w14:paraId="16DF97A5" w14:textId="0F177E25" w:rsidR="009716A6" w:rsidRDefault="00591A2A">
      <w:pPr>
        <w:pStyle w:val="Zkladntext1"/>
        <w:numPr>
          <w:ilvl w:val="0"/>
          <w:numId w:val="6"/>
        </w:numPr>
        <w:tabs>
          <w:tab w:val="left" w:pos="410"/>
        </w:tabs>
        <w:ind w:left="400" w:hanging="400"/>
        <w:jc w:val="both"/>
      </w:pPr>
      <w:bookmarkStart w:id="45" w:name="bookmark45"/>
      <w:bookmarkEnd w:id="45"/>
      <w:r>
        <w:t>Pokud se plnění této smlouvy stane nemožné vlivem zásahu vyšší moci, smluvní strany se dohodnou na odpovídající změně této smlouvy ve vztahu k předmětu, ceně a době plnění dodatkem k této smlouvě. Nedojde-</w:t>
      </w:r>
      <w:r w:rsidRPr="00F167A2">
        <w:t>l</w:t>
      </w:r>
      <w:r>
        <w:t>i k dohodě, je kterákoliv smluvní strana oprávněna jednostranným prohlášením zaslaným doporučeným dopisem druhé smluvní straně odstoupit od této smlouvy.</w:t>
      </w:r>
    </w:p>
    <w:p w14:paraId="134F151B" w14:textId="77777777" w:rsidR="00757A9C" w:rsidRDefault="00757A9C" w:rsidP="00757A9C">
      <w:pPr>
        <w:pStyle w:val="Zkladntext1"/>
        <w:tabs>
          <w:tab w:val="left" w:pos="410"/>
        </w:tabs>
        <w:ind w:left="400"/>
        <w:jc w:val="both"/>
      </w:pPr>
    </w:p>
    <w:p w14:paraId="1AC95455" w14:textId="77777777" w:rsidR="009716A6" w:rsidRDefault="00591A2A">
      <w:pPr>
        <w:pStyle w:val="Nadpis10"/>
        <w:keepNext/>
        <w:keepLines/>
      </w:pPr>
      <w:bookmarkStart w:id="46" w:name="bookmark46"/>
      <w:bookmarkStart w:id="47" w:name="bookmark47"/>
      <w:bookmarkStart w:id="48" w:name="bookmark48"/>
      <w:r>
        <w:t>Článek VI.</w:t>
      </w:r>
      <w:r>
        <w:br/>
        <w:t>Způsoby ukončení smlouvy</w:t>
      </w:r>
      <w:bookmarkEnd w:id="46"/>
      <w:bookmarkEnd w:id="47"/>
      <w:bookmarkEnd w:id="48"/>
    </w:p>
    <w:p w14:paraId="38B50DFB" w14:textId="77777777" w:rsidR="009716A6" w:rsidRDefault="00591A2A">
      <w:pPr>
        <w:pStyle w:val="Zkladntext1"/>
        <w:numPr>
          <w:ilvl w:val="0"/>
          <w:numId w:val="7"/>
        </w:numPr>
        <w:tabs>
          <w:tab w:val="left" w:pos="410"/>
        </w:tabs>
        <w:jc w:val="both"/>
      </w:pPr>
      <w:bookmarkStart w:id="49" w:name="bookmark49"/>
      <w:bookmarkEnd w:id="49"/>
      <w:r>
        <w:t>Tuto smlouvu je možné ukončit:</w:t>
      </w:r>
    </w:p>
    <w:p w14:paraId="72CE1F95" w14:textId="77777777" w:rsidR="00F152D5" w:rsidRDefault="00591A2A" w:rsidP="00F152D5">
      <w:pPr>
        <w:pStyle w:val="Zkladntext1"/>
        <w:spacing w:line="252" w:lineRule="auto"/>
        <w:ind w:left="700"/>
        <w:jc w:val="both"/>
      </w:pPr>
      <w:r>
        <w:t>a) dohodou smluvních stran ke sjednanému dni,</w:t>
      </w:r>
      <w:r w:rsidR="00F152D5" w:rsidRPr="00F152D5">
        <w:t xml:space="preserve"> </w:t>
      </w:r>
    </w:p>
    <w:p w14:paraId="49B12134" w14:textId="692CB2A4" w:rsidR="00F152D5" w:rsidRDefault="00F152D5" w:rsidP="00F152D5">
      <w:pPr>
        <w:pStyle w:val="Zkladntext1"/>
        <w:spacing w:line="252" w:lineRule="auto"/>
        <w:ind w:left="700"/>
        <w:jc w:val="both"/>
      </w:pPr>
      <w:r>
        <w:t xml:space="preserve">b) jednostranně výpovědí objednatele nebo vykonavatele z jakéhokoliv důvodu nebo bez uvedení důvodu s </w:t>
      </w:r>
      <w:proofErr w:type="gramStart"/>
      <w:r>
        <w:t>15-ti denní</w:t>
      </w:r>
      <w:proofErr w:type="gramEnd"/>
      <w:r>
        <w:t xml:space="preserve"> výpovědní dobou, která začíná běžet dnem, v němž byla výpověď doručena druhé smluvní straně.</w:t>
      </w:r>
    </w:p>
    <w:p w14:paraId="2B53B4FD" w14:textId="77777777" w:rsidR="00F152D5" w:rsidRDefault="00F152D5" w:rsidP="00F152D5">
      <w:pPr>
        <w:pStyle w:val="Zkladntext1"/>
        <w:numPr>
          <w:ilvl w:val="0"/>
          <w:numId w:val="7"/>
        </w:numPr>
        <w:tabs>
          <w:tab w:val="left" w:pos="402"/>
        </w:tabs>
        <w:spacing w:after="500" w:line="252" w:lineRule="auto"/>
        <w:ind w:left="400" w:hanging="400"/>
        <w:jc w:val="both"/>
      </w:pPr>
      <w:bookmarkStart w:id="50" w:name="bookmark50"/>
      <w:bookmarkEnd w:id="50"/>
      <w:r>
        <w:t xml:space="preserve">V případě, že ani jedna smluvní strana nevypoví smlouvu, zůstává v platnosti podle článku </w:t>
      </w:r>
      <w:r w:rsidRPr="00C7382E">
        <w:t>I</w:t>
      </w:r>
      <w:r>
        <w:t>I</w:t>
      </w:r>
      <w:r w:rsidRPr="00C7382E">
        <w:t xml:space="preserve">I </w:t>
      </w:r>
      <w:r>
        <w:t>odstavce 1.</w:t>
      </w:r>
    </w:p>
    <w:p w14:paraId="4553135E" w14:textId="77777777" w:rsidR="00F152D5" w:rsidRDefault="00F152D5" w:rsidP="00F152D5">
      <w:pPr>
        <w:pStyle w:val="Nadpis10"/>
        <w:keepNext/>
        <w:keepLines/>
        <w:spacing w:after="0"/>
      </w:pPr>
      <w:bookmarkStart w:id="51" w:name="bookmark53"/>
      <w:r>
        <w:t>Článek VI.</w:t>
      </w:r>
      <w:bookmarkEnd w:id="51"/>
    </w:p>
    <w:p w14:paraId="1F1AE59A" w14:textId="77777777" w:rsidR="00F152D5" w:rsidRDefault="00F152D5" w:rsidP="00F152D5">
      <w:pPr>
        <w:pStyle w:val="Nadpis10"/>
        <w:keepNext/>
        <w:keepLines/>
      </w:pPr>
      <w:bookmarkStart w:id="52" w:name="bookmark51"/>
      <w:bookmarkStart w:id="53" w:name="bookmark52"/>
      <w:bookmarkStart w:id="54" w:name="bookmark54"/>
      <w:r>
        <w:t>Závěrečná ustanovení</w:t>
      </w:r>
      <w:bookmarkEnd w:id="52"/>
      <w:bookmarkEnd w:id="53"/>
      <w:bookmarkEnd w:id="54"/>
    </w:p>
    <w:p w14:paraId="65E7005D" w14:textId="77777777" w:rsidR="00F152D5" w:rsidRDefault="00F152D5" w:rsidP="00F152D5">
      <w:pPr>
        <w:pStyle w:val="Zkladntext1"/>
        <w:numPr>
          <w:ilvl w:val="0"/>
          <w:numId w:val="8"/>
        </w:numPr>
        <w:tabs>
          <w:tab w:val="left" w:pos="402"/>
        </w:tabs>
        <w:ind w:left="400" w:hanging="400"/>
        <w:jc w:val="both"/>
      </w:pPr>
      <w:bookmarkStart w:id="55" w:name="bookmark55"/>
      <w:bookmarkEnd w:id="55"/>
      <w:r>
        <w:t>Tato smlouva je vyhotovena v takovém počtu stejnopisů, aby každá smluvní strana obdržela po jednom vyhotovení. V případě, že je smlouva uzavírána elektronicky za využití uznávaných elektronických podpisů, postačí jedno vyhotovení Smlouvy, na kterém jsou zaznamenány uznávané elektronické podpisy zástupců Smluvních stran.</w:t>
      </w:r>
    </w:p>
    <w:p w14:paraId="6A05CB32" w14:textId="77777777" w:rsidR="00F152D5" w:rsidRDefault="00F152D5" w:rsidP="00F152D5">
      <w:pPr>
        <w:pStyle w:val="Zkladntext1"/>
        <w:numPr>
          <w:ilvl w:val="0"/>
          <w:numId w:val="8"/>
        </w:numPr>
        <w:tabs>
          <w:tab w:val="left" w:pos="402"/>
        </w:tabs>
        <w:ind w:left="400" w:hanging="400"/>
        <w:jc w:val="both"/>
      </w:pPr>
      <w:bookmarkStart w:id="56" w:name="bookmark56"/>
      <w:bookmarkEnd w:id="56"/>
      <w:r>
        <w:t>Tato smlouva může být měněna či doplňována pouze písemnými, oboustranně dohodnutými, postupně očíslovanými dodatky, které musí být podepsány oprávněnými zástupci obou Smluvních stran a stávají se nedílnou součástí této smlouvy.</w:t>
      </w:r>
    </w:p>
    <w:p w14:paraId="7B512E14" w14:textId="77777777" w:rsidR="00F152D5" w:rsidRDefault="00F152D5" w:rsidP="00F152D5">
      <w:pPr>
        <w:pStyle w:val="Zkladntext1"/>
        <w:numPr>
          <w:ilvl w:val="0"/>
          <w:numId w:val="8"/>
        </w:numPr>
        <w:tabs>
          <w:tab w:val="left" w:pos="402"/>
        </w:tabs>
        <w:ind w:left="400" w:hanging="400"/>
        <w:jc w:val="both"/>
      </w:pPr>
      <w:bookmarkStart w:id="57" w:name="bookmark57"/>
      <w:bookmarkEnd w:id="57"/>
      <w:r>
        <w:t>Tato smlouva nabývá platnosti dnem podpisu smlouvy oběma smluvními stranami a účinnosti dnem 1. 1. 2022 či okamžikem vložení Smlouvy do registru smluv, podle toho, která skutečnost nastane později.</w:t>
      </w:r>
    </w:p>
    <w:p w14:paraId="7461AB33" w14:textId="77777777" w:rsidR="00F152D5" w:rsidRDefault="00F152D5" w:rsidP="00F152D5">
      <w:pPr>
        <w:pStyle w:val="Zkladntext1"/>
        <w:numPr>
          <w:ilvl w:val="0"/>
          <w:numId w:val="8"/>
        </w:numPr>
        <w:tabs>
          <w:tab w:val="left" w:pos="402"/>
        </w:tabs>
        <w:ind w:left="400" w:hanging="400"/>
        <w:jc w:val="both"/>
      </w:pPr>
      <w:bookmarkStart w:id="58" w:name="bookmark58"/>
      <w:bookmarkEnd w:id="58"/>
      <w:r>
        <w:t>Smluvní strany berou na vědomí, že tato smlouva, podléhá uveřejnění v registru smluv ve smyslu zákona č. 340/2015 Sb., o zvláštních podmínkách účinnosti některých smluv, uveřejňování těchto smluv a o registru smluv, ve znění pozdějších předpisů.</w:t>
      </w:r>
    </w:p>
    <w:p w14:paraId="61F1C022" w14:textId="77777777" w:rsidR="00F152D5" w:rsidRDefault="00F152D5" w:rsidP="00F152D5">
      <w:pPr>
        <w:pStyle w:val="Zkladntext1"/>
        <w:numPr>
          <w:ilvl w:val="0"/>
          <w:numId w:val="8"/>
        </w:numPr>
        <w:tabs>
          <w:tab w:val="left" w:pos="402"/>
        </w:tabs>
        <w:jc w:val="both"/>
      </w:pPr>
      <w:bookmarkStart w:id="59" w:name="bookmark59"/>
      <w:bookmarkEnd w:id="59"/>
      <w:r>
        <w:t>Uveřejnění v registru smluv zajišťuje vykonavatel.</w:t>
      </w:r>
    </w:p>
    <w:p w14:paraId="1264B4E4" w14:textId="77777777" w:rsidR="00F152D5" w:rsidRDefault="00F152D5" w:rsidP="00F152D5">
      <w:pPr>
        <w:pStyle w:val="Zkladntext1"/>
        <w:numPr>
          <w:ilvl w:val="0"/>
          <w:numId w:val="8"/>
        </w:numPr>
        <w:tabs>
          <w:tab w:val="left" w:pos="402"/>
        </w:tabs>
        <w:ind w:left="400" w:hanging="400"/>
        <w:jc w:val="both"/>
      </w:pPr>
      <w:bookmarkStart w:id="60" w:name="bookmark60"/>
      <w:bookmarkEnd w:id="60"/>
      <w:r>
        <w:t xml:space="preserve">Smluvní strany výslovně prohlašují, že údaje a další skutečnosti uvedené v této smlouvě, vyjma částí </w:t>
      </w:r>
      <w:r>
        <w:lastRenderedPageBreak/>
        <w:t>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zákona č. 340/2015 Sb. v platném znění.</w:t>
      </w:r>
    </w:p>
    <w:p w14:paraId="3C7C4ED1" w14:textId="77777777" w:rsidR="00F152D5" w:rsidRDefault="00F152D5" w:rsidP="00F152D5">
      <w:pPr>
        <w:pStyle w:val="Zkladntext1"/>
        <w:numPr>
          <w:ilvl w:val="0"/>
          <w:numId w:val="8"/>
        </w:numPr>
        <w:tabs>
          <w:tab w:val="left" w:pos="402"/>
        </w:tabs>
        <w:ind w:left="400" w:hanging="400"/>
        <w:jc w:val="both"/>
      </w:pPr>
      <w:bookmarkStart w:id="61" w:name="bookmark61"/>
      <w:bookmarkEnd w:id="61"/>
      <w:r>
        <w:t>Smluvní strany se dále dohodly, že veškeré údaje, dokumenty, sdělení a informace (dále též společně „informace"), které získají na základě této smlouvy od druhé smluvní strany nebo, se kterými se v souvislosti s plněním této smlouvy seznámí, a které odpovídají svým charakterem obchodnímu tajemství event. jsou označeny Smluvní stranou jako důvěrné, budou udržovat v tajnosti a chránit je před zneužitím nebo prozrazením s</w:t>
      </w:r>
      <w:r w:rsidRPr="0076682C">
        <w:t xml:space="preserve"> </w:t>
      </w:r>
      <w:r>
        <w:t xml:space="preserve">výjimkou, pokud si tyto informace vyžádá např. soud, orgány činné v </w:t>
      </w:r>
      <w:proofErr w:type="spellStart"/>
      <w:r>
        <w:t>tr</w:t>
      </w:r>
      <w:proofErr w:type="spellEnd"/>
      <w:r>
        <w:t>. řízení či orgány státní správy a samosprávy. Smluvní strany jsou povinny zachovávat důvěrné informace v tajnosti a chránit je před zneužitím nebo prozrazením i po skončení smluvního vztahu, a to po dobu, po kterou trvají skutečnosti obchodní tajemství tvořící. Této povinnosti může být druhá smluvní strana zproštěna pouze písemným prohlášením druhé smluvní strany.</w:t>
      </w:r>
    </w:p>
    <w:p w14:paraId="07E8866A" w14:textId="77777777" w:rsidR="00F152D5" w:rsidRDefault="00F152D5" w:rsidP="00F152D5">
      <w:pPr>
        <w:pStyle w:val="Zkladntext1"/>
        <w:numPr>
          <w:ilvl w:val="0"/>
          <w:numId w:val="8"/>
        </w:numPr>
        <w:tabs>
          <w:tab w:val="left" w:pos="402"/>
        </w:tabs>
        <w:ind w:left="400" w:hanging="400"/>
        <w:jc w:val="both"/>
      </w:pPr>
      <w:bookmarkStart w:id="62" w:name="bookmark62"/>
      <w:bookmarkEnd w:id="62"/>
      <w:r>
        <w:t>Smluvní strany výslovně uvádějí, že tato smlouva neobsahuje jejich obchodní tajemství, ani utajované skutečnosti ve smyslu předešlého odstavce.</w:t>
      </w:r>
    </w:p>
    <w:p w14:paraId="7E7945DA" w14:textId="77777777" w:rsidR="00F152D5" w:rsidRDefault="00F152D5" w:rsidP="00F152D5">
      <w:pPr>
        <w:pStyle w:val="Zkladntext1"/>
        <w:numPr>
          <w:ilvl w:val="0"/>
          <w:numId w:val="8"/>
        </w:numPr>
        <w:tabs>
          <w:tab w:val="left" w:pos="402"/>
        </w:tabs>
        <w:ind w:left="400" w:hanging="400"/>
        <w:jc w:val="both"/>
      </w:pPr>
      <w:bookmarkStart w:id="63" w:name="bookmark63"/>
      <w:bookmarkEnd w:id="63"/>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zákonu č. 340/2015 Sb. v platném znění, a to bez ohledu na to, která ze stran smlouvu v registru smluv uveřejnila. S částmi smlouvy, které druhá Smluvní strana neoznačí za své obchodní tajemství před uzavřením této smlouvy, nebude jako s obchodním tajemstvím nakládat a ani odpovídat za případnou škodu či jinou újmu takovým postupem vzniklou. Označením obchodního tajemství ve smyslu předchozí věty se rozumí výslovné uvedení v této smlouvě obsahující přesnou identifikaci dotčených částí smlouvy včetně odůvodnění, proč jsou za obchodní tajemství považovány. Každá Smluvní strana je povinna výslovně uvést, že informace, které označila jako své obchodní tajemství, naplňují současně všechny definiční znaky obchodního tajemství, tak jak je vymezeno v ustanovení § 504 občanského zákoníku.</w:t>
      </w:r>
    </w:p>
    <w:p w14:paraId="0D79C8FD" w14:textId="77777777" w:rsidR="00F152D5" w:rsidRDefault="00F152D5" w:rsidP="00F152D5">
      <w:pPr>
        <w:pStyle w:val="Zkladntext1"/>
        <w:numPr>
          <w:ilvl w:val="0"/>
          <w:numId w:val="8"/>
        </w:numPr>
        <w:tabs>
          <w:tab w:val="left" w:pos="396"/>
        </w:tabs>
        <w:ind w:left="420" w:hanging="420"/>
        <w:jc w:val="both"/>
      </w:pPr>
      <w:bookmarkStart w:id="64" w:name="bookmark64"/>
      <w:bookmarkEnd w:id="64"/>
      <w:r>
        <w:t>Osoby podepisující tuto Smlouvu za Smluvní strany souhlasí s uveřejněním svých osobních údajů, které jsou uvedeny v této Smlouvě, spolu se Smlouvou v registru smluv. Tento souhlas je udělen na dobu neurčitou.</w:t>
      </w:r>
    </w:p>
    <w:p w14:paraId="14205114" w14:textId="77777777" w:rsidR="00F152D5" w:rsidRDefault="00F152D5" w:rsidP="00F152D5">
      <w:pPr>
        <w:pStyle w:val="Zkladntext1"/>
        <w:numPr>
          <w:ilvl w:val="0"/>
          <w:numId w:val="8"/>
        </w:numPr>
        <w:tabs>
          <w:tab w:val="left" w:pos="396"/>
        </w:tabs>
        <w:spacing w:after="520"/>
      </w:pPr>
      <w:bookmarkStart w:id="65" w:name="bookmark65"/>
      <w:bookmarkEnd w:id="65"/>
      <w:r>
        <w:t>Smluvní strany souhlasí se zněním výše uvedené smlouvy a na důkaz toho připojují své podpisy.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79"/>
        <w:gridCol w:w="4702"/>
      </w:tblGrid>
      <w:tr w:rsidR="00F152D5" w14:paraId="481DCE2A" w14:textId="77777777" w:rsidTr="003E0CD4">
        <w:trPr>
          <w:trHeight w:hRule="exact" w:val="367"/>
          <w:jc w:val="center"/>
        </w:trPr>
        <w:tc>
          <w:tcPr>
            <w:tcW w:w="4079" w:type="dxa"/>
            <w:shd w:val="clear" w:color="auto" w:fill="FFFFFF"/>
          </w:tcPr>
          <w:p w14:paraId="36D32476" w14:textId="77777777" w:rsidR="00F152D5" w:rsidRDefault="00F152D5" w:rsidP="003E0CD4">
            <w:pPr>
              <w:pStyle w:val="Jin0"/>
            </w:pPr>
            <w:r>
              <w:t>V Brně dne</w:t>
            </w:r>
          </w:p>
        </w:tc>
        <w:tc>
          <w:tcPr>
            <w:tcW w:w="4702" w:type="dxa"/>
            <w:shd w:val="clear" w:color="auto" w:fill="FFFFFF"/>
          </w:tcPr>
          <w:p w14:paraId="5D2AA58C" w14:textId="77777777" w:rsidR="00F152D5" w:rsidRDefault="00F152D5" w:rsidP="003E0CD4">
            <w:pPr>
              <w:pStyle w:val="Jin0"/>
              <w:ind w:firstLine="300"/>
              <w:jc w:val="both"/>
            </w:pPr>
            <w:r>
              <w:t>V Brně dne</w:t>
            </w:r>
          </w:p>
        </w:tc>
      </w:tr>
      <w:tr w:rsidR="00F152D5" w14:paraId="060066CE" w14:textId="77777777" w:rsidTr="003E0CD4">
        <w:trPr>
          <w:trHeight w:hRule="exact" w:val="1051"/>
          <w:jc w:val="center"/>
        </w:trPr>
        <w:tc>
          <w:tcPr>
            <w:tcW w:w="4079" w:type="dxa"/>
            <w:shd w:val="clear" w:color="auto" w:fill="FFFFFF"/>
            <w:vAlign w:val="center"/>
          </w:tcPr>
          <w:p w14:paraId="3A7B0716" w14:textId="77777777" w:rsidR="00F152D5" w:rsidRPr="0076682C" w:rsidRDefault="00F152D5" w:rsidP="003E0CD4">
            <w:pPr>
              <w:pStyle w:val="Jin0"/>
              <w:tabs>
                <w:tab w:val="left" w:pos="1722"/>
              </w:tabs>
              <w:ind w:firstLine="300"/>
              <w:rPr>
                <w:rFonts w:asciiTheme="minorHAnsi" w:hAnsiTheme="minorHAnsi" w:cstheme="minorHAnsi"/>
                <w:sz w:val="16"/>
                <w:szCs w:val="16"/>
              </w:rPr>
            </w:pPr>
            <w:r w:rsidRPr="0076682C">
              <w:rPr>
                <w:rFonts w:asciiTheme="minorHAnsi" w:eastAsia="Arial" w:hAnsiTheme="minorHAnsi" w:cstheme="minorHAnsi"/>
                <w:sz w:val="28"/>
                <w:szCs w:val="28"/>
              </w:rPr>
              <w:t>Michal</w:t>
            </w:r>
            <w:r w:rsidRPr="0076682C">
              <w:rPr>
                <w:rFonts w:asciiTheme="minorHAnsi" w:eastAsia="Arial" w:hAnsiTheme="minorHAnsi" w:cstheme="minorHAnsi"/>
                <w:b/>
                <w:bCs/>
                <w:sz w:val="19"/>
                <w:szCs w:val="19"/>
              </w:rPr>
              <w:tab/>
            </w:r>
            <w:r w:rsidRPr="0076682C">
              <w:rPr>
                <w:rFonts w:asciiTheme="minorHAnsi" w:eastAsia="Arial" w:hAnsiTheme="minorHAnsi" w:cstheme="minorHAnsi"/>
                <w:sz w:val="16"/>
                <w:szCs w:val="16"/>
              </w:rPr>
              <w:t>Digitálně podepsal</w:t>
            </w:r>
          </w:p>
          <w:p w14:paraId="1CCBAB10" w14:textId="77777777" w:rsidR="00F152D5" w:rsidRPr="0076682C" w:rsidRDefault="00F152D5" w:rsidP="003E0CD4">
            <w:pPr>
              <w:pStyle w:val="Jin0"/>
              <w:tabs>
                <w:tab w:val="left" w:pos="1729"/>
              </w:tabs>
              <w:spacing w:after="40" w:line="180" w:lineRule="auto"/>
              <w:ind w:firstLine="300"/>
              <w:rPr>
                <w:rFonts w:asciiTheme="minorHAnsi" w:hAnsiTheme="minorHAnsi" w:cstheme="minorHAnsi"/>
                <w:sz w:val="16"/>
                <w:szCs w:val="16"/>
              </w:rPr>
            </w:pPr>
            <w:r w:rsidRPr="0076682C">
              <w:rPr>
                <w:rFonts w:asciiTheme="minorHAnsi" w:eastAsia="Arial" w:hAnsiTheme="minorHAnsi" w:cstheme="minorHAnsi"/>
                <w:b/>
                <w:bCs/>
                <w:sz w:val="19"/>
                <w:szCs w:val="19"/>
              </w:rPr>
              <w:tab/>
            </w:r>
            <w:r w:rsidRPr="0076682C">
              <w:rPr>
                <w:rFonts w:asciiTheme="minorHAnsi" w:eastAsia="Arial" w:hAnsiTheme="minorHAnsi" w:cstheme="minorHAnsi"/>
                <w:sz w:val="16"/>
                <w:szCs w:val="16"/>
              </w:rPr>
              <w:t>Michal Vodička</w:t>
            </w:r>
          </w:p>
          <w:p w14:paraId="4C6E5702" w14:textId="77777777" w:rsidR="00F152D5" w:rsidRPr="0076682C" w:rsidRDefault="00F152D5" w:rsidP="003E0CD4">
            <w:pPr>
              <w:pStyle w:val="Jin0"/>
              <w:tabs>
                <w:tab w:val="left" w:pos="1722"/>
              </w:tabs>
              <w:ind w:firstLine="300"/>
              <w:rPr>
                <w:rFonts w:asciiTheme="minorHAnsi" w:eastAsia="Arial" w:hAnsiTheme="minorHAnsi" w:cstheme="minorHAnsi"/>
                <w:sz w:val="16"/>
                <w:szCs w:val="16"/>
              </w:rPr>
            </w:pPr>
            <w:r w:rsidRPr="0076682C">
              <w:rPr>
                <w:rFonts w:asciiTheme="minorHAnsi" w:eastAsia="Arial" w:hAnsiTheme="minorHAnsi" w:cstheme="minorHAnsi"/>
                <w:sz w:val="16"/>
                <w:szCs w:val="16"/>
              </w:rPr>
              <w:t xml:space="preserve">                                Datum: 2021.12.21</w:t>
            </w:r>
          </w:p>
          <w:p w14:paraId="400CCB88" w14:textId="77777777" w:rsidR="00F152D5" w:rsidRPr="0076682C" w:rsidRDefault="00F152D5" w:rsidP="003E0CD4">
            <w:pPr>
              <w:pStyle w:val="Jin0"/>
              <w:tabs>
                <w:tab w:val="left" w:pos="1718"/>
              </w:tabs>
              <w:spacing w:line="197" w:lineRule="auto"/>
              <w:ind w:firstLine="300"/>
              <w:rPr>
                <w:rFonts w:asciiTheme="minorHAnsi" w:hAnsiTheme="minorHAnsi" w:cstheme="minorHAnsi"/>
                <w:sz w:val="16"/>
                <w:szCs w:val="16"/>
              </w:rPr>
            </w:pPr>
            <w:r w:rsidRPr="0076682C">
              <w:rPr>
                <w:rFonts w:asciiTheme="minorHAnsi" w:eastAsia="Arial" w:hAnsiTheme="minorHAnsi" w:cstheme="minorHAnsi"/>
                <w:sz w:val="28"/>
                <w:szCs w:val="28"/>
              </w:rPr>
              <w:t>Vodička</w:t>
            </w:r>
            <w:r w:rsidRPr="0076682C">
              <w:rPr>
                <w:rFonts w:asciiTheme="minorHAnsi" w:eastAsia="Arial" w:hAnsiTheme="minorHAnsi" w:cstheme="minorHAnsi"/>
                <w:b/>
                <w:bCs/>
                <w:sz w:val="19"/>
                <w:szCs w:val="19"/>
              </w:rPr>
              <w:tab/>
            </w:r>
            <w:r w:rsidRPr="0076682C">
              <w:rPr>
                <w:rFonts w:asciiTheme="minorHAnsi" w:eastAsia="Arial" w:hAnsiTheme="minorHAnsi" w:cstheme="minorHAnsi"/>
                <w:sz w:val="16"/>
                <w:szCs w:val="16"/>
              </w:rPr>
              <w:t>11:07:57+01'00'</w:t>
            </w:r>
          </w:p>
        </w:tc>
        <w:tc>
          <w:tcPr>
            <w:tcW w:w="4702" w:type="dxa"/>
            <w:shd w:val="clear" w:color="auto" w:fill="FFFFFF"/>
            <w:vAlign w:val="center"/>
          </w:tcPr>
          <w:p w14:paraId="45E8F826" w14:textId="77777777" w:rsidR="00F152D5" w:rsidRPr="0076682C" w:rsidRDefault="00F152D5" w:rsidP="003E0CD4">
            <w:pPr>
              <w:pStyle w:val="Jin0"/>
              <w:tabs>
                <w:tab w:val="left" w:pos="1751"/>
                <w:tab w:val="left" w:pos="2212"/>
              </w:tabs>
              <w:ind w:firstLine="880"/>
              <w:rPr>
                <w:rFonts w:asciiTheme="minorHAnsi" w:eastAsia="Segoe UI" w:hAnsiTheme="minorHAnsi" w:cstheme="minorHAnsi"/>
                <w:sz w:val="13"/>
                <w:szCs w:val="13"/>
              </w:rPr>
            </w:pPr>
            <w:r w:rsidRPr="0076682C">
              <w:rPr>
                <w:rFonts w:asciiTheme="minorHAnsi" w:eastAsia="Segoe UI" w:hAnsiTheme="minorHAnsi" w:cstheme="minorHAnsi"/>
                <w:sz w:val="13"/>
                <w:szCs w:val="13"/>
              </w:rPr>
              <w:tab/>
              <w:t>Digitálně podepsal</w:t>
            </w:r>
          </w:p>
          <w:p w14:paraId="1584982F" w14:textId="77777777" w:rsidR="00F152D5" w:rsidRPr="0076682C" w:rsidRDefault="00F152D5" w:rsidP="003E0CD4">
            <w:pPr>
              <w:pStyle w:val="Jin0"/>
              <w:tabs>
                <w:tab w:val="left" w:pos="1751"/>
                <w:tab w:val="left" w:pos="2212"/>
              </w:tabs>
              <w:ind w:firstLine="880"/>
              <w:rPr>
                <w:rFonts w:asciiTheme="minorHAnsi" w:eastAsia="Segoe UI" w:hAnsiTheme="minorHAnsi" w:cstheme="minorHAnsi"/>
                <w:sz w:val="13"/>
                <w:szCs w:val="13"/>
              </w:rPr>
            </w:pPr>
            <w:proofErr w:type="spellStart"/>
            <w:r w:rsidRPr="0076682C">
              <w:rPr>
                <w:rFonts w:asciiTheme="minorHAnsi" w:eastAsia="Segoe UI" w:hAnsiTheme="minorHAnsi" w:cstheme="minorHAnsi"/>
                <w:sz w:val="13"/>
                <w:szCs w:val="13"/>
              </w:rPr>
              <w:t>Xxxxxxxxxxxxxxxxxxxxxxxxxxxxxxxxxxxxxx</w:t>
            </w:r>
            <w:proofErr w:type="spellEnd"/>
          </w:p>
          <w:p w14:paraId="1ACEF667" w14:textId="77777777" w:rsidR="00F152D5" w:rsidRPr="0076682C" w:rsidRDefault="00F152D5" w:rsidP="003E0CD4">
            <w:pPr>
              <w:pStyle w:val="Jin0"/>
              <w:tabs>
                <w:tab w:val="left" w:pos="1751"/>
                <w:tab w:val="left" w:pos="2212"/>
              </w:tabs>
              <w:ind w:firstLine="880"/>
              <w:rPr>
                <w:rFonts w:asciiTheme="minorHAnsi" w:eastAsia="Segoe UI" w:hAnsiTheme="minorHAnsi" w:cstheme="minorHAnsi"/>
                <w:sz w:val="13"/>
                <w:szCs w:val="13"/>
              </w:rPr>
            </w:pPr>
            <w:r>
              <w:rPr>
                <w:rFonts w:asciiTheme="minorHAnsi" w:eastAsia="Segoe UI" w:hAnsiTheme="minorHAnsi" w:cstheme="minorHAnsi"/>
                <w:sz w:val="13"/>
                <w:szCs w:val="13"/>
              </w:rPr>
              <w:t xml:space="preserve">                             </w:t>
            </w:r>
            <w:r w:rsidRPr="0076682C">
              <w:rPr>
                <w:rFonts w:asciiTheme="minorHAnsi" w:eastAsia="Segoe UI" w:hAnsiTheme="minorHAnsi" w:cstheme="minorHAnsi"/>
                <w:sz w:val="13"/>
                <w:szCs w:val="13"/>
              </w:rPr>
              <w:t>Datum: 2021. 12. 21</w:t>
            </w:r>
          </w:p>
          <w:p w14:paraId="10CF9128" w14:textId="77777777" w:rsidR="00F152D5" w:rsidRPr="0076682C" w:rsidRDefault="00F152D5" w:rsidP="003E0CD4">
            <w:pPr>
              <w:pStyle w:val="Jin0"/>
              <w:tabs>
                <w:tab w:val="left" w:pos="1751"/>
                <w:tab w:val="left" w:pos="2212"/>
              </w:tabs>
              <w:ind w:firstLine="880"/>
              <w:rPr>
                <w:rFonts w:asciiTheme="minorHAnsi" w:hAnsiTheme="minorHAnsi" w:cstheme="minorHAnsi"/>
                <w:sz w:val="22"/>
                <w:szCs w:val="22"/>
              </w:rPr>
            </w:pPr>
          </w:p>
        </w:tc>
      </w:tr>
      <w:tr w:rsidR="00F152D5" w14:paraId="7C0F3BB9" w14:textId="77777777" w:rsidTr="003E0CD4">
        <w:trPr>
          <w:trHeight w:hRule="exact" w:val="392"/>
          <w:jc w:val="center"/>
        </w:trPr>
        <w:tc>
          <w:tcPr>
            <w:tcW w:w="4079" w:type="dxa"/>
            <w:tcBorders>
              <w:top w:val="single" w:sz="4" w:space="0" w:color="auto"/>
            </w:tcBorders>
            <w:shd w:val="clear" w:color="auto" w:fill="FFFFFF"/>
            <w:vAlign w:val="center"/>
          </w:tcPr>
          <w:p w14:paraId="587493F3" w14:textId="77777777" w:rsidR="00F152D5" w:rsidRPr="0076682C" w:rsidRDefault="00F152D5" w:rsidP="003E0CD4">
            <w:pPr>
              <w:pStyle w:val="Jin0"/>
              <w:ind w:firstLine="840"/>
              <w:rPr>
                <w:rFonts w:asciiTheme="minorHAnsi" w:hAnsiTheme="minorHAnsi" w:cstheme="minorHAnsi"/>
              </w:rPr>
            </w:pPr>
            <w:r w:rsidRPr="0076682C">
              <w:rPr>
                <w:rFonts w:asciiTheme="minorHAnsi" w:hAnsiTheme="minorHAnsi" w:cstheme="minorHAnsi"/>
              </w:rPr>
              <w:t xml:space="preserve">         ELKOV elektro a. s.</w:t>
            </w:r>
          </w:p>
        </w:tc>
        <w:tc>
          <w:tcPr>
            <w:tcW w:w="4702" w:type="dxa"/>
            <w:tcBorders>
              <w:top w:val="single" w:sz="4" w:space="0" w:color="auto"/>
            </w:tcBorders>
            <w:shd w:val="clear" w:color="auto" w:fill="FFFFFF"/>
            <w:vAlign w:val="center"/>
          </w:tcPr>
          <w:p w14:paraId="0B5CA414" w14:textId="77777777" w:rsidR="00F152D5" w:rsidRPr="0076682C" w:rsidRDefault="00F152D5" w:rsidP="003E0CD4">
            <w:pPr>
              <w:pStyle w:val="Jin0"/>
              <w:ind w:firstLine="600"/>
              <w:rPr>
                <w:rFonts w:asciiTheme="minorHAnsi" w:hAnsiTheme="minorHAnsi" w:cstheme="minorHAnsi"/>
              </w:rPr>
            </w:pPr>
            <w:r w:rsidRPr="0076682C">
              <w:rPr>
                <w:rFonts w:asciiTheme="minorHAnsi" w:hAnsiTheme="minorHAnsi" w:cstheme="minorHAnsi"/>
              </w:rPr>
              <w:t>Centrum dopravního výzkumu, v. v. i.</w:t>
            </w:r>
          </w:p>
        </w:tc>
      </w:tr>
      <w:tr w:rsidR="00F152D5" w14:paraId="217249C0" w14:textId="77777777" w:rsidTr="003E0CD4">
        <w:trPr>
          <w:trHeight w:hRule="exact" w:val="572"/>
          <w:jc w:val="center"/>
        </w:trPr>
        <w:tc>
          <w:tcPr>
            <w:tcW w:w="4079" w:type="dxa"/>
            <w:shd w:val="clear" w:color="auto" w:fill="FFFFFF"/>
            <w:vAlign w:val="bottom"/>
          </w:tcPr>
          <w:p w14:paraId="6F732BB4" w14:textId="77777777" w:rsidR="00F152D5" w:rsidRPr="0076682C" w:rsidRDefault="00F152D5" w:rsidP="003E0CD4">
            <w:pPr>
              <w:pStyle w:val="Jin0"/>
              <w:spacing w:line="254" w:lineRule="auto"/>
              <w:jc w:val="center"/>
              <w:rPr>
                <w:rFonts w:asciiTheme="minorHAnsi" w:hAnsiTheme="minorHAnsi" w:cstheme="minorHAnsi"/>
              </w:rPr>
            </w:pPr>
            <w:r w:rsidRPr="0076682C">
              <w:rPr>
                <w:rFonts w:asciiTheme="minorHAnsi" w:hAnsiTheme="minorHAnsi" w:cstheme="minorHAnsi"/>
              </w:rPr>
              <w:t xml:space="preserve">Michal Vodička </w:t>
            </w:r>
          </w:p>
          <w:p w14:paraId="30609034" w14:textId="77777777" w:rsidR="00F152D5" w:rsidRPr="0076682C" w:rsidRDefault="00F152D5" w:rsidP="003E0CD4">
            <w:pPr>
              <w:pStyle w:val="Jin0"/>
              <w:spacing w:line="254" w:lineRule="auto"/>
              <w:jc w:val="center"/>
              <w:rPr>
                <w:rFonts w:asciiTheme="minorHAnsi" w:hAnsiTheme="minorHAnsi" w:cstheme="minorHAnsi"/>
              </w:rPr>
            </w:pPr>
            <w:r w:rsidRPr="0076682C">
              <w:rPr>
                <w:rFonts w:asciiTheme="minorHAnsi" w:hAnsiTheme="minorHAnsi" w:cstheme="minorHAnsi"/>
              </w:rPr>
              <w:t>předseda představenstva</w:t>
            </w:r>
          </w:p>
        </w:tc>
        <w:tc>
          <w:tcPr>
            <w:tcW w:w="4702" w:type="dxa"/>
            <w:shd w:val="clear" w:color="auto" w:fill="FFFFFF"/>
            <w:vAlign w:val="bottom"/>
          </w:tcPr>
          <w:p w14:paraId="0388DF74" w14:textId="77777777" w:rsidR="00F152D5" w:rsidRPr="0076682C" w:rsidRDefault="00F152D5" w:rsidP="003E0CD4">
            <w:pPr>
              <w:pStyle w:val="Jin0"/>
              <w:spacing w:line="252" w:lineRule="auto"/>
              <w:jc w:val="center"/>
              <w:rPr>
                <w:rFonts w:asciiTheme="minorHAnsi" w:hAnsiTheme="minorHAnsi" w:cstheme="minorHAnsi"/>
              </w:rPr>
            </w:pPr>
            <w:r w:rsidRPr="0076682C">
              <w:rPr>
                <w:rFonts w:asciiTheme="minorHAnsi" w:hAnsiTheme="minorHAnsi" w:cstheme="minorHAnsi"/>
              </w:rPr>
              <w:t>Ing. Jindřich Frič, Ph.D. ředitel instituce</w:t>
            </w:r>
          </w:p>
          <w:p w14:paraId="34F12056" w14:textId="77777777" w:rsidR="00F152D5" w:rsidRPr="0076682C" w:rsidRDefault="00F152D5" w:rsidP="003E0CD4">
            <w:pPr>
              <w:pStyle w:val="Jin0"/>
              <w:spacing w:line="252" w:lineRule="auto"/>
              <w:jc w:val="center"/>
              <w:rPr>
                <w:rFonts w:asciiTheme="minorHAnsi" w:hAnsiTheme="minorHAnsi" w:cstheme="minorHAnsi"/>
              </w:rPr>
            </w:pPr>
          </w:p>
        </w:tc>
      </w:tr>
    </w:tbl>
    <w:p w14:paraId="14E62C81" w14:textId="13C2F99C" w:rsidR="009716A6" w:rsidRDefault="00F152D5" w:rsidP="00F152D5">
      <w:pPr>
        <w:sectPr w:rsidR="009716A6">
          <w:footerReference w:type="even" r:id="rId10"/>
          <w:footerReference w:type="default" r:id="rId11"/>
          <w:pgSz w:w="11900" w:h="16840"/>
          <w:pgMar w:top="652" w:right="1615" w:bottom="1616" w:left="1482" w:header="0" w:footer="3" w:gutter="0"/>
          <w:pgNumType w:start="1"/>
          <w:cols w:space="720"/>
          <w:noEndnote/>
          <w:docGrid w:linePitch="360"/>
        </w:sectPr>
      </w:pPr>
      <w:r>
        <w:t xml:space="preserve">                                          </w:t>
      </w:r>
    </w:p>
    <w:p w14:paraId="5F0FA821" w14:textId="1EC20192" w:rsidR="00F152D5" w:rsidRPr="00F152D5" w:rsidRDefault="00F152D5" w:rsidP="00F152D5">
      <w:pPr>
        <w:tabs>
          <w:tab w:val="left" w:pos="6324"/>
        </w:tabs>
      </w:pPr>
    </w:p>
    <w:sectPr w:rsidR="00F152D5" w:rsidRPr="00F152D5">
      <w:footerReference w:type="even" r:id="rId12"/>
      <w:footerReference w:type="default" r:id="rId13"/>
      <w:pgSz w:w="11900" w:h="16840"/>
      <w:pgMar w:top="652" w:right="1615" w:bottom="1616" w:left="1482" w:header="22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3A697" w14:textId="77777777" w:rsidR="00216E21" w:rsidRDefault="00216E21">
      <w:r>
        <w:separator/>
      </w:r>
    </w:p>
  </w:endnote>
  <w:endnote w:type="continuationSeparator" w:id="0">
    <w:p w14:paraId="6CAD6580" w14:textId="77777777" w:rsidR="00216E21" w:rsidRDefault="0021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0F98" w14:textId="77777777" w:rsidR="009716A6" w:rsidRDefault="00591A2A">
    <w:pPr>
      <w:spacing w:line="1" w:lineRule="exact"/>
    </w:pPr>
    <w:r>
      <w:rPr>
        <w:noProof/>
      </w:rPr>
      <mc:AlternateContent>
        <mc:Choice Requires="wps">
          <w:drawing>
            <wp:anchor distT="0" distB="0" distL="0" distR="0" simplePos="0" relativeHeight="62914692" behindDoc="1" locked="0" layoutInCell="1" allowOverlap="1" wp14:anchorId="11232F07" wp14:editId="0DCFE561">
              <wp:simplePos x="0" y="0"/>
              <wp:positionH relativeFrom="page">
                <wp:posOffset>6436995</wp:posOffset>
              </wp:positionH>
              <wp:positionV relativeFrom="page">
                <wp:posOffset>9730740</wp:posOffset>
              </wp:positionV>
              <wp:extent cx="50165" cy="86995"/>
              <wp:effectExtent l="0" t="0" r="0" b="0"/>
              <wp:wrapNone/>
              <wp:docPr id="4" name="Shape 4"/>
              <wp:cNvGraphicFramePr/>
              <a:graphic xmlns:a="http://schemas.openxmlformats.org/drawingml/2006/main">
                <a:graphicData uri="http://schemas.microsoft.com/office/word/2010/wordprocessingShape">
                  <wps:wsp>
                    <wps:cNvSpPr txBox="1"/>
                    <wps:spPr>
                      <a:xfrm>
                        <a:off x="0" y="0"/>
                        <a:ext cx="50165" cy="86995"/>
                      </a:xfrm>
                      <a:prstGeom prst="rect">
                        <a:avLst/>
                      </a:prstGeom>
                      <a:noFill/>
                    </wps:spPr>
                    <wps:txbx>
                      <w:txbxContent>
                        <w:p w14:paraId="0B5E86E8" w14:textId="77777777" w:rsidR="009716A6" w:rsidRDefault="00591A2A">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w14:anchorId="11232F07" id="_x0000_t202" coordsize="21600,21600" o:spt="202" path="m,l,21600r21600,l21600,xe">
              <v:stroke joinstyle="miter"/>
              <v:path gradientshapeok="t" o:connecttype="rect"/>
            </v:shapetype>
            <v:shape id="Shape 4" o:spid="_x0000_s1027" type="#_x0000_t202" style="position:absolute;margin-left:506.85pt;margin-top:766.2pt;width:3.95pt;height:6.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" filled="f" stroked="f">
              <v:textbox style="mso-fit-shape-to-text:t" inset="0,0,0,0">
                <w:txbxContent>
                  <w:p w14:paraId="0B5E86E8" w14:textId="77777777" w:rsidR="009716A6" w:rsidRDefault="00591A2A">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D181" w14:textId="77777777" w:rsidR="009716A6" w:rsidRDefault="00591A2A">
    <w:pPr>
      <w:spacing w:line="1" w:lineRule="exact"/>
    </w:pPr>
    <w:r>
      <w:rPr>
        <w:noProof/>
      </w:rPr>
      <mc:AlternateContent>
        <mc:Choice Requires="wps">
          <w:drawing>
            <wp:anchor distT="0" distB="0" distL="0" distR="0" simplePos="0" relativeHeight="62914690" behindDoc="1" locked="0" layoutInCell="1" allowOverlap="1" wp14:anchorId="7B9F78CD" wp14:editId="2FEA4403">
              <wp:simplePos x="0" y="0"/>
              <wp:positionH relativeFrom="page">
                <wp:posOffset>6426835</wp:posOffset>
              </wp:positionH>
              <wp:positionV relativeFrom="page">
                <wp:posOffset>9786620</wp:posOffset>
              </wp:positionV>
              <wp:extent cx="48260" cy="82550"/>
              <wp:effectExtent l="0" t="0" r="0" b="0"/>
              <wp:wrapNone/>
              <wp:docPr id="2" name="Shape 2"/>
              <wp:cNvGraphicFramePr/>
              <a:graphic xmlns:a="http://schemas.openxmlformats.org/drawingml/2006/main">
                <a:graphicData uri="http://schemas.microsoft.com/office/word/2010/wordprocessingShape">
                  <wps:wsp>
                    <wps:cNvSpPr txBox="1"/>
                    <wps:spPr>
                      <a:xfrm>
                        <a:off x="0" y="0"/>
                        <a:ext cx="48260" cy="82550"/>
                      </a:xfrm>
                      <a:prstGeom prst="rect">
                        <a:avLst/>
                      </a:prstGeom>
                      <a:noFill/>
                    </wps:spPr>
                    <wps:txbx>
                      <w:txbxContent>
                        <w:p w14:paraId="50DD34B7" w14:textId="77777777" w:rsidR="009716A6" w:rsidRDefault="00591A2A">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w14:anchorId="7B9F78CD" id="_x0000_t202" coordsize="21600,21600" o:spt="202" path="m,l,21600r21600,l21600,xe">
              <v:stroke joinstyle="miter"/>
              <v:path gradientshapeok="t" o:connecttype="rect"/>
            </v:shapetype>
            <v:shape id="Shape 2" o:spid="_x0000_s1028" type="#_x0000_t202" style="position:absolute;margin-left:506.05pt;margin-top:770.6pt;width:3.8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" filled="f" stroked="f">
              <v:textbox style="mso-fit-shape-to-text:t" inset="0,0,0,0">
                <w:txbxContent>
                  <w:p w14:paraId="50DD34B7" w14:textId="77777777" w:rsidR="009716A6" w:rsidRDefault="00591A2A">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DD50" w14:textId="77777777" w:rsidR="009716A6" w:rsidRDefault="00591A2A">
    <w:pPr>
      <w:spacing w:line="1" w:lineRule="exact"/>
    </w:pPr>
    <w:r>
      <w:rPr>
        <w:noProof/>
      </w:rPr>
      <mc:AlternateContent>
        <mc:Choice Requires="wps">
          <w:drawing>
            <wp:anchor distT="0" distB="0" distL="0" distR="0" simplePos="0" relativeHeight="62914696" behindDoc="1" locked="0" layoutInCell="1" allowOverlap="1" wp14:anchorId="49400486" wp14:editId="37FA75ED">
              <wp:simplePos x="0" y="0"/>
              <wp:positionH relativeFrom="page">
                <wp:posOffset>6426835</wp:posOffset>
              </wp:positionH>
              <wp:positionV relativeFrom="page">
                <wp:posOffset>9786620</wp:posOffset>
              </wp:positionV>
              <wp:extent cx="48260" cy="82550"/>
              <wp:effectExtent l="0" t="0" r="0" b="0"/>
              <wp:wrapNone/>
              <wp:docPr id="8" name="Shape 8"/>
              <wp:cNvGraphicFramePr/>
              <a:graphic xmlns:a="http://schemas.openxmlformats.org/drawingml/2006/main">
                <a:graphicData uri="http://schemas.microsoft.com/office/word/2010/wordprocessingShape">
                  <wps:wsp>
                    <wps:cNvSpPr txBox="1"/>
                    <wps:spPr>
                      <a:xfrm>
                        <a:off x="0" y="0"/>
                        <a:ext cx="48260" cy="82550"/>
                      </a:xfrm>
                      <a:prstGeom prst="rect">
                        <a:avLst/>
                      </a:prstGeom>
                      <a:noFill/>
                    </wps:spPr>
                    <wps:txbx>
                      <w:txbxContent>
                        <w:p w14:paraId="31B646C0" w14:textId="77777777" w:rsidR="009716A6" w:rsidRDefault="00591A2A">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w14:anchorId="49400486" id="_x0000_t202" coordsize="21600,21600" o:spt="202" path="m,l,21600r21600,l21600,xe">
              <v:stroke joinstyle="miter"/>
              <v:path gradientshapeok="t" o:connecttype="rect"/>
            </v:shapetype>
            <v:shape id="Shape 8" o:spid="_x0000_s1029" type="#_x0000_t202" style="position:absolute;margin-left:506.05pt;margin-top:770.6pt;width:3.8pt;height:6.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" filled="f" stroked="f">
              <v:textbox style="mso-fit-shape-to-text:t" inset="0,0,0,0">
                <w:txbxContent>
                  <w:p w14:paraId="31B646C0" w14:textId="77777777" w:rsidR="009716A6" w:rsidRDefault="00591A2A">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3C6C" w14:textId="77777777" w:rsidR="009716A6" w:rsidRDefault="00591A2A">
    <w:pPr>
      <w:spacing w:line="1" w:lineRule="exact"/>
    </w:pPr>
    <w:r>
      <w:rPr>
        <w:noProof/>
      </w:rPr>
      <mc:AlternateContent>
        <mc:Choice Requires="wps">
          <w:drawing>
            <wp:anchor distT="0" distB="0" distL="0" distR="0" simplePos="0" relativeHeight="62914694" behindDoc="1" locked="0" layoutInCell="1" allowOverlap="1" wp14:anchorId="1E8AD87F" wp14:editId="4FA039FB">
              <wp:simplePos x="0" y="0"/>
              <wp:positionH relativeFrom="page">
                <wp:posOffset>6426835</wp:posOffset>
              </wp:positionH>
              <wp:positionV relativeFrom="page">
                <wp:posOffset>9786620</wp:posOffset>
              </wp:positionV>
              <wp:extent cx="48260" cy="82550"/>
              <wp:effectExtent l="0" t="0" r="0" b="0"/>
              <wp:wrapNone/>
              <wp:docPr id="6" name="Shape 6"/>
              <wp:cNvGraphicFramePr/>
              <a:graphic xmlns:a="http://schemas.openxmlformats.org/drawingml/2006/main">
                <a:graphicData uri="http://schemas.microsoft.com/office/word/2010/wordprocessingShape">
                  <wps:wsp>
                    <wps:cNvSpPr txBox="1"/>
                    <wps:spPr>
                      <a:xfrm>
                        <a:off x="0" y="0"/>
                        <a:ext cx="48260" cy="82550"/>
                      </a:xfrm>
                      <a:prstGeom prst="rect">
                        <a:avLst/>
                      </a:prstGeom>
                      <a:noFill/>
                    </wps:spPr>
                    <wps:txbx>
                      <w:txbxContent>
                        <w:p w14:paraId="363D4067" w14:textId="77777777" w:rsidR="009716A6" w:rsidRDefault="00591A2A">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wps:txbx>
                    <wps:bodyPr wrap="none" lIns="0" tIns="0" rIns="0" bIns="0">
                      <a:spAutoFit/>
                    </wps:bodyPr>
                  </wps:wsp>
                </a:graphicData>
              </a:graphic>
            </wp:anchor>
          </w:drawing>
        </mc:Choice>
        <mc:Fallback>
          <w:pict>
            <v:shapetype w14:anchorId="1E8AD87F" id="_x0000_t202" coordsize="21600,21600" o:spt="202" path="m,l,21600r21600,l21600,xe">
              <v:stroke joinstyle="miter"/>
              <v:path gradientshapeok="t" o:connecttype="rect"/>
            </v:shapetype>
            <v:shape id="Shape 6" o:spid="_x0000_s1030" type="#_x0000_t202" style="position:absolute;margin-left:506.05pt;margin-top:770.6pt;width:3.8pt;height: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" filled="f" stroked="f">
              <v:textbox style="mso-fit-shape-to-text:t" inset="0,0,0,0">
                <w:txbxContent>
                  <w:p w14:paraId="363D4067" w14:textId="77777777" w:rsidR="009716A6" w:rsidRDefault="00591A2A">
                    <w:pPr>
                      <w:pStyle w:val="Zhlavnebozpat20"/>
                    </w:pPr>
                    <w:r>
                      <w:fldChar w:fldCharType="begin"/>
                    </w:r>
                    <w:r>
                      <w:instrText xml:space="preserve"> PAGE \* MERGEFORMAT </w:instrText>
                    </w:r>
                    <w:r>
                      <w:fldChar w:fldCharType="separate"/>
                    </w:r>
                    <w:r>
                      <w:rPr>
                        <w:rFonts w:ascii="Calibri" w:eastAsia="Calibri" w:hAnsi="Calibri" w:cs="Calibri"/>
                      </w:rPr>
                      <w:t>#</w:t>
                    </w:r>
                    <w:r>
                      <w:rPr>
                        <w:rFonts w:ascii="Calibri" w:eastAsia="Calibri" w:hAnsi="Calibri" w:cs="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0113" w14:textId="77777777" w:rsidR="00216E21" w:rsidRDefault="00216E21"/>
  </w:footnote>
  <w:footnote w:type="continuationSeparator" w:id="0">
    <w:p w14:paraId="016CCA1D" w14:textId="77777777" w:rsidR="00216E21" w:rsidRDefault="00216E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A4E3D"/>
    <w:multiLevelType w:val="multilevel"/>
    <w:tmpl w:val="5B5097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AF53F2"/>
    <w:multiLevelType w:val="multilevel"/>
    <w:tmpl w:val="558434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B10578"/>
    <w:multiLevelType w:val="multilevel"/>
    <w:tmpl w:val="F7B6C9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731145"/>
    <w:multiLevelType w:val="multilevel"/>
    <w:tmpl w:val="78689C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716B09"/>
    <w:multiLevelType w:val="hybridMultilevel"/>
    <w:tmpl w:val="EA263708"/>
    <w:lvl w:ilvl="0" w:tplc="CA48B798">
      <w:start w:val="1"/>
      <w:numFmt w:val="bullet"/>
      <w:lvlText w:val="-"/>
      <w:lvlJc w:val="left"/>
      <w:pPr>
        <w:ind w:left="1460" w:hanging="360"/>
      </w:pPr>
      <w:rPr>
        <w:rFonts w:ascii="Calibri" w:eastAsia="Calibri" w:hAnsi="Calibri" w:cs="Calibri" w:hint="default"/>
        <w:b/>
      </w:rPr>
    </w:lvl>
    <w:lvl w:ilvl="1" w:tplc="04050003" w:tentative="1">
      <w:start w:val="1"/>
      <w:numFmt w:val="bullet"/>
      <w:lvlText w:val="o"/>
      <w:lvlJc w:val="left"/>
      <w:pPr>
        <w:ind w:left="2180" w:hanging="360"/>
      </w:pPr>
      <w:rPr>
        <w:rFonts w:ascii="Courier New" w:hAnsi="Courier New" w:cs="Courier New" w:hint="default"/>
      </w:rPr>
    </w:lvl>
    <w:lvl w:ilvl="2" w:tplc="04050005" w:tentative="1">
      <w:start w:val="1"/>
      <w:numFmt w:val="bullet"/>
      <w:lvlText w:val=""/>
      <w:lvlJc w:val="left"/>
      <w:pPr>
        <w:ind w:left="2900" w:hanging="360"/>
      </w:pPr>
      <w:rPr>
        <w:rFonts w:ascii="Wingdings" w:hAnsi="Wingdings" w:hint="default"/>
      </w:rPr>
    </w:lvl>
    <w:lvl w:ilvl="3" w:tplc="04050001" w:tentative="1">
      <w:start w:val="1"/>
      <w:numFmt w:val="bullet"/>
      <w:lvlText w:val=""/>
      <w:lvlJc w:val="left"/>
      <w:pPr>
        <w:ind w:left="3620" w:hanging="360"/>
      </w:pPr>
      <w:rPr>
        <w:rFonts w:ascii="Symbol" w:hAnsi="Symbol" w:hint="default"/>
      </w:rPr>
    </w:lvl>
    <w:lvl w:ilvl="4" w:tplc="04050003" w:tentative="1">
      <w:start w:val="1"/>
      <w:numFmt w:val="bullet"/>
      <w:lvlText w:val="o"/>
      <w:lvlJc w:val="left"/>
      <w:pPr>
        <w:ind w:left="4340" w:hanging="360"/>
      </w:pPr>
      <w:rPr>
        <w:rFonts w:ascii="Courier New" w:hAnsi="Courier New" w:cs="Courier New" w:hint="default"/>
      </w:rPr>
    </w:lvl>
    <w:lvl w:ilvl="5" w:tplc="04050005" w:tentative="1">
      <w:start w:val="1"/>
      <w:numFmt w:val="bullet"/>
      <w:lvlText w:val=""/>
      <w:lvlJc w:val="left"/>
      <w:pPr>
        <w:ind w:left="5060" w:hanging="360"/>
      </w:pPr>
      <w:rPr>
        <w:rFonts w:ascii="Wingdings" w:hAnsi="Wingdings" w:hint="default"/>
      </w:rPr>
    </w:lvl>
    <w:lvl w:ilvl="6" w:tplc="04050001" w:tentative="1">
      <w:start w:val="1"/>
      <w:numFmt w:val="bullet"/>
      <w:lvlText w:val=""/>
      <w:lvlJc w:val="left"/>
      <w:pPr>
        <w:ind w:left="5780" w:hanging="360"/>
      </w:pPr>
      <w:rPr>
        <w:rFonts w:ascii="Symbol" w:hAnsi="Symbol" w:hint="default"/>
      </w:rPr>
    </w:lvl>
    <w:lvl w:ilvl="7" w:tplc="04050003" w:tentative="1">
      <w:start w:val="1"/>
      <w:numFmt w:val="bullet"/>
      <w:lvlText w:val="o"/>
      <w:lvlJc w:val="left"/>
      <w:pPr>
        <w:ind w:left="6500" w:hanging="360"/>
      </w:pPr>
      <w:rPr>
        <w:rFonts w:ascii="Courier New" w:hAnsi="Courier New" w:cs="Courier New" w:hint="default"/>
      </w:rPr>
    </w:lvl>
    <w:lvl w:ilvl="8" w:tplc="04050005" w:tentative="1">
      <w:start w:val="1"/>
      <w:numFmt w:val="bullet"/>
      <w:lvlText w:val=""/>
      <w:lvlJc w:val="left"/>
      <w:pPr>
        <w:ind w:left="7220" w:hanging="360"/>
      </w:pPr>
      <w:rPr>
        <w:rFonts w:ascii="Wingdings" w:hAnsi="Wingdings" w:hint="default"/>
      </w:rPr>
    </w:lvl>
  </w:abstractNum>
  <w:abstractNum w:abstractNumId="5" w15:restartNumberingAfterBreak="0">
    <w:nsid w:val="61D15C70"/>
    <w:multiLevelType w:val="multilevel"/>
    <w:tmpl w:val="DA3476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2524A9"/>
    <w:multiLevelType w:val="multilevel"/>
    <w:tmpl w:val="5380C3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176040"/>
    <w:multiLevelType w:val="multilevel"/>
    <w:tmpl w:val="7A6030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A15736"/>
    <w:multiLevelType w:val="multilevel"/>
    <w:tmpl w:val="DF30E55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 w:numId="5">
    <w:abstractNumId w:val="8"/>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A6"/>
    <w:rsid w:val="00210A9A"/>
    <w:rsid w:val="00216E21"/>
    <w:rsid w:val="002C2E2E"/>
    <w:rsid w:val="00591A2A"/>
    <w:rsid w:val="00757A9C"/>
    <w:rsid w:val="0076682C"/>
    <w:rsid w:val="009236CB"/>
    <w:rsid w:val="009716A6"/>
    <w:rsid w:val="00C7382E"/>
    <w:rsid w:val="00C90E2E"/>
    <w:rsid w:val="00F152D5"/>
    <w:rsid w:val="00F16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6029"/>
  <w15:docId w15:val="{0A1C9A9D-EE1A-4299-A559-667C68F5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Calibri" w:eastAsia="Calibri" w:hAnsi="Calibri" w:cs="Calibri"/>
      <w:b/>
      <w:bCs/>
      <w:i w:val="0"/>
      <w:iCs w:val="0"/>
      <w:smallCaps w:val="0"/>
      <w:strike w:val="0"/>
      <w:sz w:val="20"/>
      <w:szCs w:val="20"/>
      <w:u w:val="none"/>
      <w:shd w:val="clear" w:color="auto" w:fill="auto"/>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shd w:val="clear" w:color="auto" w:fill="auto"/>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rPr>
      <w:rFonts w:ascii="Calibri" w:eastAsia="Calibri" w:hAnsi="Calibri" w:cs="Calibri"/>
      <w:sz w:val="20"/>
      <w:szCs w:val="20"/>
    </w:rPr>
  </w:style>
  <w:style w:type="paragraph" w:customStyle="1" w:styleId="Nadpis10">
    <w:name w:val="Nadpis #1"/>
    <w:basedOn w:val="Normln"/>
    <w:link w:val="Nadpis1"/>
    <w:pPr>
      <w:spacing w:after="260"/>
      <w:jc w:val="center"/>
      <w:outlineLvl w:val="0"/>
    </w:pPr>
    <w:rPr>
      <w:rFonts w:ascii="Calibri" w:eastAsia="Calibri" w:hAnsi="Calibri" w:cs="Calibri"/>
      <w:b/>
      <w:bCs/>
      <w:sz w:val="20"/>
      <w:szCs w:val="20"/>
    </w:rPr>
  </w:style>
  <w:style w:type="paragraph" w:customStyle="1" w:styleId="Jin0">
    <w:name w:val="Jiné"/>
    <w:basedOn w:val="Normln"/>
    <w:link w:val="Jin"/>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ibor.krejci@cdv.cz"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bor.krejci@cd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1908</Words>
  <Characters>11262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7</cp:revision>
  <dcterms:created xsi:type="dcterms:W3CDTF">2021-12-22T07:09:00Z</dcterms:created>
  <dcterms:modified xsi:type="dcterms:W3CDTF">2021-12-22T07:27:00Z</dcterms:modified>
</cp:coreProperties>
</file>