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39339A" w:rsidRDefault="001C5355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Cs w:val="22"/>
        </w:rPr>
      </w:pPr>
      <w:proofErr w:type="gramStart"/>
      <w:r w:rsidRPr="00FD5315">
        <w:rPr>
          <w:rFonts w:asciiTheme="majorHAnsi" w:hAnsiTheme="majorHAnsi"/>
          <w:b/>
          <w:spacing w:val="20"/>
          <w:szCs w:val="22"/>
        </w:rPr>
        <w:t>Č.j.</w:t>
      </w:r>
      <w:proofErr w:type="gramEnd"/>
      <w:r w:rsidRPr="00FD5315">
        <w:rPr>
          <w:rFonts w:asciiTheme="majorHAnsi" w:hAnsiTheme="majorHAnsi"/>
          <w:b/>
          <w:spacing w:val="20"/>
          <w:szCs w:val="22"/>
        </w:rPr>
        <w:t xml:space="preserve"> </w:t>
      </w:r>
      <w:r w:rsidR="00121EFC" w:rsidRPr="002024CA">
        <w:rPr>
          <w:rFonts w:asciiTheme="majorHAnsi" w:hAnsiTheme="majorHAnsi"/>
          <w:b/>
          <w:spacing w:val="20"/>
          <w:szCs w:val="22"/>
        </w:rPr>
        <w:t>PK/</w:t>
      </w:r>
      <w:r w:rsidR="002024CA" w:rsidRPr="002024CA">
        <w:rPr>
          <w:rFonts w:asciiTheme="majorHAnsi" w:hAnsiTheme="majorHAnsi"/>
          <w:b/>
          <w:spacing w:val="20"/>
          <w:szCs w:val="22"/>
        </w:rPr>
        <w:t>2610</w:t>
      </w:r>
      <w:r w:rsidR="00703E59" w:rsidRPr="002024CA">
        <w:rPr>
          <w:rFonts w:asciiTheme="majorHAnsi" w:hAnsiTheme="majorHAnsi"/>
          <w:b/>
          <w:spacing w:val="20"/>
          <w:szCs w:val="22"/>
        </w:rPr>
        <w:t>/2021</w:t>
      </w:r>
    </w:p>
    <w:p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A00B02">
        <w:rPr>
          <w:rFonts w:asciiTheme="majorHAnsi" w:hAnsiTheme="majorHAnsi"/>
          <w:b/>
          <w:spacing w:val="20"/>
          <w:sz w:val="40"/>
          <w:szCs w:val="28"/>
        </w:rPr>
        <w:t>1</w:t>
      </w:r>
    </w:p>
    <w:p w:rsidR="00730E05" w:rsidRDefault="002A115E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>
        <w:rPr>
          <w:rFonts w:asciiTheme="majorHAnsi" w:hAnsiTheme="majorHAnsi"/>
          <w:b/>
          <w:spacing w:val="20"/>
          <w:sz w:val="28"/>
          <w:szCs w:val="28"/>
        </w:rPr>
        <w:t xml:space="preserve">ke </w:t>
      </w:r>
      <w:r w:rsidR="00DB5951">
        <w:rPr>
          <w:rFonts w:asciiTheme="majorHAnsi" w:hAnsiTheme="majorHAnsi"/>
          <w:b/>
          <w:spacing w:val="20"/>
          <w:sz w:val="28"/>
          <w:szCs w:val="28"/>
        </w:rPr>
        <w:t xml:space="preserve">smlouvě o dílo </w:t>
      </w:r>
      <w:r w:rsidR="00A607CF">
        <w:rPr>
          <w:rFonts w:asciiTheme="majorHAnsi" w:hAnsiTheme="majorHAnsi"/>
          <w:b/>
          <w:spacing w:val="20"/>
          <w:sz w:val="28"/>
          <w:szCs w:val="28"/>
        </w:rPr>
        <w:t>č.</w:t>
      </w:r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FF1B96">
        <w:rPr>
          <w:rFonts w:asciiTheme="majorHAnsi" w:hAnsiTheme="majorHAnsi"/>
          <w:b/>
          <w:spacing w:val="20"/>
          <w:sz w:val="28"/>
          <w:szCs w:val="28"/>
        </w:rPr>
        <w:t>PK/1876/</w:t>
      </w:r>
      <w:r w:rsidR="00FF1B96" w:rsidRPr="00FF1B96">
        <w:rPr>
          <w:rFonts w:asciiTheme="majorHAnsi" w:hAnsiTheme="majorHAnsi"/>
          <w:b/>
          <w:spacing w:val="20"/>
          <w:sz w:val="28"/>
          <w:szCs w:val="28"/>
        </w:rPr>
        <w:t xml:space="preserve">2021             </w:t>
      </w:r>
    </w:p>
    <w:p w:rsidR="00FF1B96" w:rsidRDefault="00CC4BB0" w:rsidP="00FF1B96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CC4BB0">
        <w:rPr>
          <w:rFonts w:asciiTheme="majorHAnsi" w:hAnsiTheme="majorHAnsi"/>
          <w:b/>
          <w:spacing w:val="20"/>
          <w:szCs w:val="22"/>
        </w:rPr>
        <w:t>ve věci veřejné zakázky „</w:t>
      </w:r>
      <w:r w:rsidR="00FF1B96" w:rsidRPr="00FF1B96">
        <w:rPr>
          <w:rFonts w:asciiTheme="majorHAnsi" w:hAnsiTheme="majorHAnsi"/>
          <w:b/>
          <w:spacing w:val="20"/>
          <w:szCs w:val="22"/>
        </w:rPr>
        <w:t>Oprava a obnova podlah v</w:t>
      </w:r>
      <w:r w:rsidR="00FF1B96">
        <w:rPr>
          <w:rFonts w:asciiTheme="majorHAnsi" w:hAnsiTheme="majorHAnsi"/>
          <w:b/>
          <w:spacing w:val="20"/>
          <w:szCs w:val="22"/>
        </w:rPr>
        <w:t> </w:t>
      </w:r>
      <w:r w:rsidR="00FF1B96" w:rsidRPr="00FF1B96">
        <w:rPr>
          <w:rFonts w:asciiTheme="majorHAnsi" w:hAnsiTheme="majorHAnsi"/>
          <w:b/>
          <w:spacing w:val="20"/>
          <w:szCs w:val="22"/>
        </w:rPr>
        <w:t>učebnách</w:t>
      </w:r>
    </w:p>
    <w:p w:rsidR="00CC4BB0" w:rsidRPr="00CC4BB0" w:rsidRDefault="00FF1B96" w:rsidP="00FF1B96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FF1B96">
        <w:rPr>
          <w:rFonts w:asciiTheme="majorHAnsi" w:hAnsiTheme="majorHAnsi"/>
          <w:b/>
          <w:spacing w:val="20"/>
          <w:szCs w:val="22"/>
        </w:rPr>
        <w:t xml:space="preserve"> Pražské konzervatoře</w:t>
      </w:r>
      <w:r w:rsidR="00CC4BB0" w:rsidRPr="00CC4BB0">
        <w:rPr>
          <w:rFonts w:asciiTheme="majorHAnsi" w:hAnsiTheme="majorHAnsi"/>
          <w:b/>
          <w:spacing w:val="20"/>
          <w:szCs w:val="22"/>
        </w:rPr>
        <w:t xml:space="preserve">“ </w:t>
      </w:r>
    </w:p>
    <w:p w:rsidR="00C96A76" w:rsidRPr="00CC4BB0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 w:rsidRPr="00CC4BB0">
        <w:rPr>
          <w:rFonts w:asciiTheme="majorHAnsi" w:hAnsiTheme="majorHAnsi"/>
          <w:b/>
          <w:spacing w:val="20"/>
          <w:sz w:val="28"/>
          <w:szCs w:val="28"/>
        </w:rPr>
        <w:t>uzavřené dne</w:t>
      </w:r>
      <w:r w:rsidR="003027D7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FF1B96">
        <w:rPr>
          <w:rFonts w:asciiTheme="majorHAnsi" w:hAnsiTheme="majorHAnsi"/>
          <w:b/>
          <w:spacing w:val="20"/>
          <w:sz w:val="28"/>
          <w:szCs w:val="28"/>
        </w:rPr>
        <w:t>18</w:t>
      </w:r>
      <w:r w:rsidR="00CB20A1" w:rsidRPr="00CC4BB0">
        <w:rPr>
          <w:rFonts w:asciiTheme="majorHAnsi" w:hAnsiTheme="majorHAnsi"/>
          <w:b/>
          <w:spacing w:val="20"/>
          <w:sz w:val="28"/>
          <w:szCs w:val="28"/>
        </w:rPr>
        <w:t>.</w:t>
      </w:r>
      <w:r w:rsidR="00FF1B96">
        <w:rPr>
          <w:rFonts w:asciiTheme="majorHAnsi" w:hAnsiTheme="majorHAnsi"/>
          <w:b/>
          <w:spacing w:val="20"/>
          <w:sz w:val="28"/>
          <w:szCs w:val="28"/>
        </w:rPr>
        <w:t xml:space="preserve"> 11</w:t>
      </w:r>
      <w:r w:rsidR="00C96A76" w:rsidRPr="00CC4BB0">
        <w:rPr>
          <w:rFonts w:asciiTheme="majorHAnsi" w:hAnsiTheme="majorHAnsi"/>
          <w:b/>
          <w:spacing w:val="20"/>
          <w:sz w:val="28"/>
          <w:szCs w:val="28"/>
        </w:rPr>
        <w:t>.</w:t>
      </w:r>
      <w:r w:rsidR="00C17902" w:rsidRPr="00CC4BB0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3027D7">
        <w:rPr>
          <w:rFonts w:asciiTheme="majorHAnsi" w:hAnsiTheme="majorHAnsi"/>
          <w:b/>
          <w:spacing w:val="20"/>
          <w:sz w:val="28"/>
          <w:szCs w:val="28"/>
        </w:rPr>
        <w:t>2021</w:t>
      </w:r>
    </w:p>
    <w:p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:rsidR="00E170F1" w:rsidRDefault="00D60736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:rsidR="00FE0960" w:rsidRDefault="0039339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uzavřený</w:t>
      </w:r>
      <w:r w:rsidRPr="0039339A">
        <w:rPr>
          <w:rFonts w:asciiTheme="majorHAnsi" w:hAnsiTheme="majorHAnsi"/>
          <w:sz w:val="24"/>
          <w:szCs w:val="24"/>
        </w:rPr>
        <w:t xml:space="preserve"> dle </w:t>
      </w:r>
      <w:r w:rsidR="00585B49" w:rsidRPr="00585B49">
        <w:rPr>
          <w:rFonts w:asciiTheme="majorHAnsi" w:hAnsiTheme="majorHAnsi"/>
          <w:sz w:val="24"/>
          <w:szCs w:val="24"/>
        </w:rPr>
        <w:t xml:space="preserve">§ 1746  a  § 2586 - 2635 </w:t>
      </w:r>
      <w:r w:rsidRPr="0039339A">
        <w:rPr>
          <w:rFonts w:asciiTheme="majorHAnsi" w:hAnsiTheme="majorHAnsi"/>
          <w:sz w:val="24"/>
          <w:szCs w:val="24"/>
        </w:rPr>
        <w:t xml:space="preserve">a násl. zákona č. 89/2012 Sb., </w:t>
      </w:r>
      <w:r w:rsidR="00FE0960" w:rsidRPr="00FE0960">
        <w:rPr>
          <w:rFonts w:asciiTheme="majorHAnsi" w:hAnsiTheme="majorHAnsi"/>
          <w:sz w:val="24"/>
          <w:szCs w:val="24"/>
        </w:rPr>
        <w:t>občanského zákoníku ve znění platném ke dni podpisu t</w:t>
      </w:r>
      <w:r w:rsidR="00FE0960">
        <w:rPr>
          <w:rFonts w:asciiTheme="majorHAnsi" w:hAnsiTheme="majorHAnsi"/>
          <w:sz w:val="24"/>
          <w:szCs w:val="24"/>
        </w:rPr>
        <w:t>ohoto dodatku</w:t>
      </w:r>
    </w:p>
    <w:p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39339A">
        <w:rPr>
          <w:rFonts w:ascii="Cambria" w:hAnsi="Cambria" w:cs="Arial"/>
          <w:b/>
          <w:sz w:val="24"/>
          <w:lang w:val="cs-CZ" w:eastAsia="cs-CZ"/>
        </w:rPr>
        <w:t xml:space="preserve"> 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 xml:space="preserve"> SMLUVNÍ STRANY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>Objednatel:</w:t>
      </w:r>
      <w:r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  <w:t>Pražská konzervatoř, Praha 1, Na Rejdišti 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příspěvková organizace hl.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m.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Prahy zřízena usnesením RHMP č.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550 z </w:t>
      </w:r>
      <w:proofErr w:type="gramStart"/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3.4.2001</w:t>
      </w:r>
      <w:proofErr w:type="gramEnd"/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,    zapsaná v Rejstříku škol RED-IZO 600 0045 38, zapsaná v RARIS 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Sídlem: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Na Rejdišti  1, Praha 1 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70 83 79 11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DIČ: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CZ70 83 79 11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Zastoupená: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</w:t>
      </w:r>
      <w:proofErr w:type="spellStart"/>
      <w:r w:rsidR="00C27BC5">
        <w:rPr>
          <w:rFonts w:ascii="Cambria" w:hAnsi="Cambria" w:cs="Arial"/>
          <w:color w:val="auto"/>
          <w:sz w:val="24"/>
          <w:szCs w:val="24"/>
          <w:lang w:eastAsia="cs-CZ"/>
        </w:rPr>
        <w:t>xxxxxxxxxxxxxx</w:t>
      </w:r>
      <w:proofErr w:type="spellEnd"/>
      <w:r w:rsidR="00C27BC5">
        <w:rPr>
          <w:rFonts w:ascii="Cambria" w:hAnsi="Cambria" w:cs="Arial"/>
          <w:color w:val="auto"/>
          <w:sz w:val="24"/>
          <w:szCs w:val="24"/>
          <w:lang w:eastAsia="cs-CZ"/>
        </w:rPr>
        <w:t>,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 ředitelem konzervatoře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>Bankovní spojení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="004D1454">
        <w:rPr>
          <w:rFonts w:ascii="Cambria" w:hAnsi="Cambria" w:cs="Arial"/>
          <w:color w:val="auto"/>
          <w:sz w:val="24"/>
          <w:szCs w:val="24"/>
          <w:lang w:eastAsia="cs-CZ"/>
        </w:rPr>
        <w:t xml:space="preserve">  </w:t>
      </w:r>
      <w:proofErr w:type="spellStart"/>
      <w:r w:rsidR="00C27BC5">
        <w:rPr>
          <w:rFonts w:ascii="Cambria" w:hAnsi="Cambria" w:cs="Arial"/>
          <w:color w:val="auto"/>
          <w:sz w:val="24"/>
          <w:szCs w:val="24"/>
          <w:lang w:eastAsia="cs-CZ"/>
        </w:rPr>
        <w:t>xxxxxxxxxxxx</w:t>
      </w:r>
      <w:proofErr w:type="spellEnd"/>
      <w:r w:rsidR="00C27BC5">
        <w:rPr>
          <w:rFonts w:ascii="Cambria" w:hAnsi="Cambria" w:cs="Arial"/>
          <w:color w:val="auto"/>
          <w:sz w:val="24"/>
          <w:szCs w:val="24"/>
          <w:lang w:eastAsia="cs-CZ"/>
        </w:rPr>
        <w:t>,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č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.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účtu:  </w:t>
      </w:r>
      <w:proofErr w:type="spellStart"/>
      <w:r w:rsidR="00C27BC5">
        <w:rPr>
          <w:rFonts w:ascii="Cambria" w:hAnsi="Cambria" w:cs="Arial"/>
          <w:color w:val="auto"/>
          <w:sz w:val="24"/>
          <w:szCs w:val="24"/>
          <w:lang w:eastAsia="cs-CZ"/>
        </w:rPr>
        <w:t>xxxxxxxxxxxxxx</w:t>
      </w:r>
      <w:proofErr w:type="spellEnd"/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(dále jen „objednatel“)</w:t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>a</w:t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>Dodavatel:</w:t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  <w:t xml:space="preserve">      </w:t>
      </w:r>
      <w:r w:rsidR="003027D7" w:rsidRPr="003027D7">
        <w:rPr>
          <w:rFonts w:ascii="Cambria" w:hAnsi="Cambria" w:cs="Arial"/>
          <w:b/>
          <w:color w:val="auto"/>
          <w:sz w:val="24"/>
          <w:szCs w:val="24"/>
          <w:lang w:eastAsia="cs-CZ"/>
        </w:rPr>
        <w:t xml:space="preserve">APZB </w:t>
      </w:r>
      <w:proofErr w:type="spellStart"/>
      <w:r w:rsidR="003027D7" w:rsidRPr="003027D7">
        <w:rPr>
          <w:rFonts w:ascii="Cambria" w:hAnsi="Cambria" w:cs="Arial"/>
          <w:b/>
          <w:color w:val="auto"/>
          <w:sz w:val="24"/>
          <w:szCs w:val="24"/>
          <w:lang w:eastAsia="cs-CZ"/>
        </w:rPr>
        <w:t>trading</w:t>
      </w:r>
      <w:proofErr w:type="spellEnd"/>
      <w:r w:rsidR="003027D7" w:rsidRPr="003027D7">
        <w:rPr>
          <w:rFonts w:ascii="Cambria" w:hAnsi="Cambria" w:cs="Arial"/>
          <w:b/>
          <w:color w:val="auto"/>
          <w:sz w:val="24"/>
          <w:szCs w:val="24"/>
          <w:lang w:eastAsia="cs-CZ"/>
        </w:rPr>
        <w:t xml:space="preserve"> s.r.o.</w:t>
      </w:r>
      <w:r w:rsidR="003027D7" w:rsidRPr="003027D7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Sídlem: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</w:t>
      </w:r>
      <w:r w:rsidR="003027D7" w:rsidRPr="003027D7">
        <w:rPr>
          <w:rFonts w:ascii="Cambria" w:hAnsi="Cambria" w:cs="Arial"/>
          <w:color w:val="auto"/>
          <w:sz w:val="24"/>
          <w:szCs w:val="24"/>
          <w:lang w:eastAsia="cs-CZ"/>
        </w:rPr>
        <w:t>Vojtěšská 211/6, Praha 1, 110 00 - Nové Město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Doručovací adresa: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="003027D7">
        <w:rPr>
          <w:rFonts w:ascii="Cambria" w:hAnsi="Cambria" w:cs="Arial"/>
          <w:color w:val="auto"/>
          <w:sz w:val="24"/>
          <w:szCs w:val="24"/>
          <w:lang w:eastAsia="cs-CZ"/>
        </w:rPr>
        <w:t xml:space="preserve">  </w:t>
      </w:r>
      <w:r w:rsidR="003027D7" w:rsidRPr="003027D7">
        <w:rPr>
          <w:rFonts w:ascii="Cambria" w:hAnsi="Cambria" w:cs="Arial"/>
          <w:color w:val="auto"/>
          <w:sz w:val="24"/>
          <w:szCs w:val="24"/>
          <w:lang w:eastAsia="cs-CZ"/>
        </w:rPr>
        <w:t>Vojtěšská 211/6, Praha 1, 110 00 - Nové Město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     </w:t>
      </w:r>
      <w:r w:rsidR="003027D7" w:rsidRPr="003027D7">
        <w:rPr>
          <w:rFonts w:asciiTheme="majorHAnsi" w:hAnsiTheme="majorHAnsi"/>
          <w:sz w:val="24"/>
          <w:szCs w:val="24"/>
        </w:rPr>
        <w:t>24196029</w:t>
      </w:r>
      <w:r w:rsidR="003027D7" w:rsidRPr="003027D7">
        <w:rPr>
          <w:rFonts w:asciiTheme="majorHAnsi" w:hAnsiTheme="majorHAnsi"/>
          <w:sz w:val="24"/>
          <w:szCs w:val="24"/>
        </w:rPr>
        <w:tab/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DIČ: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</w:t>
      </w:r>
      <w:r w:rsidR="003027D7" w:rsidRPr="003027D7">
        <w:rPr>
          <w:rFonts w:asciiTheme="majorHAnsi" w:hAnsiTheme="majorHAnsi"/>
          <w:sz w:val="24"/>
          <w:szCs w:val="24"/>
        </w:rPr>
        <w:t>CZ24196029</w:t>
      </w:r>
      <w:r w:rsidR="003027D7" w:rsidRPr="003027D7">
        <w:rPr>
          <w:rFonts w:asciiTheme="majorHAnsi" w:hAnsiTheme="majorHAnsi"/>
          <w:sz w:val="24"/>
          <w:szCs w:val="24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</w:p>
    <w:p w:rsidR="00691468" w:rsidRPr="003027D7" w:rsidRDefault="00691468" w:rsidP="00691468">
      <w:pPr>
        <w:pStyle w:val="BodyText1"/>
        <w:contextualSpacing/>
        <w:rPr>
          <w:rFonts w:asciiTheme="majorHAnsi" w:hAnsiTheme="majorHAnsi"/>
          <w:sz w:val="24"/>
          <w:szCs w:val="24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Zastoupená: 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ab/>
        <w:t xml:space="preserve">     </w:t>
      </w:r>
      <w:proofErr w:type="spellStart"/>
      <w:r w:rsidR="00C27BC5">
        <w:rPr>
          <w:rFonts w:asciiTheme="majorHAnsi" w:hAnsiTheme="majorHAnsi"/>
          <w:sz w:val="24"/>
          <w:szCs w:val="24"/>
        </w:rPr>
        <w:t>xxxxxxxxxxxxxxxxxxxxx</w:t>
      </w:r>
      <w:bookmarkStart w:id="0" w:name="_GoBack"/>
      <w:bookmarkEnd w:id="0"/>
      <w:proofErr w:type="spellEnd"/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>Telefon: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ab/>
        <w:t xml:space="preserve">               </w:t>
      </w:r>
      <w:proofErr w:type="spellStart"/>
      <w:r w:rsidR="00C27BC5">
        <w:rPr>
          <w:rFonts w:asciiTheme="majorHAnsi" w:hAnsiTheme="majorHAnsi"/>
          <w:sz w:val="24"/>
          <w:szCs w:val="24"/>
        </w:rPr>
        <w:t>xxxxxxxxxxxxxxxx</w:t>
      </w:r>
      <w:proofErr w:type="spellEnd"/>
    </w:p>
    <w:p w:rsidR="00872ECF" w:rsidRPr="00691468" w:rsidRDefault="003027D7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Bankovní spojení:   </w:t>
      </w:r>
      <w:proofErr w:type="spellStart"/>
      <w:r w:rsidR="00C27BC5">
        <w:rPr>
          <w:rFonts w:asciiTheme="majorHAnsi" w:hAnsiTheme="majorHAnsi"/>
          <w:sz w:val="24"/>
          <w:szCs w:val="24"/>
        </w:rPr>
        <w:t>xxxxxxxxxxxx</w:t>
      </w:r>
      <w:proofErr w:type="spellEnd"/>
      <w:r w:rsidR="00C27BC5">
        <w:rPr>
          <w:rFonts w:asciiTheme="majorHAnsi" w:hAnsiTheme="majorHAnsi"/>
          <w:sz w:val="24"/>
          <w:szCs w:val="24"/>
        </w:rPr>
        <w:t>,</w:t>
      </w:r>
      <w:r w:rsid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 č. účtu:  </w:t>
      </w:r>
      <w:proofErr w:type="spellStart"/>
      <w:r w:rsidR="00C27BC5">
        <w:rPr>
          <w:rFonts w:asciiTheme="majorHAnsi" w:hAnsiTheme="majorHAnsi"/>
          <w:sz w:val="24"/>
          <w:szCs w:val="24"/>
        </w:rPr>
        <w:t>xxxxxxxxxxxxxxxx</w:t>
      </w:r>
      <w:proofErr w:type="spellEnd"/>
    </w:p>
    <w:p w:rsidR="007A57BA" w:rsidRPr="00691468" w:rsidRDefault="007A57BA" w:rsidP="007A57BA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(dále jen „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>dodavatel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“)</w:t>
      </w:r>
    </w:p>
    <w:p w:rsidR="00691468" w:rsidRDefault="00691468" w:rsidP="00691468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:rsidR="003B3456" w:rsidRPr="002A115E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A115E">
        <w:rPr>
          <w:rFonts w:asciiTheme="majorHAnsi" w:hAnsiTheme="majorHAnsi"/>
          <w:b/>
          <w:sz w:val="24"/>
          <w:szCs w:val="24"/>
        </w:rPr>
        <w:t>tímto uzavírají následující dodatek k výše uvedené smlouvě:</w:t>
      </w:r>
    </w:p>
    <w:p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:rsidR="002A115E" w:rsidRDefault="00337DAE" w:rsidP="002A115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Smluvní strany se dohodly </w:t>
      </w:r>
      <w:r w:rsidRPr="003C1349">
        <w:rPr>
          <w:rFonts w:asciiTheme="majorHAnsi" w:hAnsiTheme="majorHAnsi"/>
          <w:b/>
          <w:sz w:val="24"/>
          <w:szCs w:val="24"/>
        </w:rPr>
        <w:t>na</w:t>
      </w:r>
      <w:r w:rsidR="006C14CE">
        <w:rPr>
          <w:rFonts w:asciiTheme="majorHAnsi" w:hAnsiTheme="majorHAnsi"/>
          <w:b/>
          <w:sz w:val="24"/>
          <w:szCs w:val="24"/>
        </w:rPr>
        <w:t xml:space="preserve"> </w:t>
      </w:r>
      <w:r w:rsidR="00A00B02">
        <w:rPr>
          <w:rFonts w:asciiTheme="majorHAnsi" w:hAnsiTheme="majorHAnsi"/>
          <w:b/>
          <w:sz w:val="24"/>
          <w:szCs w:val="24"/>
        </w:rPr>
        <w:t>změně</w:t>
      </w:r>
      <w:r w:rsidR="00317648">
        <w:rPr>
          <w:rFonts w:asciiTheme="majorHAnsi" w:hAnsiTheme="majorHAnsi"/>
          <w:b/>
          <w:sz w:val="24"/>
          <w:szCs w:val="24"/>
        </w:rPr>
        <w:t xml:space="preserve"> </w:t>
      </w:r>
      <w:r w:rsidR="00FB79E8">
        <w:rPr>
          <w:rFonts w:asciiTheme="majorHAnsi" w:hAnsiTheme="majorHAnsi"/>
          <w:b/>
          <w:sz w:val="24"/>
          <w:szCs w:val="24"/>
        </w:rPr>
        <w:t xml:space="preserve">předmětu </w:t>
      </w:r>
      <w:r w:rsidR="002A115E">
        <w:rPr>
          <w:rFonts w:asciiTheme="majorHAnsi" w:hAnsiTheme="majorHAnsi"/>
          <w:b/>
          <w:sz w:val="24"/>
          <w:szCs w:val="24"/>
        </w:rPr>
        <w:t>plnění smlouvy</w:t>
      </w:r>
      <w:r w:rsidR="00412FE5">
        <w:rPr>
          <w:rFonts w:asciiTheme="majorHAnsi" w:hAnsiTheme="majorHAnsi"/>
          <w:b/>
          <w:sz w:val="24"/>
          <w:szCs w:val="24"/>
        </w:rPr>
        <w:t>,</w:t>
      </w:r>
    </w:p>
    <w:p w:rsidR="00412FE5" w:rsidRDefault="00412FE5" w:rsidP="003018B6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s</w:t>
      </w:r>
      <w:r w:rsidRPr="002A115E">
        <w:rPr>
          <w:rFonts w:asciiTheme="majorHAnsi" w:hAnsiTheme="majorHAnsi"/>
          <w:sz w:val="24"/>
          <w:szCs w:val="24"/>
        </w:rPr>
        <w:t>pecifikovaném</w:t>
      </w:r>
      <w:proofErr w:type="gramEnd"/>
      <w:r w:rsidRPr="002A115E">
        <w:rPr>
          <w:rFonts w:asciiTheme="majorHAnsi" w:hAnsiTheme="majorHAnsi"/>
          <w:sz w:val="24"/>
          <w:szCs w:val="24"/>
        </w:rPr>
        <w:t xml:space="preserve"> ve čl. </w:t>
      </w:r>
      <w:r>
        <w:rPr>
          <w:rFonts w:asciiTheme="majorHAnsi" w:hAnsiTheme="majorHAnsi"/>
          <w:sz w:val="24"/>
          <w:szCs w:val="24"/>
        </w:rPr>
        <w:t>3, odst. 1</w:t>
      </w:r>
      <w:r w:rsidRPr="002A115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</w:t>
      </w:r>
      <w:r w:rsidRPr="002A115E">
        <w:rPr>
          <w:rFonts w:asciiTheme="majorHAnsi" w:hAnsiTheme="majorHAnsi"/>
          <w:sz w:val="24"/>
          <w:szCs w:val="24"/>
        </w:rPr>
        <w:t>mlouvy</w:t>
      </w:r>
      <w:r>
        <w:rPr>
          <w:rFonts w:asciiTheme="majorHAnsi" w:hAnsiTheme="majorHAnsi"/>
          <w:sz w:val="24"/>
          <w:szCs w:val="24"/>
        </w:rPr>
        <w:t>, a to v označení učeben, ve kterých probíhá plnění smlouvy. Učebna č. 427 se nahrazuje učebnou č.  421.</w:t>
      </w:r>
    </w:p>
    <w:p w:rsidR="001604F0" w:rsidRDefault="001604F0" w:rsidP="003018B6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</w:p>
    <w:p w:rsidR="002A115E" w:rsidRDefault="00412FE5" w:rsidP="003018B6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Dále </w:t>
      </w:r>
      <w:r w:rsidRPr="001604F0">
        <w:rPr>
          <w:rFonts w:asciiTheme="majorHAnsi" w:hAnsiTheme="majorHAnsi"/>
          <w:b/>
          <w:sz w:val="24"/>
          <w:szCs w:val="24"/>
        </w:rPr>
        <w:t>na změně předmětu</w:t>
      </w:r>
      <w:r w:rsidR="001604F0">
        <w:rPr>
          <w:rFonts w:asciiTheme="majorHAnsi" w:hAnsiTheme="majorHAnsi"/>
          <w:b/>
          <w:sz w:val="24"/>
          <w:szCs w:val="24"/>
        </w:rPr>
        <w:t xml:space="preserve"> plnění</w:t>
      </w:r>
      <w:r w:rsidRPr="001604F0">
        <w:rPr>
          <w:rFonts w:asciiTheme="majorHAnsi" w:hAnsiTheme="majorHAnsi"/>
          <w:b/>
          <w:sz w:val="24"/>
          <w:szCs w:val="24"/>
        </w:rPr>
        <w:t xml:space="preserve"> smlouvy</w:t>
      </w:r>
      <w:r>
        <w:rPr>
          <w:rFonts w:asciiTheme="majorHAnsi" w:hAnsiTheme="majorHAnsi"/>
          <w:sz w:val="24"/>
          <w:szCs w:val="24"/>
        </w:rPr>
        <w:t xml:space="preserve">, </w:t>
      </w:r>
      <w:r w:rsidR="002A115E" w:rsidRPr="002A115E">
        <w:rPr>
          <w:rFonts w:asciiTheme="majorHAnsi" w:hAnsiTheme="majorHAnsi"/>
          <w:sz w:val="24"/>
          <w:szCs w:val="24"/>
        </w:rPr>
        <w:t xml:space="preserve">specifikovaném </w:t>
      </w:r>
      <w:r w:rsidR="00337DAE" w:rsidRPr="002A115E">
        <w:rPr>
          <w:rFonts w:asciiTheme="majorHAnsi" w:hAnsiTheme="majorHAnsi"/>
          <w:sz w:val="24"/>
          <w:szCs w:val="24"/>
        </w:rPr>
        <w:t>v</w:t>
      </w:r>
      <w:r w:rsidR="00AD7212" w:rsidRPr="002A115E">
        <w:rPr>
          <w:rFonts w:asciiTheme="majorHAnsi" w:hAnsiTheme="majorHAnsi"/>
          <w:sz w:val="24"/>
          <w:szCs w:val="24"/>
        </w:rPr>
        <w:t xml:space="preserve">e čl. </w:t>
      </w:r>
      <w:r w:rsidR="002926F4">
        <w:rPr>
          <w:rFonts w:asciiTheme="majorHAnsi" w:hAnsiTheme="majorHAnsi"/>
          <w:sz w:val="24"/>
          <w:szCs w:val="24"/>
        </w:rPr>
        <w:t>3</w:t>
      </w:r>
      <w:r w:rsidR="002A115E" w:rsidRPr="002A115E">
        <w:rPr>
          <w:rFonts w:asciiTheme="majorHAnsi" w:hAnsiTheme="majorHAnsi"/>
          <w:sz w:val="24"/>
          <w:szCs w:val="24"/>
        </w:rPr>
        <w:t xml:space="preserve"> </w:t>
      </w:r>
      <w:r w:rsidR="002A115E">
        <w:rPr>
          <w:rFonts w:asciiTheme="majorHAnsi" w:hAnsiTheme="majorHAnsi"/>
          <w:sz w:val="24"/>
          <w:szCs w:val="24"/>
        </w:rPr>
        <w:t>s</w:t>
      </w:r>
      <w:r w:rsidR="002A115E" w:rsidRPr="002A115E">
        <w:rPr>
          <w:rFonts w:asciiTheme="majorHAnsi" w:hAnsiTheme="majorHAnsi"/>
          <w:sz w:val="24"/>
          <w:szCs w:val="24"/>
        </w:rPr>
        <w:t>mlouvy.</w:t>
      </w:r>
      <w:r w:rsidR="00FB79E8">
        <w:rPr>
          <w:rFonts w:asciiTheme="majorHAnsi" w:hAnsiTheme="majorHAnsi"/>
          <w:sz w:val="24"/>
          <w:szCs w:val="24"/>
        </w:rPr>
        <w:t xml:space="preserve"> Změnu</w:t>
      </w:r>
      <w:r w:rsidR="002926F4">
        <w:rPr>
          <w:rFonts w:asciiTheme="majorHAnsi" w:hAnsiTheme="majorHAnsi"/>
          <w:sz w:val="24"/>
          <w:szCs w:val="24"/>
        </w:rPr>
        <w:t xml:space="preserve"> rozsahu</w:t>
      </w:r>
      <w:r w:rsidR="00FB79E8">
        <w:rPr>
          <w:rFonts w:asciiTheme="majorHAnsi" w:hAnsiTheme="majorHAnsi"/>
          <w:sz w:val="24"/>
          <w:szCs w:val="24"/>
        </w:rPr>
        <w:t xml:space="preserve"> předmětu</w:t>
      </w:r>
      <w:r w:rsidR="00DB5951">
        <w:rPr>
          <w:rFonts w:asciiTheme="majorHAnsi" w:hAnsiTheme="majorHAnsi"/>
          <w:sz w:val="24"/>
          <w:szCs w:val="24"/>
        </w:rPr>
        <w:t xml:space="preserve"> plnění jim umožňuje právo objed</w:t>
      </w:r>
      <w:r w:rsidR="00B606C7">
        <w:rPr>
          <w:rFonts w:asciiTheme="majorHAnsi" w:hAnsiTheme="majorHAnsi"/>
          <w:sz w:val="24"/>
          <w:szCs w:val="24"/>
        </w:rPr>
        <w:t xml:space="preserve">natele </w:t>
      </w:r>
      <w:r w:rsidR="00FB79E8">
        <w:rPr>
          <w:rFonts w:asciiTheme="majorHAnsi" w:hAnsiTheme="majorHAnsi"/>
          <w:sz w:val="24"/>
          <w:szCs w:val="24"/>
        </w:rPr>
        <w:t>změnit rozsah plnění a tím i cenu,</w:t>
      </w:r>
      <w:r w:rsidR="003018B6">
        <w:rPr>
          <w:rFonts w:asciiTheme="majorHAnsi" w:hAnsiTheme="majorHAnsi"/>
          <w:sz w:val="24"/>
          <w:szCs w:val="24"/>
        </w:rPr>
        <w:t xml:space="preserve"> které</w:t>
      </w:r>
      <w:r w:rsidR="00043443">
        <w:rPr>
          <w:rFonts w:asciiTheme="majorHAnsi" w:hAnsiTheme="majorHAnsi"/>
          <w:sz w:val="24"/>
          <w:szCs w:val="24"/>
        </w:rPr>
        <w:t xml:space="preserve"> si vyhradil v článku č. 8</w:t>
      </w:r>
      <w:r w:rsidR="00DB5951">
        <w:rPr>
          <w:rFonts w:asciiTheme="majorHAnsi" w:hAnsiTheme="majorHAnsi"/>
          <w:sz w:val="24"/>
          <w:szCs w:val="24"/>
        </w:rPr>
        <w:t xml:space="preserve"> smlouvy.</w:t>
      </w:r>
      <w:r w:rsidR="00FB79E8">
        <w:rPr>
          <w:rFonts w:asciiTheme="majorHAnsi" w:hAnsiTheme="majorHAnsi"/>
          <w:sz w:val="24"/>
          <w:szCs w:val="24"/>
        </w:rPr>
        <w:t xml:space="preserve"> Změna v rozsahu plnění smlouv</w:t>
      </w:r>
      <w:r w:rsidR="00043443">
        <w:rPr>
          <w:rFonts w:asciiTheme="majorHAnsi" w:hAnsiTheme="majorHAnsi"/>
          <w:sz w:val="24"/>
          <w:szCs w:val="24"/>
        </w:rPr>
        <w:t xml:space="preserve">y vede také </w:t>
      </w:r>
      <w:r w:rsidR="00043443" w:rsidRPr="00043443">
        <w:rPr>
          <w:rFonts w:asciiTheme="majorHAnsi" w:hAnsiTheme="majorHAnsi"/>
          <w:b/>
          <w:sz w:val="24"/>
          <w:szCs w:val="24"/>
        </w:rPr>
        <w:t>ke změně ceny díla</w:t>
      </w:r>
      <w:r w:rsidR="00FB79E8">
        <w:rPr>
          <w:rFonts w:asciiTheme="majorHAnsi" w:hAnsiTheme="majorHAnsi"/>
          <w:sz w:val="24"/>
          <w:szCs w:val="24"/>
        </w:rPr>
        <w:t xml:space="preserve"> </w:t>
      </w:r>
      <w:r w:rsidR="007A57BA">
        <w:rPr>
          <w:rFonts w:asciiTheme="majorHAnsi" w:hAnsiTheme="majorHAnsi"/>
          <w:sz w:val="24"/>
          <w:szCs w:val="24"/>
        </w:rPr>
        <w:t>vymezené</w:t>
      </w:r>
      <w:r w:rsidR="00FB79E8">
        <w:rPr>
          <w:rFonts w:asciiTheme="majorHAnsi" w:hAnsiTheme="majorHAnsi"/>
          <w:sz w:val="24"/>
          <w:szCs w:val="24"/>
        </w:rPr>
        <w:t xml:space="preserve"> v</w:t>
      </w:r>
      <w:r w:rsidR="00043443">
        <w:rPr>
          <w:rFonts w:asciiTheme="majorHAnsi" w:hAnsiTheme="majorHAnsi"/>
          <w:sz w:val="24"/>
          <w:szCs w:val="24"/>
        </w:rPr>
        <w:t> článku 7 odst. 1 smlouvy.</w:t>
      </w:r>
    </w:p>
    <w:p w:rsidR="00FB79E8" w:rsidRPr="00FB79E8" w:rsidRDefault="00FB79E8" w:rsidP="00FB79E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FB79E8">
        <w:rPr>
          <w:rFonts w:asciiTheme="majorHAnsi" w:hAnsiTheme="majorHAnsi"/>
          <w:sz w:val="24"/>
          <w:szCs w:val="24"/>
        </w:rPr>
        <w:t xml:space="preserve">Rozsah změny předmětu plnění </w:t>
      </w:r>
      <w:r w:rsidRPr="00043443">
        <w:rPr>
          <w:rFonts w:asciiTheme="majorHAnsi" w:hAnsiTheme="majorHAnsi"/>
          <w:b/>
          <w:sz w:val="24"/>
          <w:szCs w:val="24"/>
        </w:rPr>
        <w:t xml:space="preserve">je uveden ve změnovém listu </w:t>
      </w:r>
      <w:r w:rsidRPr="00FB79E8">
        <w:rPr>
          <w:rFonts w:asciiTheme="majorHAnsi" w:hAnsiTheme="majorHAnsi"/>
          <w:sz w:val="24"/>
          <w:szCs w:val="24"/>
        </w:rPr>
        <w:t>v příloze č. 1, který je nedílnou součástí tohoto dodatku.</w:t>
      </w:r>
    </w:p>
    <w:p w:rsidR="00043443" w:rsidRPr="00043443" w:rsidRDefault="00FB79E8" w:rsidP="00FB79E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043443">
        <w:rPr>
          <w:rFonts w:asciiTheme="majorHAnsi" w:hAnsiTheme="majorHAnsi"/>
          <w:sz w:val="24"/>
          <w:szCs w:val="24"/>
        </w:rPr>
        <w:t xml:space="preserve">Původní cena </w:t>
      </w:r>
      <w:r w:rsidR="00043443" w:rsidRPr="00043443">
        <w:rPr>
          <w:rFonts w:asciiTheme="majorHAnsi" w:hAnsiTheme="majorHAnsi"/>
          <w:sz w:val="24"/>
          <w:szCs w:val="24"/>
        </w:rPr>
        <w:t>díla</w:t>
      </w:r>
      <w:r w:rsidRPr="00043443">
        <w:rPr>
          <w:rFonts w:asciiTheme="majorHAnsi" w:hAnsiTheme="majorHAnsi"/>
          <w:sz w:val="24"/>
          <w:szCs w:val="24"/>
        </w:rPr>
        <w:t xml:space="preserve"> ve smlouvě byla stanovena následovně:</w:t>
      </w:r>
    </w:p>
    <w:p w:rsidR="00043443" w:rsidRPr="00043443" w:rsidRDefault="00043443" w:rsidP="00043443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Cena díla je dána dohodou smluvních stran jako cena smluvní a činí:</w:t>
      </w:r>
    </w:p>
    <w:p w:rsidR="00043443" w:rsidRPr="00043443" w:rsidRDefault="00043443" w:rsidP="00043443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cena bez DPH:</w:t>
      </w:r>
      <w:r w:rsidRPr="00043443">
        <w:rPr>
          <w:rFonts w:asciiTheme="majorHAnsi" w:hAnsiTheme="majorHAnsi"/>
          <w:i/>
          <w:sz w:val="24"/>
          <w:szCs w:val="24"/>
        </w:rPr>
        <w:tab/>
      </w:r>
      <w:r w:rsidR="00B805BE">
        <w:rPr>
          <w:rFonts w:asciiTheme="majorHAnsi" w:hAnsiTheme="majorHAnsi"/>
          <w:i/>
          <w:sz w:val="24"/>
          <w:szCs w:val="24"/>
        </w:rPr>
        <w:t xml:space="preserve"> </w:t>
      </w:r>
      <w:r w:rsidR="00CE765F" w:rsidRPr="00CE765F">
        <w:rPr>
          <w:rFonts w:asciiTheme="majorHAnsi" w:hAnsiTheme="majorHAnsi"/>
          <w:i/>
          <w:sz w:val="24"/>
          <w:szCs w:val="24"/>
        </w:rPr>
        <w:t xml:space="preserve">371.660,26 </w:t>
      </w:r>
      <w:r w:rsidRPr="00043443">
        <w:rPr>
          <w:rFonts w:asciiTheme="majorHAnsi" w:hAnsiTheme="majorHAnsi"/>
          <w:i/>
          <w:sz w:val="24"/>
          <w:szCs w:val="24"/>
        </w:rPr>
        <w:t>Kč.</w:t>
      </w:r>
      <w:r w:rsidRPr="00043443">
        <w:rPr>
          <w:rFonts w:asciiTheme="majorHAnsi" w:hAnsiTheme="majorHAnsi"/>
          <w:i/>
          <w:sz w:val="24"/>
          <w:szCs w:val="24"/>
        </w:rPr>
        <w:tab/>
      </w:r>
      <w:r w:rsidRPr="00043443">
        <w:rPr>
          <w:rFonts w:asciiTheme="majorHAnsi" w:hAnsiTheme="majorHAnsi"/>
          <w:i/>
          <w:sz w:val="24"/>
          <w:szCs w:val="24"/>
        </w:rPr>
        <w:tab/>
        <w:t xml:space="preserve"> </w:t>
      </w:r>
    </w:p>
    <w:p w:rsidR="00FB79E8" w:rsidRPr="00043443" w:rsidRDefault="00043443" w:rsidP="00043443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Daň z přidané hodnoty bude stanovena a odvedena podle platných právních předpisů.</w:t>
      </w:r>
    </w:p>
    <w:p w:rsidR="00FB79E8" w:rsidRDefault="00FB79E8" w:rsidP="00FB79E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Nová cena </w:t>
      </w:r>
      <w:r w:rsidR="00043443">
        <w:rPr>
          <w:rFonts w:asciiTheme="majorHAnsi" w:hAnsiTheme="majorHAnsi"/>
          <w:b/>
          <w:sz w:val="24"/>
          <w:szCs w:val="24"/>
        </w:rPr>
        <w:t>díla</w:t>
      </w:r>
      <w:r>
        <w:rPr>
          <w:rFonts w:asciiTheme="majorHAnsi" w:hAnsiTheme="majorHAnsi"/>
          <w:b/>
          <w:sz w:val="24"/>
          <w:szCs w:val="24"/>
        </w:rPr>
        <w:t xml:space="preserve"> po změně</w:t>
      </w:r>
      <w:r w:rsidRPr="002451FF">
        <w:rPr>
          <w:rFonts w:asciiTheme="majorHAnsi" w:hAnsiTheme="majorHAnsi"/>
          <w:b/>
          <w:sz w:val="24"/>
          <w:szCs w:val="24"/>
        </w:rPr>
        <w:t xml:space="preserve">: </w:t>
      </w:r>
    </w:p>
    <w:p w:rsidR="00043443" w:rsidRPr="00043443" w:rsidRDefault="00043443" w:rsidP="00043443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Cena díla je dána dohodou smluvních stran jako cena smluvní a činí:</w:t>
      </w:r>
    </w:p>
    <w:p w:rsidR="00043443" w:rsidRPr="00B86E4C" w:rsidRDefault="00B805BE" w:rsidP="00043443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cena bez DPH:</w:t>
      </w:r>
      <w:r>
        <w:rPr>
          <w:rFonts w:asciiTheme="majorHAnsi" w:hAnsiTheme="majorHAnsi"/>
          <w:b/>
          <w:i/>
          <w:sz w:val="24"/>
          <w:szCs w:val="24"/>
        </w:rPr>
        <w:tab/>
      </w:r>
      <w:r w:rsidR="00CE765F">
        <w:rPr>
          <w:rFonts w:asciiTheme="majorHAnsi" w:hAnsiTheme="majorHAnsi"/>
          <w:b/>
          <w:i/>
          <w:sz w:val="24"/>
          <w:szCs w:val="24"/>
        </w:rPr>
        <w:t>397.490</w:t>
      </w:r>
      <w:r w:rsidR="00CE765F" w:rsidRPr="00CE765F">
        <w:rPr>
          <w:rFonts w:asciiTheme="majorHAnsi" w:hAnsiTheme="majorHAnsi"/>
          <w:b/>
          <w:i/>
          <w:sz w:val="24"/>
          <w:szCs w:val="24"/>
        </w:rPr>
        <w:t xml:space="preserve">,26 </w:t>
      </w:r>
      <w:r w:rsidR="00043443" w:rsidRPr="00B86E4C">
        <w:rPr>
          <w:rFonts w:asciiTheme="majorHAnsi" w:hAnsiTheme="majorHAnsi"/>
          <w:b/>
          <w:i/>
          <w:sz w:val="24"/>
          <w:szCs w:val="24"/>
        </w:rPr>
        <w:t>Kč.</w:t>
      </w:r>
      <w:r w:rsidR="00043443" w:rsidRPr="00B86E4C">
        <w:rPr>
          <w:rFonts w:asciiTheme="majorHAnsi" w:hAnsiTheme="majorHAnsi"/>
          <w:b/>
          <w:i/>
          <w:sz w:val="24"/>
          <w:szCs w:val="24"/>
        </w:rPr>
        <w:tab/>
      </w:r>
      <w:r w:rsidR="00043443" w:rsidRPr="00B86E4C">
        <w:rPr>
          <w:rFonts w:asciiTheme="majorHAnsi" w:hAnsiTheme="majorHAnsi"/>
          <w:b/>
          <w:i/>
          <w:sz w:val="24"/>
          <w:szCs w:val="24"/>
        </w:rPr>
        <w:tab/>
        <w:t xml:space="preserve"> </w:t>
      </w:r>
    </w:p>
    <w:p w:rsidR="00B86E4C" w:rsidRPr="00043443" w:rsidRDefault="00043443" w:rsidP="00B86E4C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Daň z přidané hodnoty bude stanovena a odvedena podle platných právních předpisů.</w:t>
      </w:r>
    </w:p>
    <w:p w:rsidR="002A115E" w:rsidRPr="00043443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043443">
        <w:rPr>
          <w:rFonts w:asciiTheme="majorHAnsi" w:hAnsiTheme="majorHAnsi"/>
          <w:b/>
          <w:sz w:val="24"/>
          <w:szCs w:val="24"/>
        </w:rPr>
        <w:t xml:space="preserve">Odůvodnění změny: </w:t>
      </w:r>
    </w:p>
    <w:p w:rsidR="00FB79E8" w:rsidRPr="00FB79E8" w:rsidRDefault="00FB79E8" w:rsidP="00FB79E8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r w:rsidRPr="00FB79E8">
        <w:rPr>
          <w:rFonts w:asciiTheme="majorHAnsi" w:hAnsiTheme="majorHAnsi"/>
          <w:sz w:val="24"/>
          <w:szCs w:val="24"/>
        </w:rPr>
        <w:t xml:space="preserve">Odůvodnění </w:t>
      </w:r>
      <w:r>
        <w:rPr>
          <w:rFonts w:asciiTheme="majorHAnsi" w:hAnsiTheme="majorHAnsi"/>
          <w:sz w:val="24"/>
          <w:szCs w:val="24"/>
        </w:rPr>
        <w:t>změny předmětu plnění a ceny</w:t>
      </w:r>
      <w:r w:rsidR="00043443">
        <w:rPr>
          <w:rFonts w:asciiTheme="majorHAnsi" w:hAnsiTheme="majorHAnsi"/>
          <w:sz w:val="24"/>
          <w:szCs w:val="24"/>
        </w:rPr>
        <w:t xml:space="preserve"> díla</w:t>
      </w:r>
      <w:r>
        <w:rPr>
          <w:rFonts w:asciiTheme="majorHAnsi" w:hAnsiTheme="majorHAnsi"/>
          <w:sz w:val="24"/>
          <w:szCs w:val="24"/>
        </w:rPr>
        <w:t xml:space="preserve"> dle dílčích položek je uvedeno</w:t>
      </w:r>
      <w:r w:rsidRPr="00FB79E8">
        <w:rPr>
          <w:rFonts w:asciiTheme="majorHAnsi" w:hAnsiTheme="majorHAnsi"/>
          <w:sz w:val="24"/>
          <w:szCs w:val="24"/>
        </w:rPr>
        <w:t xml:space="preserve"> ve změnovém listu v příloze č. 1.</w:t>
      </w:r>
    </w:p>
    <w:p w:rsidR="00AD7212" w:rsidRPr="003C1349" w:rsidRDefault="00AD7212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:rsidR="00A060A7" w:rsidRPr="003C1349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3C1349">
        <w:rPr>
          <w:rFonts w:asciiTheme="majorHAnsi" w:hAnsiTheme="majorHAnsi"/>
          <w:sz w:val="24"/>
        </w:rPr>
        <w:t>III. </w:t>
      </w:r>
      <w:r w:rsidR="00A060A7" w:rsidRPr="003C1349">
        <w:rPr>
          <w:rFonts w:asciiTheme="majorHAnsi" w:hAnsiTheme="majorHAnsi"/>
          <w:sz w:val="24"/>
        </w:rPr>
        <w:t>ZÁVĚREČNÁ USTANOVENÍ</w:t>
      </w:r>
    </w:p>
    <w:p w:rsidR="00730E05" w:rsidRPr="00832EB0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3C1349">
        <w:rPr>
          <w:rFonts w:asciiTheme="majorHAnsi" w:hAnsiTheme="majorHAnsi" w:cs="Calibri"/>
          <w:sz w:val="24"/>
          <w:szCs w:val="24"/>
        </w:rPr>
        <w:t xml:space="preserve"> </w:t>
      </w:r>
      <w:r w:rsidR="00317648">
        <w:rPr>
          <w:rFonts w:asciiTheme="majorHAnsi" w:hAnsiTheme="majorHAnsi" w:cs="Calibri"/>
          <w:sz w:val="24"/>
          <w:szCs w:val="24"/>
        </w:rPr>
        <w:t>podpisem druhé smluvní strany</w:t>
      </w:r>
      <w:r w:rsidR="0089228D">
        <w:rPr>
          <w:rFonts w:asciiTheme="majorHAnsi" w:hAnsiTheme="majorHAnsi" w:cs="Calibri"/>
          <w:sz w:val="24"/>
          <w:szCs w:val="24"/>
        </w:rPr>
        <w:t xml:space="preserve"> a účinnosti </w:t>
      </w:r>
      <w:r w:rsidR="0089228D" w:rsidRPr="0089228D">
        <w:rPr>
          <w:rFonts w:asciiTheme="majorHAnsi" w:hAnsiTheme="majorHAnsi" w:cs="Calibri"/>
          <w:sz w:val="24"/>
          <w:szCs w:val="24"/>
        </w:rPr>
        <w:t>zveřejněním v registru smluv.</w:t>
      </w:r>
    </w:p>
    <w:p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:rsidR="00730E05" w:rsidRDefault="00D2650A" w:rsidP="00CE765F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Ostatní ustanovení s</w:t>
      </w:r>
      <w:r w:rsidR="00337DAE" w:rsidRPr="003C1349">
        <w:rPr>
          <w:rFonts w:asciiTheme="majorHAnsi" w:hAnsiTheme="majorHAnsi"/>
          <w:sz w:val="24"/>
          <w:szCs w:val="24"/>
        </w:rPr>
        <w:t>mlouvy</w:t>
      </w:r>
      <w:r w:rsidR="00CF5455">
        <w:rPr>
          <w:rFonts w:asciiTheme="majorHAnsi" w:hAnsiTheme="majorHAnsi"/>
          <w:sz w:val="24"/>
          <w:szCs w:val="24"/>
        </w:rPr>
        <w:t xml:space="preserve"> č. </w:t>
      </w:r>
      <w:r w:rsidR="00CE765F">
        <w:rPr>
          <w:rFonts w:asciiTheme="majorHAnsi" w:hAnsiTheme="majorHAnsi"/>
          <w:sz w:val="24"/>
          <w:szCs w:val="24"/>
        </w:rPr>
        <w:t xml:space="preserve">PK/1876/2021 </w:t>
      </w:r>
      <w:r w:rsidR="00337DAE" w:rsidRPr="003C1349">
        <w:rPr>
          <w:rFonts w:asciiTheme="majorHAnsi" w:hAnsiTheme="majorHAnsi"/>
          <w:sz w:val="24"/>
          <w:szCs w:val="24"/>
        </w:rPr>
        <w:t>zůstávají nezměněna.</w:t>
      </w:r>
    </w:p>
    <w:p w:rsidR="002D3A75" w:rsidRPr="003413B4" w:rsidRDefault="0089228D" w:rsidP="003413B4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89228D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 w:rsidR="003413B4">
        <w:rPr>
          <w:rFonts w:asciiTheme="majorHAnsi" w:hAnsiTheme="majorHAnsi"/>
          <w:color w:val="000000"/>
          <w:sz w:val="24"/>
          <w:lang w:val="cs-CZ"/>
        </w:rPr>
        <w:t>Dodavatel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2451FF">
        <w:rPr>
          <w:rFonts w:asciiTheme="majorHAnsi" w:hAnsiTheme="majorHAnsi"/>
          <w:color w:val="000000"/>
          <w:sz w:val="24"/>
          <w:lang w:val="cs-CZ"/>
        </w:rPr>
        <w:t>objednateli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potřebnou součinnost podle zákona č. 340/2015 Sb.,  o zvláštních podmínkách účinnosti některých smluv, uveřejňování těchto smluv a o registru smluv (zákon o registru smluv). </w:t>
      </w:r>
      <w:r w:rsidR="00551BC0"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3413B4">
        <w:rPr>
          <w:rFonts w:asciiTheme="majorHAnsi" w:hAnsiTheme="majorHAnsi"/>
          <w:color w:val="000000"/>
          <w:sz w:val="24"/>
          <w:lang w:val="cs-CZ"/>
        </w:rPr>
        <w:t>Dodavatel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2451FF" w:rsidRPr="003018B6" w:rsidRDefault="00FB79E8" w:rsidP="003018B6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O</w:t>
      </w:r>
      <w:r w:rsidR="002D3A75">
        <w:rPr>
          <w:rFonts w:asciiTheme="majorHAnsi" w:hAnsiTheme="majorHAnsi"/>
          <w:color w:val="000000"/>
          <w:sz w:val="24"/>
          <w:lang w:val="cs-CZ"/>
        </w:rPr>
        <w:t>bjednatel</w:t>
      </w:r>
      <w:r>
        <w:rPr>
          <w:rFonts w:asciiTheme="majorHAnsi" w:hAnsiTheme="majorHAnsi"/>
          <w:color w:val="000000"/>
          <w:sz w:val="24"/>
          <w:lang w:val="cs-CZ"/>
        </w:rPr>
        <w:t xml:space="preserve"> má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povinnost podle ustanovení § 219 zákona č. 134/2016 Sb., o zadávání veřejných zakázek, ve znění pozdějších předpisů, zveřejnit smlouvu (plný text) se </w:t>
      </w:r>
      <w:r w:rsidR="003413B4">
        <w:rPr>
          <w:rFonts w:asciiTheme="majorHAnsi" w:hAnsiTheme="majorHAnsi"/>
          <w:color w:val="000000"/>
          <w:sz w:val="24"/>
          <w:lang w:val="cs-CZ"/>
        </w:rPr>
        <w:t>dodavatel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>em vč. jejich změn a dodatků na svém profilu zadavatele a uveřejnit</w:t>
      </w:r>
      <w:r w:rsidR="002D3A75">
        <w:rPr>
          <w:rFonts w:asciiTheme="majorHAnsi" w:hAnsiTheme="majorHAnsi"/>
          <w:color w:val="000000"/>
          <w:sz w:val="24"/>
          <w:lang w:val="cs-CZ"/>
        </w:rPr>
        <w:t xml:space="preserve"> skutečně </w:t>
      </w:r>
      <w:r>
        <w:rPr>
          <w:rFonts w:asciiTheme="majorHAnsi" w:hAnsiTheme="majorHAnsi"/>
          <w:color w:val="000000"/>
          <w:sz w:val="24"/>
          <w:lang w:val="cs-CZ"/>
        </w:rPr>
        <w:t>uhrazenou cenu plnění a</w:t>
      </w:r>
      <w:r w:rsidR="002D3A75"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3413B4">
        <w:rPr>
          <w:rFonts w:asciiTheme="majorHAnsi" w:hAnsiTheme="majorHAnsi"/>
          <w:color w:val="000000"/>
          <w:sz w:val="24"/>
          <w:lang w:val="cs-CZ"/>
        </w:rPr>
        <w:t>dodavatel</w:t>
      </w:r>
      <w:r w:rsidR="00756C8F">
        <w:rPr>
          <w:rFonts w:asciiTheme="majorHAnsi" w:hAnsiTheme="majorHAnsi"/>
          <w:color w:val="000000"/>
          <w:sz w:val="24"/>
          <w:lang w:val="cs-CZ"/>
        </w:rPr>
        <w:t xml:space="preserve"> je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povinen poskytnout objednateli potřebnou součinnost podle ustanovení § 219 zákona č. 134/2016 Sb., o zadávání veřejných zakázek, ve znění pozdějších předpisů. </w:t>
      </w:r>
      <w:r w:rsidR="003413B4">
        <w:rPr>
          <w:rFonts w:asciiTheme="majorHAnsi" w:hAnsiTheme="majorHAnsi"/>
          <w:color w:val="000000"/>
          <w:sz w:val="24"/>
          <w:lang w:val="cs-CZ"/>
        </w:rPr>
        <w:t>Dodavatel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</w:t>
      </w:r>
      <w:r w:rsidR="002451FF">
        <w:rPr>
          <w:rFonts w:asciiTheme="majorHAnsi" w:hAnsiTheme="majorHAnsi"/>
          <w:color w:val="000000"/>
          <w:sz w:val="24"/>
          <w:lang w:val="cs-CZ"/>
        </w:rPr>
        <w:t>hlas</w:t>
      </w:r>
      <w:r w:rsidR="005B7574">
        <w:rPr>
          <w:rFonts w:asciiTheme="majorHAnsi" w:hAnsiTheme="majorHAnsi"/>
          <w:color w:val="000000"/>
          <w:sz w:val="24"/>
          <w:lang w:val="cs-CZ"/>
        </w:rPr>
        <w:t>.</w:t>
      </w:r>
    </w:p>
    <w:p w:rsidR="009358FF" w:rsidRPr="00E0156D" w:rsidRDefault="003A1341" w:rsidP="00E0156D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lastRenderedPageBreak/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:rsidR="00103440" w:rsidRDefault="00614984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3018B6">
        <w:rPr>
          <w:rFonts w:asciiTheme="majorHAnsi" w:hAnsiTheme="majorHAnsi"/>
          <w:sz w:val="24"/>
          <w:szCs w:val="24"/>
        </w:rPr>
        <w:t xml:space="preserve"> má 3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DB5951">
        <w:rPr>
          <w:rFonts w:asciiTheme="majorHAnsi" w:hAnsiTheme="majorHAnsi"/>
          <w:sz w:val="24"/>
          <w:szCs w:val="24"/>
        </w:rPr>
        <w:t>objednatel</w:t>
      </w:r>
      <w:r w:rsidR="00317648">
        <w:rPr>
          <w:rFonts w:asciiTheme="majorHAnsi" w:hAnsiTheme="majorHAnsi"/>
          <w:sz w:val="24"/>
          <w:szCs w:val="24"/>
        </w:rPr>
        <w:t xml:space="preserve"> i </w:t>
      </w:r>
      <w:r w:rsidR="003413B4">
        <w:rPr>
          <w:rFonts w:asciiTheme="majorHAnsi" w:hAnsiTheme="majorHAnsi"/>
          <w:sz w:val="24"/>
          <w:szCs w:val="24"/>
        </w:rPr>
        <w:t>dodavatel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:rsidR="00FC279E" w:rsidRDefault="00FC279E" w:rsidP="00FC279E">
      <w:pPr>
        <w:pStyle w:val="Odstavecseseznamem"/>
        <w:numPr>
          <w:ilvl w:val="0"/>
          <w:numId w:val="27"/>
        </w:numPr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Nedílnou, nikoliv však nutně pevně spojenou součástí tohoto dodatku jsou tyto přílohy:</w:t>
      </w:r>
    </w:p>
    <w:p w:rsidR="00FC279E" w:rsidRDefault="00FC279E" w:rsidP="00FC279E">
      <w:pPr>
        <w:pStyle w:val="Odstavecseseznamem"/>
        <w:ind w:left="360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•</w:t>
      </w:r>
      <w:r>
        <w:rPr>
          <w:rFonts w:asciiTheme="majorHAnsi" w:hAnsiTheme="majorHAnsi"/>
          <w:color w:val="000000"/>
          <w:sz w:val="24"/>
          <w:lang w:val="cs-CZ"/>
        </w:rPr>
        <w:tab/>
        <w:t>Přílo</w:t>
      </w:r>
      <w:r w:rsidR="003027D7">
        <w:rPr>
          <w:rFonts w:asciiTheme="majorHAnsi" w:hAnsiTheme="majorHAnsi"/>
          <w:color w:val="000000"/>
          <w:sz w:val="24"/>
          <w:lang w:val="cs-CZ"/>
        </w:rPr>
        <w:t>h</w:t>
      </w:r>
      <w:r w:rsidR="00FF1B96">
        <w:rPr>
          <w:rFonts w:asciiTheme="majorHAnsi" w:hAnsiTheme="majorHAnsi"/>
          <w:color w:val="000000"/>
          <w:sz w:val="24"/>
          <w:lang w:val="cs-CZ"/>
        </w:rPr>
        <w:t>a č. 1 – Změnový list ze dne  01. 12</w:t>
      </w:r>
      <w:r>
        <w:rPr>
          <w:rFonts w:asciiTheme="majorHAnsi" w:hAnsiTheme="majorHAnsi"/>
          <w:color w:val="000000"/>
          <w:sz w:val="24"/>
          <w:lang w:val="cs-CZ"/>
        </w:rPr>
        <w:t>. 2021</w:t>
      </w:r>
    </w:p>
    <w:p w:rsidR="00FC279E" w:rsidRDefault="00FC279E" w:rsidP="00FC279E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6067FA">
        <w:rPr>
          <w:rFonts w:asciiTheme="majorHAnsi" w:hAnsiTheme="majorHAnsi" w:cs="Calibri"/>
          <w:sz w:val="24"/>
        </w:rPr>
        <w:t>dne</w:t>
      </w:r>
      <w:proofErr w:type="spellEnd"/>
      <w:r w:rsidR="002A115E" w:rsidRPr="006067FA">
        <w:rPr>
          <w:rFonts w:asciiTheme="majorHAnsi" w:hAnsiTheme="majorHAnsi" w:cs="Calibri"/>
          <w:sz w:val="24"/>
        </w:rPr>
        <w:t xml:space="preserve"> </w:t>
      </w:r>
      <w:r w:rsidR="00FF1B96">
        <w:rPr>
          <w:rFonts w:asciiTheme="majorHAnsi" w:hAnsiTheme="majorHAnsi" w:cs="Calibri"/>
          <w:sz w:val="24"/>
        </w:rPr>
        <w:t>21. 12</w:t>
      </w:r>
      <w:r w:rsidR="002A115E" w:rsidRPr="006067FA">
        <w:rPr>
          <w:rFonts w:asciiTheme="majorHAnsi" w:hAnsiTheme="majorHAnsi" w:cs="Calibri"/>
          <w:sz w:val="24"/>
        </w:rPr>
        <w:t>.</w:t>
      </w:r>
      <w:r w:rsidR="00F4346E">
        <w:rPr>
          <w:rFonts w:asciiTheme="majorHAnsi" w:hAnsiTheme="majorHAnsi" w:cs="Calibri"/>
          <w:sz w:val="24"/>
        </w:rPr>
        <w:t xml:space="preserve"> 2021</w:t>
      </w:r>
      <w:r w:rsidR="00317648">
        <w:rPr>
          <w:rFonts w:asciiTheme="majorHAnsi" w:hAnsiTheme="majorHAnsi" w:cs="Calibri"/>
          <w:sz w:val="24"/>
        </w:rPr>
        <w:t xml:space="preserve">                       </w:t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</w:t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C6506C">
        <w:rPr>
          <w:rFonts w:asciiTheme="majorHAnsi" w:hAnsiTheme="majorHAnsi" w:cs="Calibri"/>
          <w:sz w:val="24"/>
        </w:rPr>
        <w:t xml:space="preserve">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B5951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FF1B96">
        <w:rPr>
          <w:rFonts w:asciiTheme="majorHAnsi" w:hAnsiTheme="majorHAnsi" w:cs="Calibri"/>
          <w:sz w:val="24"/>
        </w:rPr>
        <w:t xml:space="preserve"> 21</w:t>
      </w:r>
      <w:r w:rsidR="00317648">
        <w:rPr>
          <w:rFonts w:asciiTheme="majorHAnsi" w:hAnsiTheme="majorHAnsi" w:cs="Calibri"/>
          <w:sz w:val="24"/>
        </w:rPr>
        <w:t>.</w:t>
      </w:r>
      <w:r w:rsidR="00FF1B96">
        <w:rPr>
          <w:rFonts w:asciiTheme="majorHAnsi" w:hAnsiTheme="majorHAnsi" w:cs="Calibri"/>
          <w:sz w:val="24"/>
        </w:rPr>
        <w:t xml:space="preserve"> 12</w:t>
      </w:r>
      <w:r w:rsidR="005732AC">
        <w:rPr>
          <w:rFonts w:asciiTheme="majorHAnsi" w:hAnsiTheme="majorHAnsi" w:cs="Calibri"/>
          <w:sz w:val="24"/>
        </w:rPr>
        <w:t>.</w:t>
      </w:r>
      <w:r w:rsidR="00C6506C">
        <w:rPr>
          <w:rFonts w:asciiTheme="majorHAnsi" w:hAnsiTheme="majorHAnsi" w:cs="Calibri"/>
          <w:sz w:val="24"/>
        </w:rPr>
        <w:t xml:space="preserve"> </w:t>
      </w:r>
      <w:r w:rsidR="00F4346E">
        <w:rPr>
          <w:rFonts w:asciiTheme="majorHAnsi" w:hAnsiTheme="majorHAnsi" w:cs="Calibri"/>
          <w:sz w:val="24"/>
        </w:rPr>
        <w:t>2021</w:t>
      </w: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:rsidR="00D2650A" w:rsidRPr="003C1349" w:rsidRDefault="00DB5951" w:rsidP="0039339A">
      <w:pPr>
        <w:spacing w:before="120"/>
        <w:contextualSpacing/>
        <w:jc w:val="both"/>
        <w:rPr>
          <w:rFonts w:asciiTheme="majorHAnsi" w:hAnsiTheme="majorHAnsi" w:cs="Calibri"/>
          <w:sz w:val="24"/>
        </w:rPr>
      </w:pPr>
      <w:proofErr w:type="spellStart"/>
      <w:proofErr w:type="gramStart"/>
      <w:r>
        <w:rPr>
          <w:rFonts w:asciiTheme="majorHAnsi" w:hAnsiTheme="majorHAnsi" w:cs="Calibri"/>
          <w:sz w:val="24"/>
        </w:rPr>
        <w:t>objednatel</w:t>
      </w:r>
      <w:proofErr w:type="spellEnd"/>
      <w:proofErr w:type="gram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    </w:t>
      </w:r>
      <w:proofErr w:type="spellStart"/>
      <w:r w:rsidR="003413B4">
        <w:rPr>
          <w:rFonts w:asciiTheme="majorHAnsi" w:hAnsiTheme="majorHAnsi" w:cs="Calibri"/>
          <w:sz w:val="24"/>
        </w:rPr>
        <w:t>dodavatel</w:t>
      </w:r>
      <w:proofErr w:type="spellEnd"/>
    </w:p>
    <w:sectPr w:rsidR="00D2650A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33" w:rsidRDefault="002E6333">
      <w:r>
        <w:separator/>
      </w:r>
    </w:p>
    <w:p w:rsidR="002E6333" w:rsidRDefault="002E6333"/>
  </w:endnote>
  <w:endnote w:type="continuationSeparator" w:id="0">
    <w:p w:rsidR="002E6333" w:rsidRDefault="002E6333">
      <w:r>
        <w:continuationSeparator/>
      </w:r>
    </w:p>
    <w:p w:rsidR="002E6333" w:rsidRDefault="002E6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C27BC5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C27BC5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33" w:rsidRDefault="002E6333">
      <w:r>
        <w:separator/>
      </w:r>
    </w:p>
    <w:p w:rsidR="002E6333" w:rsidRDefault="002E6333"/>
  </w:footnote>
  <w:footnote w:type="continuationSeparator" w:id="0">
    <w:p w:rsidR="002E6333" w:rsidRDefault="002E6333">
      <w:r>
        <w:continuationSeparator/>
      </w:r>
    </w:p>
    <w:p w:rsidR="002E6333" w:rsidRDefault="002E6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22008"/>
    <w:multiLevelType w:val="hybridMultilevel"/>
    <w:tmpl w:val="34A645C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5"/>
  </w:num>
  <w:num w:numId="5">
    <w:abstractNumId w:val="11"/>
  </w:num>
  <w:num w:numId="6">
    <w:abstractNumId w:val="1"/>
  </w:num>
  <w:num w:numId="7">
    <w:abstractNumId w:val="17"/>
  </w:num>
  <w:num w:numId="8">
    <w:abstractNumId w:val="3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6"/>
  </w:num>
  <w:num w:numId="23">
    <w:abstractNumId w:val="2"/>
  </w:num>
  <w:num w:numId="24">
    <w:abstractNumId w:val="8"/>
  </w:num>
  <w:num w:numId="25">
    <w:abstractNumId w:val="10"/>
  </w:num>
  <w:num w:numId="26">
    <w:abstractNumId w:val="14"/>
  </w:num>
  <w:num w:numId="27">
    <w:abstractNumId w:val="0"/>
  </w:num>
  <w:num w:numId="28">
    <w:abstractNumId w:val="13"/>
  </w:num>
  <w:num w:numId="29">
    <w:abstractNumId w:val="9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412EF"/>
    <w:rsid w:val="00043443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6926"/>
    <w:rsid w:val="0008794A"/>
    <w:rsid w:val="00092785"/>
    <w:rsid w:val="000936C1"/>
    <w:rsid w:val="00095956"/>
    <w:rsid w:val="000959C9"/>
    <w:rsid w:val="00095FE3"/>
    <w:rsid w:val="000A25AE"/>
    <w:rsid w:val="000A3642"/>
    <w:rsid w:val="000A6FE0"/>
    <w:rsid w:val="000B024D"/>
    <w:rsid w:val="000B7751"/>
    <w:rsid w:val="000C07D2"/>
    <w:rsid w:val="000C3A84"/>
    <w:rsid w:val="000C5876"/>
    <w:rsid w:val="000D3052"/>
    <w:rsid w:val="000D7DB9"/>
    <w:rsid w:val="000E116B"/>
    <w:rsid w:val="000E13A9"/>
    <w:rsid w:val="000E2649"/>
    <w:rsid w:val="000E3629"/>
    <w:rsid w:val="000F4FDF"/>
    <w:rsid w:val="000F70E0"/>
    <w:rsid w:val="000F731C"/>
    <w:rsid w:val="001011C4"/>
    <w:rsid w:val="00103440"/>
    <w:rsid w:val="0011692E"/>
    <w:rsid w:val="001206DF"/>
    <w:rsid w:val="00121EFC"/>
    <w:rsid w:val="0012336B"/>
    <w:rsid w:val="0013084C"/>
    <w:rsid w:val="00131E35"/>
    <w:rsid w:val="00137B33"/>
    <w:rsid w:val="00142BAB"/>
    <w:rsid w:val="00143AD7"/>
    <w:rsid w:val="001452B6"/>
    <w:rsid w:val="00146657"/>
    <w:rsid w:val="00154569"/>
    <w:rsid w:val="00155DCB"/>
    <w:rsid w:val="001604F0"/>
    <w:rsid w:val="00166A03"/>
    <w:rsid w:val="0017198C"/>
    <w:rsid w:val="00174AFE"/>
    <w:rsid w:val="001763AC"/>
    <w:rsid w:val="001763E0"/>
    <w:rsid w:val="00176AF6"/>
    <w:rsid w:val="00182989"/>
    <w:rsid w:val="00182B99"/>
    <w:rsid w:val="00182C05"/>
    <w:rsid w:val="00190790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C5355"/>
    <w:rsid w:val="001D186A"/>
    <w:rsid w:val="001D47E4"/>
    <w:rsid w:val="001E0487"/>
    <w:rsid w:val="001E49B2"/>
    <w:rsid w:val="001E4D90"/>
    <w:rsid w:val="001F0C13"/>
    <w:rsid w:val="002024CA"/>
    <w:rsid w:val="00206435"/>
    <w:rsid w:val="002066F3"/>
    <w:rsid w:val="00207FCC"/>
    <w:rsid w:val="00210E5E"/>
    <w:rsid w:val="00213203"/>
    <w:rsid w:val="00222580"/>
    <w:rsid w:val="002347BF"/>
    <w:rsid w:val="00235D74"/>
    <w:rsid w:val="00236144"/>
    <w:rsid w:val="002437BE"/>
    <w:rsid w:val="002451FF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90262"/>
    <w:rsid w:val="002926F4"/>
    <w:rsid w:val="002A053C"/>
    <w:rsid w:val="002A115E"/>
    <w:rsid w:val="002A2D62"/>
    <w:rsid w:val="002B1022"/>
    <w:rsid w:val="002B1714"/>
    <w:rsid w:val="002B38C8"/>
    <w:rsid w:val="002B40D8"/>
    <w:rsid w:val="002B6281"/>
    <w:rsid w:val="002C66A5"/>
    <w:rsid w:val="002D0528"/>
    <w:rsid w:val="002D3A75"/>
    <w:rsid w:val="002D5D1C"/>
    <w:rsid w:val="002D5FCD"/>
    <w:rsid w:val="002D6769"/>
    <w:rsid w:val="002D7602"/>
    <w:rsid w:val="002E32BC"/>
    <w:rsid w:val="002E6333"/>
    <w:rsid w:val="002F5D4D"/>
    <w:rsid w:val="002F7BC3"/>
    <w:rsid w:val="002F7DDA"/>
    <w:rsid w:val="003018B6"/>
    <w:rsid w:val="003027D7"/>
    <w:rsid w:val="003038D5"/>
    <w:rsid w:val="003072F7"/>
    <w:rsid w:val="00310B88"/>
    <w:rsid w:val="00311155"/>
    <w:rsid w:val="0031390F"/>
    <w:rsid w:val="0031599A"/>
    <w:rsid w:val="00317648"/>
    <w:rsid w:val="00320B88"/>
    <w:rsid w:val="00324D3B"/>
    <w:rsid w:val="00334CE6"/>
    <w:rsid w:val="00337169"/>
    <w:rsid w:val="00337DAE"/>
    <w:rsid w:val="003413B4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339A"/>
    <w:rsid w:val="00394C79"/>
    <w:rsid w:val="00395EE1"/>
    <w:rsid w:val="003977B4"/>
    <w:rsid w:val="003977EF"/>
    <w:rsid w:val="003A1341"/>
    <w:rsid w:val="003A1398"/>
    <w:rsid w:val="003A1A5E"/>
    <w:rsid w:val="003A7982"/>
    <w:rsid w:val="003B3456"/>
    <w:rsid w:val="003B4AFD"/>
    <w:rsid w:val="003C1349"/>
    <w:rsid w:val="003C47BA"/>
    <w:rsid w:val="003C5D8B"/>
    <w:rsid w:val="003D424B"/>
    <w:rsid w:val="003D4755"/>
    <w:rsid w:val="003D4FEC"/>
    <w:rsid w:val="003D512B"/>
    <w:rsid w:val="003D6630"/>
    <w:rsid w:val="003D6924"/>
    <w:rsid w:val="003F0454"/>
    <w:rsid w:val="003F18CD"/>
    <w:rsid w:val="003F22DC"/>
    <w:rsid w:val="003F53B7"/>
    <w:rsid w:val="003F680E"/>
    <w:rsid w:val="0040246A"/>
    <w:rsid w:val="00402DEA"/>
    <w:rsid w:val="004040B0"/>
    <w:rsid w:val="00412FE5"/>
    <w:rsid w:val="00413653"/>
    <w:rsid w:val="004169EC"/>
    <w:rsid w:val="004175FF"/>
    <w:rsid w:val="0042148A"/>
    <w:rsid w:val="004257D7"/>
    <w:rsid w:val="00431199"/>
    <w:rsid w:val="00433E6B"/>
    <w:rsid w:val="0043456E"/>
    <w:rsid w:val="00441746"/>
    <w:rsid w:val="00454B96"/>
    <w:rsid w:val="00460483"/>
    <w:rsid w:val="0046472F"/>
    <w:rsid w:val="00464E51"/>
    <w:rsid w:val="004730AF"/>
    <w:rsid w:val="0047589E"/>
    <w:rsid w:val="00496B11"/>
    <w:rsid w:val="00496CE1"/>
    <w:rsid w:val="004A531E"/>
    <w:rsid w:val="004A53E2"/>
    <w:rsid w:val="004A6C86"/>
    <w:rsid w:val="004B340B"/>
    <w:rsid w:val="004B4FFD"/>
    <w:rsid w:val="004B53E6"/>
    <w:rsid w:val="004B67CC"/>
    <w:rsid w:val="004C035E"/>
    <w:rsid w:val="004C1F39"/>
    <w:rsid w:val="004C495D"/>
    <w:rsid w:val="004D1454"/>
    <w:rsid w:val="004E1AE1"/>
    <w:rsid w:val="004E29B8"/>
    <w:rsid w:val="004F78DB"/>
    <w:rsid w:val="005045F5"/>
    <w:rsid w:val="00505FF4"/>
    <w:rsid w:val="00507945"/>
    <w:rsid w:val="005079F5"/>
    <w:rsid w:val="00510156"/>
    <w:rsid w:val="00514159"/>
    <w:rsid w:val="00514DCE"/>
    <w:rsid w:val="005202D3"/>
    <w:rsid w:val="00532553"/>
    <w:rsid w:val="00532D0A"/>
    <w:rsid w:val="00544A0B"/>
    <w:rsid w:val="005455C9"/>
    <w:rsid w:val="00551BC0"/>
    <w:rsid w:val="005528DA"/>
    <w:rsid w:val="00556E18"/>
    <w:rsid w:val="00570B9B"/>
    <w:rsid w:val="0057284A"/>
    <w:rsid w:val="005732AC"/>
    <w:rsid w:val="00582670"/>
    <w:rsid w:val="00582B72"/>
    <w:rsid w:val="00583A6D"/>
    <w:rsid w:val="00585B49"/>
    <w:rsid w:val="005871BC"/>
    <w:rsid w:val="00591349"/>
    <w:rsid w:val="00591E42"/>
    <w:rsid w:val="005936FF"/>
    <w:rsid w:val="00597493"/>
    <w:rsid w:val="005A0CDF"/>
    <w:rsid w:val="005A22E3"/>
    <w:rsid w:val="005A73E6"/>
    <w:rsid w:val="005B4CAD"/>
    <w:rsid w:val="005B7574"/>
    <w:rsid w:val="005C044E"/>
    <w:rsid w:val="005C3017"/>
    <w:rsid w:val="005C7F6A"/>
    <w:rsid w:val="005D670E"/>
    <w:rsid w:val="005E74C8"/>
    <w:rsid w:val="005E77C7"/>
    <w:rsid w:val="005F0693"/>
    <w:rsid w:val="005F1143"/>
    <w:rsid w:val="00603483"/>
    <w:rsid w:val="0060399E"/>
    <w:rsid w:val="006067FA"/>
    <w:rsid w:val="00606BC7"/>
    <w:rsid w:val="00610E17"/>
    <w:rsid w:val="00611332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4548A"/>
    <w:rsid w:val="00654106"/>
    <w:rsid w:val="006620EF"/>
    <w:rsid w:val="006636CD"/>
    <w:rsid w:val="00665E24"/>
    <w:rsid w:val="0066668C"/>
    <w:rsid w:val="00670284"/>
    <w:rsid w:val="00682CDE"/>
    <w:rsid w:val="00684638"/>
    <w:rsid w:val="0068463D"/>
    <w:rsid w:val="006859B7"/>
    <w:rsid w:val="00691468"/>
    <w:rsid w:val="006956B7"/>
    <w:rsid w:val="006972F6"/>
    <w:rsid w:val="006A0DD6"/>
    <w:rsid w:val="006A494E"/>
    <w:rsid w:val="006A759E"/>
    <w:rsid w:val="006C14C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3E59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56C8F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A57BA"/>
    <w:rsid w:val="007B7BAB"/>
    <w:rsid w:val="007C4EC8"/>
    <w:rsid w:val="007D22CE"/>
    <w:rsid w:val="007D3B89"/>
    <w:rsid w:val="007E4A0F"/>
    <w:rsid w:val="007F11EE"/>
    <w:rsid w:val="007F1325"/>
    <w:rsid w:val="00804F4C"/>
    <w:rsid w:val="00805C15"/>
    <w:rsid w:val="00807924"/>
    <w:rsid w:val="00807D83"/>
    <w:rsid w:val="00810B45"/>
    <w:rsid w:val="0081142F"/>
    <w:rsid w:val="008162A4"/>
    <w:rsid w:val="008201A2"/>
    <w:rsid w:val="00825902"/>
    <w:rsid w:val="00832EB0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572D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06A9"/>
    <w:rsid w:val="008D14FA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1A12"/>
    <w:rsid w:val="00925460"/>
    <w:rsid w:val="0093353B"/>
    <w:rsid w:val="00935030"/>
    <w:rsid w:val="009358FF"/>
    <w:rsid w:val="009500C3"/>
    <w:rsid w:val="00956973"/>
    <w:rsid w:val="00962584"/>
    <w:rsid w:val="00982A12"/>
    <w:rsid w:val="00983421"/>
    <w:rsid w:val="00991839"/>
    <w:rsid w:val="009B2A32"/>
    <w:rsid w:val="009B3EA4"/>
    <w:rsid w:val="009C076A"/>
    <w:rsid w:val="009C24D6"/>
    <w:rsid w:val="009C6A0D"/>
    <w:rsid w:val="009D0EC2"/>
    <w:rsid w:val="009D6DA3"/>
    <w:rsid w:val="009D7ED9"/>
    <w:rsid w:val="009E1B8E"/>
    <w:rsid w:val="009E21D5"/>
    <w:rsid w:val="009E2260"/>
    <w:rsid w:val="009F2B28"/>
    <w:rsid w:val="009F568A"/>
    <w:rsid w:val="00A00B02"/>
    <w:rsid w:val="00A04874"/>
    <w:rsid w:val="00A0508B"/>
    <w:rsid w:val="00A060A7"/>
    <w:rsid w:val="00A0681B"/>
    <w:rsid w:val="00A06919"/>
    <w:rsid w:val="00A072F0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07CF"/>
    <w:rsid w:val="00A67641"/>
    <w:rsid w:val="00A74B0E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2E7E"/>
    <w:rsid w:val="00AE5FAD"/>
    <w:rsid w:val="00AF538F"/>
    <w:rsid w:val="00B0039A"/>
    <w:rsid w:val="00B0362E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6C7"/>
    <w:rsid w:val="00B60C55"/>
    <w:rsid w:val="00B655F0"/>
    <w:rsid w:val="00B670CC"/>
    <w:rsid w:val="00B70785"/>
    <w:rsid w:val="00B805BE"/>
    <w:rsid w:val="00B81669"/>
    <w:rsid w:val="00B8478F"/>
    <w:rsid w:val="00B86D15"/>
    <w:rsid w:val="00B86E4C"/>
    <w:rsid w:val="00BA4788"/>
    <w:rsid w:val="00BB2B77"/>
    <w:rsid w:val="00BB3322"/>
    <w:rsid w:val="00BB45CE"/>
    <w:rsid w:val="00BB71C5"/>
    <w:rsid w:val="00BC00C4"/>
    <w:rsid w:val="00BD6F7D"/>
    <w:rsid w:val="00BE159C"/>
    <w:rsid w:val="00BE6734"/>
    <w:rsid w:val="00BF2C4F"/>
    <w:rsid w:val="00C1784B"/>
    <w:rsid w:val="00C17902"/>
    <w:rsid w:val="00C2046F"/>
    <w:rsid w:val="00C21AA5"/>
    <w:rsid w:val="00C21FBE"/>
    <w:rsid w:val="00C27BC5"/>
    <w:rsid w:val="00C32C31"/>
    <w:rsid w:val="00C444B3"/>
    <w:rsid w:val="00C4496F"/>
    <w:rsid w:val="00C449D3"/>
    <w:rsid w:val="00C60815"/>
    <w:rsid w:val="00C62186"/>
    <w:rsid w:val="00C644C9"/>
    <w:rsid w:val="00C6506C"/>
    <w:rsid w:val="00C662AA"/>
    <w:rsid w:val="00C666CA"/>
    <w:rsid w:val="00C7633C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C4BB0"/>
    <w:rsid w:val="00CC7B65"/>
    <w:rsid w:val="00CD44BA"/>
    <w:rsid w:val="00CD6CD2"/>
    <w:rsid w:val="00CD7E26"/>
    <w:rsid w:val="00CE00BE"/>
    <w:rsid w:val="00CE765F"/>
    <w:rsid w:val="00CE77E6"/>
    <w:rsid w:val="00CF0109"/>
    <w:rsid w:val="00CF5455"/>
    <w:rsid w:val="00D02543"/>
    <w:rsid w:val="00D02917"/>
    <w:rsid w:val="00D1104D"/>
    <w:rsid w:val="00D150CA"/>
    <w:rsid w:val="00D16496"/>
    <w:rsid w:val="00D2650A"/>
    <w:rsid w:val="00D27E6D"/>
    <w:rsid w:val="00D27EC2"/>
    <w:rsid w:val="00D308CB"/>
    <w:rsid w:val="00D31264"/>
    <w:rsid w:val="00D42477"/>
    <w:rsid w:val="00D50E54"/>
    <w:rsid w:val="00D55F05"/>
    <w:rsid w:val="00D60736"/>
    <w:rsid w:val="00D6594F"/>
    <w:rsid w:val="00D84AAD"/>
    <w:rsid w:val="00DA287B"/>
    <w:rsid w:val="00DA2B49"/>
    <w:rsid w:val="00DB1A2D"/>
    <w:rsid w:val="00DB3532"/>
    <w:rsid w:val="00DB412A"/>
    <w:rsid w:val="00DB4281"/>
    <w:rsid w:val="00DB5951"/>
    <w:rsid w:val="00DC0D4C"/>
    <w:rsid w:val="00DC2F37"/>
    <w:rsid w:val="00DC6C4A"/>
    <w:rsid w:val="00DD2478"/>
    <w:rsid w:val="00DE3588"/>
    <w:rsid w:val="00DE3B04"/>
    <w:rsid w:val="00DE50F2"/>
    <w:rsid w:val="00DE55A5"/>
    <w:rsid w:val="00DF1310"/>
    <w:rsid w:val="00DF22A0"/>
    <w:rsid w:val="00E0110E"/>
    <w:rsid w:val="00E0156D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1A8C"/>
    <w:rsid w:val="00E421C0"/>
    <w:rsid w:val="00E42428"/>
    <w:rsid w:val="00E42491"/>
    <w:rsid w:val="00E425C2"/>
    <w:rsid w:val="00E4734A"/>
    <w:rsid w:val="00E50A8C"/>
    <w:rsid w:val="00E63636"/>
    <w:rsid w:val="00E65A60"/>
    <w:rsid w:val="00E70644"/>
    <w:rsid w:val="00E8151A"/>
    <w:rsid w:val="00E817DA"/>
    <w:rsid w:val="00E85EFC"/>
    <w:rsid w:val="00E91EAE"/>
    <w:rsid w:val="00EA4DFB"/>
    <w:rsid w:val="00EC31ED"/>
    <w:rsid w:val="00EC34CF"/>
    <w:rsid w:val="00ED39F8"/>
    <w:rsid w:val="00ED6B25"/>
    <w:rsid w:val="00EE0841"/>
    <w:rsid w:val="00EE0B0C"/>
    <w:rsid w:val="00EE29A8"/>
    <w:rsid w:val="00EE67A7"/>
    <w:rsid w:val="00F06DA9"/>
    <w:rsid w:val="00F1784D"/>
    <w:rsid w:val="00F17F4C"/>
    <w:rsid w:val="00F2676F"/>
    <w:rsid w:val="00F3033A"/>
    <w:rsid w:val="00F327D4"/>
    <w:rsid w:val="00F32F38"/>
    <w:rsid w:val="00F35321"/>
    <w:rsid w:val="00F42A2B"/>
    <w:rsid w:val="00F433F7"/>
    <w:rsid w:val="00F4346E"/>
    <w:rsid w:val="00F45294"/>
    <w:rsid w:val="00F5349A"/>
    <w:rsid w:val="00F60038"/>
    <w:rsid w:val="00F62292"/>
    <w:rsid w:val="00F65BCE"/>
    <w:rsid w:val="00F715B0"/>
    <w:rsid w:val="00F71DF0"/>
    <w:rsid w:val="00F724B7"/>
    <w:rsid w:val="00F85805"/>
    <w:rsid w:val="00F85DDA"/>
    <w:rsid w:val="00F93335"/>
    <w:rsid w:val="00F9609E"/>
    <w:rsid w:val="00FA4BCA"/>
    <w:rsid w:val="00FB1002"/>
    <w:rsid w:val="00FB533A"/>
    <w:rsid w:val="00FB60F5"/>
    <w:rsid w:val="00FB79E8"/>
    <w:rsid w:val="00FC02BF"/>
    <w:rsid w:val="00FC279E"/>
    <w:rsid w:val="00FC2858"/>
    <w:rsid w:val="00FC41B7"/>
    <w:rsid w:val="00FC6087"/>
    <w:rsid w:val="00FD20AE"/>
    <w:rsid w:val="00FD5315"/>
    <w:rsid w:val="00FE07E4"/>
    <w:rsid w:val="00FE0960"/>
    <w:rsid w:val="00FE25FB"/>
    <w:rsid w:val="00FE46AF"/>
    <w:rsid w:val="00FF1B96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AE20DA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3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04E225-9D30-47E3-AB79-E375FF22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1</TotalTime>
  <Pages>3</Pages>
  <Words>701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PKAdmin</cp:lastModifiedBy>
  <cp:revision>3</cp:revision>
  <cp:lastPrinted>2020-11-30T13:17:00Z</cp:lastPrinted>
  <dcterms:created xsi:type="dcterms:W3CDTF">2021-12-21T13:23:00Z</dcterms:created>
  <dcterms:modified xsi:type="dcterms:W3CDTF">2021-12-21T13:24:00Z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