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299"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DODATEK Č. 1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ke smlouvě o dílo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„Vypracování projektové dokumentace 111/34740 Březinka - průtah",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003/2021-KSÚSV, číslo smlouvy zhotovitele: 2020-000166</w:t>
      </w: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14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Objednatel: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se sídlem: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6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Necid, ředitelem organizace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referent investiční výstavby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(dále jen </w:t>
      </w:r>
      <w:r>
        <w:rPr>
          <w:rFonts w:ascii="Calibri" w:eastAsia="Calibri" w:hAnsi="Calibri" w:cs="Calibri"/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„Objednatel“</w:t>
      </w:r>
    </w:p>
    <w:p>
      <w:pPr>
        <w:widowControl w:val="0"/>
        <w:spacing w:after="159" w:line="1" w:lineRule="exact"/>
      </w:pP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PROfi Jihlava spol. s r.o.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Příkopem 933/6, 586 01 Jihlava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Bohumilem Kotlánem, jednatelem společnosti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Krajského soudu v Brně, oddíl C, vložka 1460 Osoby pověřené jednat jménem zhotovitele ve věcech smluvních: technických: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96"/>
        <w:gridCol w:w="8064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18198228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CZ18198228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58" w:val="left"/>
        </w:tabs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</w:r>
      <w:r>
        <w:fldChar w:fldCharType="begin"/>
      </w:r>
      <w:r>
        <w:rPr/>
        <w:instrText> HYPERLINK "mailto:info@profi-ji.cz"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info@profi-ji.cz</w:t>
      </w:r>
      <w:r>
        <w:fldChar w:fldCharType="end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88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(společně také jako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„Smluvnístrany"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nebo jednotlivě </w:t>
      </w:r>
      <w:r>
        <w:rPr>
          <w:rFonts w:ascii="Calibri" w:eastAsia="Calibri" w:hAnsi="Calibri" w:cs="Calibri"/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„Smluvnístrana")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požadavek Městského úřadu Havlíčkův Brod, stavebního úřadu na zpracování dokumentace a podání žádosti o vydání společného povolení na stavbu „111/34740 Březinka - průtah", viz usnesení o zastavení řízení vydané pod č.j. MHB_ST/1119/2021/Ha, uzavírají smluvní strany ke smlouvě o dílo „Vypracování projektové dokumentace 111/34740 Březinka - průtah, číslo smlouvy objednatele: 003/2021- KSÚSV, číslo smlouvy zhotovitele: 2020-000166, ze dne 11.1.2021 (dále SoD) tento Dodatek č. 1, a to v souladu s ustanovením § 222 odst. 6 zákona č. 134/2016 Sb., o zadávání veřejných zakázek.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0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30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svýše uvedeným dochází ke změně termínu pro odevzdání dokumentace PDPS nacházející se v Příloze č. 1 - Technické podmínky v části Lhůty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30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tbl>
      <w:tblPr>
        <w:tblOverlap w:val="never"/>
        <w:jc w:val="center"/>
        <w:tblLayout w:type="fixed"/>
      </w:tblPr>
      <w:tblGrid>
        <w:gridCol w:w="4637"/>
        <w:gridCol w:w="5299"/>
      </w:tblGrid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realizace: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ihned po nabytí účinnosti smlouvy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Návrh technického řešení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 měsíce od provedení sond</w:t>
            </w:r>
          </w:p>
        </w:tc>
      </w:tr>
      <w:tr>
        <w:trPr>
          <w:trHeight w:val="19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0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Koncept dokumentace DSP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 vč. projednání s dotčenými orgány stát, správy a samosprávy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2 měsíců od návrhu technického řešení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předání konceptu DSP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čistopisu DSP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 dnů od podání žádosti o SP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se novým zněním:</w:t>
      </w:r>
    </w:p>
    <w:tbl>
      <w:tblPr>
        <w:tblOverlap w:val="never"/>
        <w:jc w:val="center"/>
        <w:tblLayout w:type="fixed"/>
      </w:tblPr>
      <w:tblGrid>
        <w:gridCol w:w="4637"/>
        <w:gridCol w:w="5299"/>
      </w:tblGrid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realizace: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ihned po nabytí účinnosti smlouvy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Návrh technického řešení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 měsíce od provedení sond</w:t>
            </w:r>
          </w:p>
        </w:tc>
      </w:tr>
      <w:tr>
        <w:trPr>
          <w:trHeight w:val="17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Koncept dokumentace DUSP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DUSP vč. projednání s dotčenými orgány stát, správy a samosprávy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společného povolení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2 měsíců od návrhu technického řešení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předání konceptu DUSP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30.09. 2021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28.02. 2022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30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dochází ke změně ceny díla z důvodu rozšíření předmětu plnění o vypracování dokumentace ve stupni pro vydání společného povolení DUSP.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tbl>
      <w:tblPr>
        <w:tblOverlap w:val="never"/>
        <w:jc w:val="center"/>
        <w:tblLayout w:type="fixed"/>
      </w:tblPr>
      <w:tblGrid>
        <w:gridCol w:w="4637"/>
        <w:gridCol w:w="5299"/>
      </w:tblGrid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144.500,- Kč</w:t>
            </w:r>
          </w:p>
        </w:tc>
      </w:tr>
      <w:tr>
        <w:trPr>
          <w:trHeight w:val="8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(21%)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vč.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30.345,- Kč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174.845,- Kč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se novým zněním:</w:t>
      </w:r>
    </w:p>
    <w:tbl>
      <w:tblPr>
        <w:tblOverlap w:val="never"/>
        <w:jc w:val="center"/>
        <w:tblLayout w:type="fixed"/>
      </w:tblPr>
      <w:tblGrid>
        <w:gridCol w:w="4637"/>
        <w:gridCol w:w="5299"/>
      </w:tblGrid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154.000,-Kč</w:t>
            </w: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(21%)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vč.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32.340,- Kč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186.340,- Kč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0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SoD nedotčené Dodatkem č. 1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neupravená v Dodatku č. 1 se řídí zákonem č. 89/2012 Sb., občanský zákoník.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SoD.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třech stejnopisech, z nichž dva výtisky obdrží objednatel a dva zhotovitel.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10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5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Usnesení městského úřadu Havlíčkův Brod (č. j. MHB_ST/1119/2021/Ha)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204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Usnesení městského úřadu Havlíčkův Brod (č. j. MHB_ST/1119/2021/Ha)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539240" distL="114300" distR="1046480" simplePos="0" relativeHeight="125829378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12700</wp:posOffset>
                </wp:positionV>
                <wp:extent cx="1179830" cy="5334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Jihlavě dne: </w:t>
                            </w:r>
                            <w:r>
                              <w:rPr>
                                <w:color w:val="2B5E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.?í?: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35000000000002pt;margin-top:1.pt;width:92.900000000000006pt;height:42.pt;z-index:-125829375;mso-wrap-distance-left:9.pt;mso-wrap-distance-right:82.400000000000006pt;mso-wrap-distance-bottom:12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Jihlavě dne: </w:t>
                      </w:r>
                      <w:r>
                        <w:rPr>
                          <w:color w:val="2B5E9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.?í?: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670050" distB="0" distL="1056005" distR="114300" simplePos="0" relativeHeight="125829380" behindDoc="0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1682750</wp:posOffset>
                </wp:positionV>
                <wp:extent cx="1170305" cy="4025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7.5pt;margin-top:132.5pt;width:92.150000000000006pt;height:31.699999999999999pt;z-index:-125829373;mso-wrap-distance-left:83.150000000000006pt;mso-wrap-distance-top:131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13.12.2021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691" w:val="left"/>
          <w:tab w:leader="hyphen" w:pos="1378" w:val="left"/>
          <w:tab w:leader="hyphen" w:pos="1944" w:val="left"/>
        </w:tabs>
        <w:bidi w:val="0"/>
        <w:spacing w:before="0" w:after="10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==</w:t>
        <w:tab/>
        <w:t>/-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00" w:lineRule="auto"/>
        <w:ind w:left="0" w:right="0" w:firstLine="0"/>
        <w:jc w:val="center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742" w:left="1058" w:right="820" w:bottom="1367" w:header="314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Bóhumil Kotlán</w:t>
        <w:br/>
        <w:t>jednatel společnosti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HAVLÍČKŮV BROD</w:t>
        <w:br/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stavební úřad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Havlíčkovo náměstí 57, 580 61 Havlíčkův Brod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12700</wp:posOffset>
                </wp:positionV>
                <wp:extent cx="1703705" cy="33210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370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Havlíčkův Brod, dne 6.9.2021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JID: 80436/2021/muhb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2.5pt;margin-top:1.pt;width:134.15000000000001pt;height:26.14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Havlíčkův Brod, dne 6.9.2021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JID: 80436/2021/muhb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Č.j.: MHB_ST/1119/2021/Ha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USNESENÍ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ZASTAVENÍ ŘÍZENÍ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30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Výroková část: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Městský úřad Havlíčkův Brod jako správní orgán podle § 66 odst. 1 písm. b) zákona č. 500/2004 Sb., správní řád, ve znění pozdějších předpisů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zastavuje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zahájené dne 29.7.2021 na základě žádosti, kterou podal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 Vysočina, IČO 70890749, Žižkova 1882, 586 01 Jihlava 1, na základě zřizovací listiny jednající prostřednictvím Krajské správy a údržby silnic Vysočiny, příspěvková organizace, IČO 00090450, Kosovská 1122, 586 01 Jihlava 1, za kterou podala žádost společnost IS engineering s.r.o., IČO 25975609, Dvorek 401, 582 22 Přibyslav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"žadatel"), ve věci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III/34740 Březinka - průtah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101 - rekonstrukce silnice DI/34740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Brod, Březinka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2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pozemku pare. č. 91, 322/3, 322/1, 12, 415/1, 415/2, 415/3, 415/4, 415/5, 415/6, 415/7, 408/3, 408/1, 415/8, 410 v katastrálním území Březinka u Havlíčkova Brodu.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řízení, na něž se vztahuje rozhodnutí správního orgánu: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 Vysočina, Žižkova 1882, 586 01 Jihlava 1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Odůvodnění: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podání žádosti bylo zahájeno stavební řízení. Stavební úřad zastavil řízení podle § 66 odst. 1 písm. b) správního řádu z důvodu, že byla podána žádost zjevně právně nepřípustná. Konkrétně nebyla doložena plná moc prokazující zastupování Krajské správy a údržby silnic Vysočiny, příspěvková organizace, IČO 00090450, Kosovská 1122, 586 01 Jihlava 1 zastupující právnickou osobou, která podala žádost tj. společnost IS engineering s.r.o., IČO 25975609, Dvorek 401, 582 22 Přibyslav. Z tohoto důvodu se jedná p žádost zjevně právně nepřípustnou, neboť byla podána právnickou osobou, která neprokázala zastupování.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Poučení účastníků: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Proti tomuto usnesení se lze odvolat do 15 dnů ode dne jeho oznámení k Odboru územního plánování a stavebního řádu Krajského úřadu Kraje Vysočina podáním u zdejšího správního orgánu. Podle § 76 odst. 5 správního řádu odvolání nemá odkladný účinek.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Upozornění: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6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úřad po prostudování projektové dokumentace dále zjistil, že se jedná o stavbu, která bude vyžadovat též podle § 78 stavebního zákona rozhodnutí o umístění stavby před podáním žádosti o stavební povolení či žádost o společné povolení.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66" w:lineRule="auto"/>
        <w:ind w:left="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bude nezbytné k této/těmto žádostem doložit právo podle § 184a stavebního zákona souhlasem na situaci pro stavebníka (nikoliv jak je uvedeno u pozemku p.č. 91 pro Krajskou správu a údržbu - která není stavebníkem) a k pozemkům ve vlastnictví Města Havlíčkův Brod toto právo chybí zcela, do projektové dokumentace resp. (koordinační) situace je nutné doplnit rozsah stavebního včetně pat a hran násypů a svahování. V rámci stavebního pozemku budou mj. vyřešeny požadavky na likvidaci srážkových vod, zejména upozorňuji na odvodnění komunikace na sousední pozemky a stavby v řezech km 0,180 a 0,520.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referent stavebního úřadu</w:t>
        <w:br/>
        <w:t>otisk úředního razítka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32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Obdrží: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navrhovatel - žadatel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 Vysočina, IDDS: ksab3eu, jednající prostřednictvím Krajské správy a údržby silnic Vysočiny, příspěvková organizace, IDDS: 3qdnp8g, za kterou podala žádost spol. IS engineering s.r.o., IDDS: vpmcxcm</w:t>
      </w:r>
    </w:p>
    <w:sectPr>
      <w:headerReference w:type="default" r:id="rId7"/>
      <w:footerReference w:type="default" r:id="rId8"/>
      <w:headerReference w:type="even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742" w:left="1058" w:right="820" w:bottom="136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3168015</wp:posOffset>
              </wp:positionH>
              <wp:positionV relativeFrom="page">
                <wp:posOffset>9888855</wp:posOffset>
              </wp:positionV>
              <wp:extent cx="63373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7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9.44999999999999pt;margin-top:778.64999999999998pt;width:49.899999999999999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9852025</wp:posOffset>
              </wp:positionV>
              <wp:extent cx="635190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519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00000000000001pt;margin-top:775.75pt;width:500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3168015</wp:posOffset>
              </wp:positionH>
              <wp:positionV relativeFrom="page">
                <wp:posOffset>9888855</wp:posOffset>
              </wp:positionV>
              <wp:extent cx="633730" cy="8826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7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49.44999999999999pt;margin-top:778.64999999999998pt;width:49.899999999999999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9852025</wp:posOffset>
              </wp:positionV>
              <wp:extent cx="635190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519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00000000000001pt;margin-top:775.75pt;width:500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276225</wp:posOffset>
              </wp:positionV>
              <wp:extent cx="2950210" cy="13081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502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Č.j. MHB ST/l 119/202l/Ha-2</w:t>
                            <w:tab/>
                            <w:t>str.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8.299999999999997pt;margin-top:21.75pt;width:232.30000000000001pt;height:10.3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Č.j. MHB ST/l 119/202l/Ha-2</w:t>
                      <w:tab/>
                      <w:t>str.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Jiné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8">
    <w:name w:val="Nadpis #1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30"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  <w:spacing w:after="130"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100" w:line="264" w:lineRule="auto"/>
      <w:ind w:firstLine="3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160"/>
    </w:pPr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/Relationships>
</file>