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12700</wp:posOffset>
                </wp:positionV>
                <wp:extent cx="374650" cy="4083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®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republika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pt;width:29.5pt;height:32.1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®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nájmu plochy pro instalování velkoplošného reklamního zařízení ze dne 20. 2. 2020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" w:name="bookmark2"/>
      <w:bookmarkStart w:id="3" w:name="bookmark3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Pronajímatel: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tabs>
          <w:tab w:pos="2831" w:val="left"/>
        </w:tabs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Zastoupen:</w:t>
        <w:tab/>
        <w:t>ve věcech smluvních Ing. Radovan Necid, ředitel organizace;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502" w:val="left"/>
        </w:tabs>
        <w:bidi w:val="0"/>
        <w:spacing w:before="0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</w:t>
        <w:tab/>
        <w:t>'eferent správy majetku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Sídlem: Kosovská 1122/16, 586 011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„pronajímatel")</w:t>
      </w:r>
    </w:p>
    <w:p>
      <w:pPr>
        <w:pStyle w:val="Style10"/>
        <w:keepNext/>
        <w:keepLines/>
        <w:widowControl w:val="0"/>
        <w:shd w:val="clear" w:color="auto" w:fill="auto"/>
        <w:tabs>
          <w:tab w:pos="1402" w:val="left"/>
        </w:tabs>
        <w:bidi w:val="0"/>
        <w:spacing w:before="0"/>
        <w:ind w:left="0" w:right="0" w:firstLine="0"/>
        <w:jc w:val="left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RAILREKLAM, spol. s r.o.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Zastoupen: Ing. Georgem Kisugitem, jednatelem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Sídlem: Na strži 2097/63, Krč, 140 00 Praha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IČ:17047234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CZ17047234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„nájemce")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strany'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I.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22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Dne 20. 2. 2020 byla mezi smluvními stranami uzavřena Smlouva o nájmu plochy pro instalování velkoplošného reklamního zařízení, za účelem umístění reklamního nosiče o rozměru 5,1 x2,4 m, které je součástí pozemku p. č. 5627/1 v k. ú. Velké Meziříčí (dále rovněž jen jako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„nájemní smlouva“).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40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tomu, že se smluvní strany dohodly na změně výše uvedené nájemní smlouvy, uzavírají tento Dodatek č.2.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II.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4" w:val="left"/>
        </w:tabs>
        <w:bidi w:val="0"/>
        <w:spacing w:before="0" w:after="22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dohodly na následujících změnách nájemní smlouvy: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II. nájemní smlouvy se po vzájemné dohodě mění a nově zní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„Tato smlouva se uzavírá na dobu určitou, počínaje dnem 1. 1. 2022 - končící dnem 31. 12. 2022.“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4" w:val="left"/>
        </w:tabs>
        <w:bidi w:val="0"/>
        <w:spacing w:before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nájemní smlouvy zůstávají beze změny</w:t>
      </w: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III.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24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2 nabývá platnosti a účinnosti dnem podpisu poslední ze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240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byl vyhotoven ve dvou stejnopisech, z nichž každá ze smluvních stran obdrží jedno paré.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960"/>
        <w:ind w:left="700" w:right="0" w:hanging="36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1066800</wp:posOffset>
                </wp:positionV>
                <wp:extent cx="826135" cy="1797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2.099999999999994pt;margin-top:84.pt;width:65.049999999999997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tento Dodatek č. 2 byl uzavřen po vzájemném předchozím projednání, nikoliv v tísni či za nápadně nevýhodných podmínek, Dodatek č. 2 si přečetly a s jeho obsahem výslovně souhlasí.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70" w:val="left"/>
          <w:tab w:leader="dot" w:pos="4894" w:val="left"/>
          <w:tab w:leader="dot" w:pos="5947" w:val="left"/>
        </w:tabs>
        <w:bidi w:val="0"/>
        <w:spacing w:before="0" w:after="3440" w:line="240" w:lineRule="auto"/>
        <w:ind w:left="3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auto"/>
        <w:ind w:left="0" w:right="0" w:firstLine="32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12700</wp:posOffset>
                </wp:positionV>
                <wp:extent cx="1496695" cy="81089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6695" cy="810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George Kisugite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RAILREKLAM, spol. s i._.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6.80000000000001pt;margin-top:1.pt;width:117.84999999999999pt;height:63.8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George Kisugite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RAILREKLAM, spol. s i._.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Radoslav Ixlecid,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449" w:lineRule="auto"/>
        <w:ind w:left="3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pgSz w:w="11900" w:h="16840"/>
      <w:pgMar w:top="1436" w:left="1325" w:right="1436" w:bottom="1313" w:header="1008" w:footer="8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9">
    <w:name w:val="Nadpis #1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160" w:line="276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