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6E00F07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41B10E76" w:rsidR="00D54B35" w:rsidRPr="003A585A" w:rsidRDefault="00D01BEA" w:rsidP="009D75AA">
            <w:pPr>
              <w:pStyle w:val="Textodstavec"/>
              <w:ind w:left="0"/>
              <w:rPr>
                <w:rFonts w:ascii="Trebuchet MS" w:hAnsi="Trebuchet MS" w:cs="Arial"/>
              </w:rPr>
            </w:pPr>
            <w:proofErr w:type="spellStart"/>
            <w:r w:rsidRPr="00D01BEA">
              <w:rPr>
                <w:rFonts w:ascii="Trebuchet MS" w:hAnsi="Trebuchet MS" w:cs="Arial"/>
              </w:rPr>
              <w:t>DoxoLogic</w:t>
            </w:r>
            <w:proofErr w:type="spellEnd"/>
            <w:r w:rsidRPr="00D01BEA">
              <w:rPr>
                <w:rFonts w:ascii="Trebuchet MS" w:hAnsi="Trebuchet MS" w:cs="Arial"/>
              </w:rPr>
              <w:t>, s.r.o.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6C02AB51" w:rsidR="00D54B35" w:rsidRPr="003A585A" w:rsidRDefault="00D01BEA" w:rsidP="009D75AA">
            <w:pPr>
              <w:pStyle w:val="Textnormln"/>
              <w:spacing w:before="0" w:after="0"/>
              <w:rPr>
                <w:rFonts w:ascii="Trebuchet MS" w:hAnsi="Trebuchet MS" w:cs="Arial"/>
              </w:rPr>
            </w:pPr>
            <w:r w:rsidRPr="00D01BEA">
              <w:rPr>
                <w:rFonts w:ascii="Trebuchet MS" w:hAnsi="Trebuchet MS" w:cs="Arial"/>
              </w:rPr>
              <w:t>Karolinská 661/ 4 186 00 Praha 8</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18D13C0" w:rsidR="00D54B35" w:rsidRPr="003A585A" w:rsidRDefault="00D01BEA" w:rsidP="009D75AA">
            <w:pPr>
              <w:pStyle w:val="Textnormln"/>
              <w:spacing w:before="0" w:after="0"/>
              <w:rPr>
                <w:rFonts w:ascii="Trebuchet MS" w:hAnsi="Trebuchet MS" w:cs="Arial"/>
              </w:rPr>
            </w:pPr>
            <w:r>
              <w:rPr>
                <w:rFonts w:ascii="Trebuchet MS" w:hAnsi="Trebuchet MS" w:cs="Arial"/>
              </w:rPr>
              <w:t>+420 601 526 886</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371C7E57" w:rsidR="00D54B35" w:rsidRPr="003A585A" w:rsidRDefault="00D01BEA" w:rsidP="009D75AA">
            <w:pPr>
              <w:pStyle w:val="Textnormln"/>
              <w:spacing w:before="0" w:after="0"/>
              <w:rPr>
                <w:rFonts w:ascii="Trebuchet MS" w:hAnsi="Trebuchet MS" w:cs="Arial"/>
              </w:rPr>
            </w:pPr>
            <w:r>
              <w:rPr>
                <w:rFonts w:ascii="Trebuchet MS" w:hAnsi="Trebuchet MS" w:cs="Arial"/>
              </w:rPr>
              <w:t>27903656</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0B544ED1" w:rsidR="00D54B35" w:rsidRPr="003A585A" w:rsidRDefault="00D01BEA" w:rsidP="009D75AA">
            <w:pPr>
              <w:pStyle w:val="Textnormln"/>
              <w:spacing w:before="0" w:after="0"/>
              <w:rPr>
                <w:rFonts w:ascii="Trebuchet MS" w:hAnsi="Trebuchet MS" w:cs="Arial"/>
              </w:rPr>
            </w:pPr>
            <w:r>
              <w:rPr>
                <w:rFonts w:ascii="Trebuchet MS" w:hAnsi="Trebuchet MS" w:cs="Arial"/>
              </w:rPr>
              <w:t>CZ27903656</w:t>
            </w:r>
          </w:p>
        </w:tc>
      </w:tr>
      <w:tr w:rsidR="00D54B35" w:rsidRPr="003A585A" w14:paraId="6F037070" w14:textId="77777777" w:rsidTr="009D75AA">
        <w:tc>
          <w:tcPr>
            <w:tcW w:w="2880" w:type="dxa"/>
          </w:tcPr>
          <w:p w14:paraId="25745676"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rPr>
              <w:t>Bankovní spojení</w:t>
            </w:r>
          </w:p>
        </w:tc>
        <w:tc>
          <w:tcPr>
            <w:tcW w:w="5824" w:type="dxa"/>
          </w:tcPr>
          <w:p w14:paraId="7B25AA4E" w14:textId="6936F175" w:rsidR="00D54B35" w:rsidRPr="00203077" w:rsidRDefault="00203077" w:rsidP="009D75AA">
            <w:pPr>
              <w:pStyle w:val="Textnormln"/>
              <w:spacing w:before="0" w:after="0"/>
              <w:rPr>
                <w:rFonts w:ascii="Trebuchet MS" w:hAnsi="Trebuchet MS" w:cs="Arial"/>
              </w:rPr>
            </w:pPr>
            <w:proofErr w:type="spellStart"/>
            <w:r w:rsidRPr="00203077">
              <w:rPr>
                <w:rFonts w:ascii="Trebuchet MS" w:hAnsi="Trebuchet MS" w:cs="Arial"/>
              </w:rPr>
              <w:t>UniCredit</w:t>
            </w:r>
            <w:proofErr w:type="spellEnd"/>
            <w:r w:rsidRPr="00203077">
              <w:rPr>
                <w:rFonts w:ascii="Trebuchet MS" w:hAnsi="Trebuchet MS" w:cs="Arial"/>
              </w:rPr>
              <w:t xml:space="preserve"> Bank</w:t>
            </w:r>
          </w:p>
        </w:tc>
      </w:tr>
      <w:tr w:rsidR="00D54B35" w:rsidRPr="003A585A" w14:paraId="2468CC75" w14:textId="77777777" w:rsidTr="009D75AA">
        <w:tc>
          <w:tcPr>
            <w:tcW w:w="2880" w:type="dxa"/>
          </w:tcPr>
          <w:p w14:paraId="71FD6D7F"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rPr>
              <w:t>Číslo účtu</w:t>
            </w:r>
          </w:p>
        </w:tc>
        <w:tc>
          <w:tcPr>
            <w:tcW w:w="5824" w:type="dxa"/>
          </w:tcPr>
          <w:p w14:paraId="225EA83C" w14:textId="6F935F7B" w:rsidR="00D54B35" w:rsidRPr="00203077" w:rsidRDefault="00A82309" w:rsidP="009D75AA">
            <w:pPr>
              <w:pStyle w:val="Textnormln"/>
              <w:spacing w:before="0" w:after="0"/>
              <w:rPr>
                <w:rFonts w:ascii="Trebuchet MS" w:hAnsi="Trebuchet MS" w:cs="Arial"/>
              </w:rPr>
            </w:pPr>
            <w:proofErr w:type="spellStart"/>
            <w:r w:rsidRPr="00A82309">
              <w:rPr>
                <w:rFonts w:ascii="Trebuchet MS" w:hAnsi="Trebuchet MS" w:cs="Arial"/>
                <w:highlight w:val="black"/>
              </w:rPr>
              <w:t>xxxxxxxxxx</w:t>
            </w:r>
            <w:proofErr w:type="spellEnd"/>
          </w:p>
        </w:tc>
      </w:tr>
      <w:tr w:rsidR="00D54B35" w:rsidRPr="003A585A" w14:paraId="25F9BDE1" w14:textId="77777777" w:rsidTr="00986E5F">
        <w:trPr>
          <w:trHeight w:val="82"/>
        </w:trPr>
        <w:tc>
          <w:tcPr>
            <w:tcW w:w="2880" w:type="dxa"/>
          </w:tcPr>
          <w:p w14:paraId="637862FE"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szCs w:val="20"/>
              </w:rPr>
              <w:t>Jejímž jménem jedná</w:t>
            </w:r>
          </w:p>
        </w:tc>
        <w:tc>
          <w:tcPr>
            <w:tcW w:w="5824" w:type="dxa"/>
          </w:tcPr>
          <w:p w14:paraId="1C7A96D9" w14:textId="223D70F1" w:rsidR="00D54B35" w:rsidRPr="00203077" w:rsidRDefault="00D54B35" w:rsidP="003E5E7E">
            <w:pPr>
              <w:pStyle w:val="Textnormln"/>
              <w:spacing w:before="0" w:after="0"/>
              <w:ind w:left="0"/>
              <w:rPr>
                <w:rFonts w:ascii="Trebuchet MS" w:hAnsi="Trebuchet MS" w:cs="Arial"/>
              </w:rPr>
            </w:pPr>
            <w:r w:rsidRPr="00203077">
              <w:rPr>
                <w:rFonts w:ascii="Trebuchet MS" w:hAnsi="Trebuchet MS" w:cs="Arial"/>
                <w:b/>
              </w:rPr>
              <w:t xml:space="preserve">   </w:t>
            </w:r>
            <w:r w:rsidR="00203077" w:rsidRPr="00203077">
              <w:rPr>
                <w:rFonts w:ascii="Trebuchet MS" w:hAnsi="Trebuchet MS" w:cs="Arial"/>
                <w:b/>
              </w:rPr>
              <w:t>Bc. Martin Listopad</w:t>
            </w:r>
          </w:p>
        </w:tc>
      </w:tr>
    </w:tbl>
    <w:p w14:paraId="78F6194E" w14:textId="77777777" w:rsidR="00D54B35" w:rsidRPr="003A585A" w:rsidRDefault="00D54B35" w:rsidP="00D54B35">
      <w:pPr>
        <w:spacing w:line="360" w:lineRule="auto"/>
        <w:jc w:val="left"/>
        <w:rPr>
          <w:rFonts w:ascii="Trebuchet MS" w:hAnsi="Trebuchet MS" w:cs="Arial"/>
          <w:b/>
          <w:sz w:val="20"/>
        </w:rPr>
      </w:pP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3637F786" w:rsidR="00D54B35" w:rsidRPr="00D30CAF" w:rsidRDefault="00A82309" w:rsidP="009D75AA">
            <w:pPr>
              <w:pStyle w:val="Textnormln"/>
              <w:spacing w:before="0" w:after="0"/>
              <w:rPr>
                <w:rFonts w:ascii="Trebuchet MS" w:hAnsi="Trebuchet MS" w:cs="Arial"/>
              </w:rPr>
            </w:pPr>
            <w:proofErr w:type="spellStart"/>
            <w:r w:rsidRPr="00A82309">
              <w:rPr>
                <w:rFonts w:ascii="Trebuchet MS" w:hAnsi="Trebuchet MS" w:cs="Arial"/>
                <w:highlight w:val="black"/>
              </w:rPr>
              <w:t>xxxxxxxxxxx</w:t>
            </w:r>
            <w:proofErr w:type="spellEnd"/>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1CACE318" w14:textId="6694F34A" w:rsidR="00770151" w:rsidRPr="003A585A" w:rsidRDefault="00770151" w:rsidP="00770151">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 xml:space="preserve">. </w:t>
      </w:r>
      <w:r w:rsidRPr="001C1223">
        <w:rPr>
          <w:rFonts w:ascii="Trebuchet MS" w:hAnsi="Trebuchet MS" w:cs="Arial"/>
          <w:sz w:val="20"/>
        </w:rPr>
        <w:t>Smlouva byla projednána na 98. mimořádném zasedání Rady MČ Praha 19 dne 8.12.2021 usnesením č. 106</w:t>
      </w:r>
      <w:r w:rsidR="00203077">
        <w:rPr>
          <w:rFonts w:ascii="Trebuchet MS" w:hAnsi="Trebuchet MS" w:cs="Arial"/>
          <w:sz w:val="20"/>
        </w:rPr>
        <w:t>4</w:t>
      </w:r>
      <w:r w:rsidRPr="001C1223">
        <w:rPr>
          <w:rFonts w:ascii="Trebuchet MS" w:hAnsi="Trebuchet MS" w:cs="Arial"/>
          <w:sz w:val="20"/>
        </w:rPr>
        <w:t>/21/OT</w:t>
      </w:r>
      <w:r w:rsidR="0072115A">
        <w:rPr>
          <w:rFonts w:ascii="Trebuchet MS" w:hAnsi="Trebuchet MS" w:cs="Arial"/>
          <w:sz w:val="20"/>
        </w:rPr>
        <w:t xml:space="preserve"> – Nový server</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bookmarkStart w:id="3" w:name="_GoBack"/>
      <w:bookmarkEnd w:id="3"/>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30BD3CDC"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C846BC">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C31ECA">
        <w:rPr>
          <w:rFonts w:ascii="Trebuchet MS" w:hAnsi="Trebuchet MS" w:cs="Arial"/>
          <w:sz w:val="20"/>
        </w:rPr>
        <w:t>99</w:t>
      </w:r>
      <w:r w:rsidR="00445668">
        <w:rPr>
          <w:rFonts w:ascii="Trebuchet MS" w:hAnsi="Trebuchet MS" w:cs="Arial"/>
          <w:sz w:val="20"/>
        </w:rPr>
        <w:t xml:space="preserve"> </w:t>
      </w:r>
      <w:r w:rsidR="00C31ECA">
        <w:rPr>
          <w:rFonts w:ascii="Trebuchet MS" w:hAnsi="Trebuchet MS" w:cs="Arial"/>
          <w:sz w:val="20"/>
        </w:rPr>
        <w:t>500</w:t>
      </w:r>
      <w:r w:rsidR="00857F6E" w:rsidRPr="00857F6E">
        <w:rPr>
          <w:rFonts w:ascii="Trebuchet MS" w:hAnsi="Trebuchet MS" w:cs="Arial"/>
          <w:sz w:val="20"/>
        </w:rPr>
        <w:t>,-</w:t>
      </w:r>
      <w:r w:rsidRPr="00857F6E">
        <w:rPr>
          <w:rFonts w:ascii="Trebuchet MS" w:hAnsi="Trebuchet MS" w:cs="Arial"/>
          <w:sz w:val="20"/>
        </w:rPr>
        <w:t xml:space="preserve"> Kč (</w:t>
      </w:r>
      <w:r w:rsidR="00C31ECA" w:rsidRPr="00C31ECA">
        <w:rPr>
          <w:rFonts w:ascii="Trebuchet MS" w:hAnsi="Trebuchet MS" w:cs="Arial"/>
          <w:sz w:val="20"/>
        </w:rPr>
        <w:t>devadesát devět tisíc pět set korun českých</w:t>
      </w:r>
      <w:r w:rsidR="003B7327">
        <w:rPr>
          <w:rFonts w:ascii="Trebuchet MS" w:hAnsi="Trebuchet MS" w:cs="Arial"/>
          <w:sz w:val="20"/>
        </w:rPr>
        <w:t>)</w:t>
      </w:r>
      <w:r w:rsidR="00CF7C24">
        <w:rPr>
          <w:rFonts w:ascii="Trebuchet MS" w:hAnsi="Trebuchet MS" w:cs="Arial"/>
          <w:sz w:val="20"/>
        </w:rPr>
        <w:t xml:space="preserve"> bez DPH, </w:t>
      </w:r>
      <w:r w:rsidR="00C31ECA" w:rsidRPr="00C31ECA">
        <w:rPr>
          <w:rFonts w:ascii="Trebuchet MS" w:hAnsi="Trebuchet MS" w:cs="Arial"/>
          <w:sz w:val="20"/>
        </w:rPr>
        <w:t>120</w:t>
      </w:r>
      <w:r w:rsidR="00C31ECA">
        <w:rPr>
          <w:rFonts w:ascii="Trebuchet MS" w:hAnsi="Trebuchet MS" w:cs="Arial"/>
          <w:sz w:val="20"/>
        </w:rPr>
        <w:t> </w:t>
      </w:r>
      <w:r w:rsidR="00C31ECA" w:rsidRPr="00C31ECA">
        <w:rPr>
          <w:rFonts w:ascii="Trebuchet MS" w:hAnsi="Trebuchet MS" w:cs="Arial"/>
          <w:sz w:val="20"/>
        </w:rPr>
        <w:t>395</w:t>
      </w:r>
      <w:r w:rsidR="00C31ECA">
        <w:rPr>
          <w:rFonts w:ascii="Trebuchet MS" w:hAnsi="Trebuchet MS" w:cs="Arial"/>
          <w:sz w:val="20"/>
        </w:rPr>
        <w:t xml:space="preserve"> </w:t>
      </w:r>
      <w:r w:rsidR="00CF7C24">
        <w:rPr>
          <w:rFonts w:ascii="Trebuchet MS" w:hAnsi="Trebuchet MS" w:cs="Arial"/>
          <w:sz w:val="20"/>
        </w:rPr>
        <w:t>Kč (</w:t>
      </w:r>
      <w:r w:rsidR="00C31ECA" w:rsidRPr="00C31ECA">
        <w:rPr>
          <w:rFonts w:ascii="Trebuchet MS" w:hAnsi="Trebuchet MS" w:cs="Arial"/>
          <w:sz w:val="20"/>
        </w:rPr>
        <w:t>jedno sto dvacet tisíc tři sta devadesát pět korun českých</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lastRenderedPageBreak/>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2361654F"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4" w:name="_Ref380559910"/>
      <w:r w:rsidRPr="003A585A">
        <w:rPr>
          <w:rFonts w:ascii="Trebuchet MS" w:hAnsi="Trebuchet MS" w:cs="Arial"/>
          <w:sz w:val="20"/>
        </w:rPr>
        <w:t>9.</w:t>
      </w:r>
      <w:r w:rsidRPr="003A585A">
        <w:rPr>
          <w:rFonts w:ascii="Trebuchet MS" w:hAnsi="Trebuchet MS" w:cs="Arial"/>
          <w:sz w:val="20"/>
        </w:rPr>
        <w:tab/>
      </w:r>
      <w:bookmarkEnd w:id="4"/>
      <w:r w:rsidR="0074452B" w:rsidRPr="0074452B">
        <w:rPr>
          <w:rFonts w:ascii="Trebuchet MS" w:hAnsi="Trebuchet MS" w:cs="Arial"/>
          <w:sz w:val="20"/>
        </w:rPr>
        <w:t>ZVEŘEJNĚNÍ SMLOUVY</w:t>
      </w:r>
    </w:p>
    <w:p w14:paraId="3914B21C" w14:textId="3FD043D2"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Smluvní strany výslovně souhlasí s tím, aby tato smlouva byla uvedena v Centrální evidenci smluv, která je veřejně přístupná a která obsahuje údaje o smluvních stranách, předmětu smlouvy, číselné označení této smlouvy a datum nabytí její účinnosti, dobu její platnosti a u ukončených smluv také datum 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1785A4FB"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9.2.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129B6626"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6EAA7048" w14:textId="5DC84EAA" w:rsidR="00A54DD1" w:rsidRPr="003A585A" w:rsidRDefault="00A54DD1">
      <w:pPr>
        <w:pStyle w:val="Nadpis2"/>
        <w:ind w:right="-18"/>
        <w:rPr>
          <w:rFonts w:ascii="Trebuchet MS" w:hAnsi="Trebuchet MS" w:cs="Arial"/>
          <w:sz w:val="20"/>
        </w:rPr>
      </w:pPr>
      <w:r>
        <w:rPr>
          <w:rFonts w:ascii="Trebuchet MS" w:hAnsi="Trebuchet MS" w:cs="Arial"/>
          <w:sz w:val="20"/>
        </w:rPr>
        <w:t xml:space="preserve">11.3   </w:t>
      </w:r>
      <w:r w:rsidRPr="00A54DD1">
        <w:rPr>
          <w:rFonts w:ascii="Trebuchet MS" w:hAnsi="Trebuchet MS" w:cs="Arial"/>
          <w:sz w:val="20"/>
        </w:rPr>
        <w:t>Smlouva byla projednána na 98. mimořádném zasedání Rady MČ Praha 19 dne 8.12.2021 usnesením č. 1064/21/OT</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w:t>
      </w:r>
      <w:r w:rsidRPr="003A585A">
        <w:rPr>
          <w:rFonts w:ascii="Trebuchet MS" w:hAnsi="Trebuchet MS" w:cs="Arial"/>
          <w:sz w:val="20"/>
        </w:rPr>
        <w:lastRenderedPageBreak/>
        <w:t xml:space="preserve">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78A77F7B" w14:textId="54904770"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A82309">
              <w:rPr>
                <w:rFonts w:ascii="Trebuchet MS" w:hAnsi="Trebuchet MS" w:cs="Arial"/>
                <w:sz w:val="20"/>
              </w:rPr>
              <w:t>17.12.2021</w:t>
            </w:r>
            <w:proofErr w:type="gramEnd"/>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7702DB71" w14:textId="3D64688F"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A82309">
              <w:rPr>
                <w:rFonts w:ascii="Trebuchet MS" w:hAnsi="Trebuchet MS" w:cs="Arial"/>
                <w:sz w:val="20"/>
              </w:rPr>
              <w:t>17.12.2021</w:t>
            </w:r>
            <w:proofErr w:type="gramEnd"/>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6C2C2BD" w14:textId="7917B8B2" w:rsidR="00EB7B58" w:rsidRPr="003A585A" w:rsidRDefault="00EB7B58" w:rsidP="003E5E7E">
            <w:pPr>
              <w:jc w:val="center"/>
              <w:rPr>
                <w:rFonts w:ascii="Trebuchet MS" w:hAnsi="Trebuchet MS" w:cs="Arial"/>
                <w:sz w:val="20"/>
              </w:rPr>
            </w:pP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Default="00737EB7">
            <w:pPr>
              <w:jc w:val="center"/>
              <w:rPr>
                <w:rFonts w:ascii="Trebuchet MS" w:hAnsi="Trebuchet MS" w:cs="Arial"/>
                <w:sz w:val="20"/>
              </w:rPr>
            </w:pPr>
            <w:r>
              <w:rPr>
                <w:rFonts w:ascii="Trebuchet MS" w:hAnsi="Trebuchet MS" w:cs="Arial"/>
                <w:sz w:val="20"/>
              </w:rPr>
              <w:t>M</w:t>
            </w:r>
            <w:r w:rsidR="00331AE1">
              <w:rPr>
                <w:rFonts w:ascii="Trebuchet MS" w:hAnsi="Trebuchet MS" w:cs="Arial"/>
                <w:sz w:val="20"/>
              </w:rPr>
              <w:t>ěstská část</w:t>
            </w:r>
            <w:r>
              <w:rPr>
                <w:rFonts w:ascii="Trebuchet MS" w:hAnsi="Trebuchet MS" w:cs="Arial"/>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341E1F23" w14:textId="7BCBF2C6"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5D995AE7"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732378">
        <w:rPr>
          <w:rFonts w:ascii="Trebuchet MS" w:hAnsi="Trebuchet MS" w:cs="Arial"/>
          <w:sz w:val="20"/>
        </w:rPr>
        <w:t>pětačtyřiceti</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705C1EAB"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C31ECA">
        <w:rPr>
          <w:rFonts w:ascii="Trebuchet MS" w:hAnsi="Trebuchet MS" w:cs="Arial"/>
          <w:bCs/>
          <w:sz w:val="20"/>
        </w:rPr>
        <w:t>99.500</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C31ECA" w:rsidRPr="00C31ECA">
        <w:rPr>
          <w:rFonts w:ascii="Trebuchet MS" w:hAnsi="Trebuchet MS" w:cs="Arial"/>
          <w:sz w:val="20"/>
        </w:rPr>
        <w:t>120</w:t>
      </w:r>
      <w:r w:rsidR="00C31ECA">
        <w:rPr>
          <w:rFonts w:ascii="Trebuchet MS" w:hAnsi="Trebuchet MS" w:cs="Arial"/>
          <w:sz w:val="20"/>
        </w:rPr>
        <w:t>.</w:t>
      </w:r>
      <w:r w:rsidR="00C31ECA" w:rsidRPr="00C31ECA">
        <w:rPr>
          <w:rFonts w:ascii="Trebuchet MS" w:hAnsi="Trebuchet MS" w:cs="Arial"/>
          <w:sz w:val="20"/>
        </w:rPr>
        <w:t>395</w:t>
      </w:r>
      <w:r w:rsidR="00C31ECA">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6B2E165A"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w:t>
      </w:r>
      <w:proofErr w:type="spellStart"/>
      <w:r w:rsidR="00805B08" w:rsidRPr="00805B08">
        <w:rPr>
          <w:rFonts w:ascii="Trebuchet MS" w:hAnsi="Trebuchet MS" w:cs="Arial"/>
          <w:sz w:val="20"/>
        </w:rPr>
        <w:t>DoxoLogic</w:t>
      </w:r>
      <w:proofErr w:type="spellEnd"/>
      <w:r w:rsidR="00805B08" w:rsidRPr="00805B08">
        <w:rPr>
          <w:rFonts w:ascii="Trebuchet MS" w:hAnsi="Trebuchet MS" w:cs="Arial"/>
          <w:sz w:val="20"/>
        </w:rPr>
        <w:t>, s.r.o.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3C3BD1D8" w:rsidR="004F48EC" w:rsidRPr="00D7319A" w:rsidRDefault="00805B08" w:rsidP="00BE6139">
            <w:pPr>
              <w:jc w:val="left"/>
              <w:rPr>
                <w:rFonts w:ascii="Trebuchet MS" w:hAnsi="Trebuchet MS" w:cs="Arial"/>
                <w:sz w:val="20"/>
              </w:rPr>
            </w:pPr>
            <w:r>
              <w:rPr>
                <w:rFonts w:ascii="Trebuchet MS" w:hAnsi="Trebuchet MS" w:cs="Arial"/>
                <w:sz w:val="20"/>
              </w:rPr>
              <w:t>Martin Listopad</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FD70348" w:rsidR="00732378" w:rsidRPr="00D7319A" w:rsidRDefault="00805B08" w:rsidP="00DC5C5F">
            <w:pPr>
              <w:jc w:val="left"/>
              <w:rPr>
                <w:rFonts w:ascii="Trebuchet MS" w:hAnsi="Trebuchet MS" w:cs="Arial"/>
                <w:sz w:val="20"/>
              </w:rPr>
            </w:pPr>
            <w:r>
              <w:rPr>
                <w:rFonts w:ascii="Trebuchet MS" w:hAnsi="Trebuchet MS" w:cs="Arial"/>
                <w:sz w:val="20"/>
              </w:rPr>
              <w:t>Martin Listopad</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default" r:id="rId7"/>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00E29" w14:textId="77777777" w:rsidR="00AA3072" w:rsidRDefault="00AA3072">
      <w:r>
        <w:separator/>
      </w:r>
    </w:p>
  </w:endnote>
  <w:endnote w:type="continuationSeparator" w:id="0">
    <w:p w14:paraId="25888059" w14:textId="77777777" w:rsidR="00AA3072" w:rsidRDefault="00AA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F8FA" w14:textId="77777777" w:rsidR="00AA3072" w:rsidRDefault="00AA3072">
      <w:r>
        <w:separator/>
      </w:r>
    </w:p>
  </w:footnote>
  <w:footnote w:type="continuationSeparator" w:id="0">
    <w:p w14:paraId="45ACC4B7" w14:textId="77777777" w:rsidR="00AA3072" w:rsidRDefault="00AA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C8B9" w14:textId="705075FE" w:rsidR="00624066" w:rsidRPr="008C2EEC" w:rsidRDefault="00624066" w:rsidP="00624066">
    <w:pPr>
      <w:pStyle w:val="Zhlav"/>
      <w:rPr>
        <w:rFonts w:ascii="Arial" w:hAnsi="Arial" w:cs="Arial"/>
        <w:sz w:val="18"/>
        <w:szCs w:val="18"/>
      </w:rPr>
    </w:pPr>
  </w:p>
  <w:p w14:paraId="52F133B4" w14:textId="59CB797F"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A"/>
    <w:rsid w:val="000143EA"/>
    <w:rsid w:val="00087299"/>
    <w:rsid w:val="000A6019"/>
    <w:rsid w:val="000B7A5D"/>
    <w:rsid w:val="000D7959"/>
    <w:rsid w:val="001145D4"/>
    <w:rsid w:val="001238D0"/>
    <w:rsid w:val="00182B80"/>
    <w:rsid w:val="001853F6"/>
    <w:rsid w:val="00194220"/>
    <w:rsid w:val="00194435"/>
    <w:rsid w:val="001A088A"/>
    <w:rsid w:val="001A424D"/>
    <w:rsid w:val="001B260E"/>
    <w:rsid w:val="001C71A4"/>
    <w:rsid w:val="001D4D3C"/>
    <w:rsid w:val="001F31E9"/>
    <w:rsid w:val="001F68CF"/>
    <w:rsid w:val="00203077"/>
    <w:rsid w:val="00233FE8"/>
    <w:rsid w:val="00250D96"/>
    <w:rsid w:val="00271339"/>
    <w:rsid w:val="002734E9"/>
    <w:rsid w:val="00291D47"/>
    <w:rsid w:val="002B17CE"/>
    <w:rsid w:val="002C3E3B"/>
    <w:rsid w:val="002C72A0"/>
    <w:rsid w:val="002E1644"/>
    <w:rsid w:val="002E2895"/>
    <w:rsid w:val="002F1589"/>
    <w:rsid w:val="00331AE1"/>
    <w:rsid w:val="003A585A"/>
    <w:rsid w:val="003B7327"/>
    <w:rsid w:val="003C1761"/>
    <w:rsid w:val="003C32EE"/>
    <w:rsid w:val="003E5E7E"/>
    <w:rsid w:val="003F7A06"/>
    <w:rsid w:val="00407C1B"/>
    <w:rsid w:val="00437F79"/>
    <w:rsid w:val="00444DE5"/>
    <w:rsid w:val="00445668"/>
    <w:rsid w:val="004651D9"/>
    <w:rsid w:val="00481C5F"/>
    <w:rsid w:val="004C213E"/>
    <w:rsid w:val="004D1D5F"/>
    <w:rsid w:val="004D2554"/>
    <w:rsid w:val="004F48EC"/>
    <w:rsid w:val="004F4ADB"/>
    <w:rsid w:val="0051772F"/>
    <w:rsid w:val="00531B84"/>
    <w:rsid w:val="00590183"/>
    <w:rsid w:val="005A2586"/>
    <w:rsid w:val="005C47D9"/>
    <w:rsid w:val="005D7E69"/>
    <w:rsid w:val="005F76BA"/>
    <w:rsid w:val="00620CAA"/>
    <w:rsid w:val="00624066"/>
    <w:rsid w:val="0063331E"/>
    <w:rsid w:val="00636B0D"/>
    <w:rsid w:val="006505AE"/>
    <w:rsid w:val="0065156C"/>
    <w:rsid w:val="00671E60"/>
    <w:rsid w:val="00676BDB"/>
    <w:rsid w:val="0068613B"/>
    <w:rsid w:val="00697707"/>
    <w:rsid w:val="006C1326"/>
    <w:rsid w:val="0070137A"/>
    <w:rsid w:val="00713A28"/>
    <w:rsid w:val="0072115A"/>
    <w:rsid w:val="00723932"/>
    <w:rsid w:val="00732378"/>
    <w:rsid w:val="00737EB7"/>
    <w:rsid w:val="0074452B"/>
    <w:rsid w:val="00770151"/>
    <w:rsid w:val="00793F07"/>
    <w:rsid w:val="007B2354"/>
    <w:rsid w:val="007B5C3C"/>
    <w:rsid w:val="007D4ED4"/>
    <w:rsid w:val="007E690C"/>
    <w:rsid w:val="00805B08"/>
    <w:rsid w:val="00820FA8"/>
    <w:rsid w:val="0085238B"/>
    <w:rsid w:val="00857F6E"/>
    <w:rsid w:val="008E2587"/>
    <w:rsid w:val="008E2D67"/>
    <w:rsid w:val="00917791"/>
    <w:rsid w:val="00931D15"/>
    <w:rsid w:val="00960A50"/>
    <w:rsid w:val="00986E5F"/>
    <w:rsid w:val="00990543"/>
    <w:rsid w:val="009909F6"/>
    <w:rsid w:val="009B467D"/>
    <w:rsid w:val="009B4E5D"/>
    <w:rsid w:val="009D1594"/>
    <w:rsid w:val="009D75AA"/>
    <w:rsid w:val="009E2016"/>
    <w:rsid w:val="00A24FF2"/>
    <w:rsid w:val="00A41433"/>
    <w:rsid w:val="00A43ACF"/>
    <w:rsid w:val="00A54DD1"/>
    <w:rsid w:val="00A75858"/>
    <w:rsid w:val="00A82309"/>
    <w:rsid w:val="00A9594A"/>
    <w:rsid w:val="00A97FE5"/>
    <w:rsid w:val="00AA3072"/>
    <w:rsid w:val="00AA6AA0"/>
    <w:rsid w:val="00AB68D1"/>
    <w:rsid w:val="00AE14CA"/>
    <w:rsid w:val="00B0775A"/>
    <w:rsid w:val="00B23A76"/>
    <w:rsid w:val="00B7666A"/>
    <w:rsid w:val="00B846E2"/>
    <w:rsid w:val="00B86018"/>
    <w:rsid w:val="00B93AC0"/>
    <w:rsid w:val="00BE6139"/>
    <w:rsid w:val="00C02E72"/>
    <w:rsid w:val="00C14805"/>
    <w:rsid w:val="00C31ECA"/>
    <w:rsid w:val="00C33FC0"/>
    <w:rsid w:val="00C846BC"/>
    <w:rsid w:val="00C90ED0"/>
    <w:rsid w:val="00CC7968"/>
    <w:rsid w:val="00CE10F8"/>
    <w:rsid w:val="00CF7C24"/>
    <w:rsid w:val="00D01BEA"/>
    <w:rsid w:val="00D073C1"/>
    <w:rsid w:val="00D30CAF"/>
    <w:rsid w:val="00D35340"/>
    <w:rsid w:val="00D46151"/>
    <w:rsid w:val="00D54B35"/>
    <w:rsid w:val="00D848B1"/>
    <w:rsid w:val="00D97C40"/>
    <w:rsid w:val="00DC71DE"/>
    <w:rsid w:val="00DF7CF3"/>
    <w:rsid w:val="00E41D12"/>
    <w:rsid w:val="00E44CEC"/>
    <w:rsid w:val="00E54A85"/>
    <w:rsid w:val="00E63DD2"/>
    <w:rsid w:val="00E71315"/>
    <w:rsid w:val="00E82008"/>
    <w:rsid w:val="00E92352"/>
    <w:rsid w:val="00EB247F"/>
    <w:rsid w:val="00EB5C08"/>
    <w:rsid w:val="00EB7B58"/>
    <w:rsid w:val="00ED79A6"/>
    <w:rsid w:val="00F130C0"/>
    <w:rsid w:val="00F23B32"/>
    <w:rsid w:val="00F4622B"/>
    <w:rsid w:val="00F4734A"/>
    <w:rsid w:val="00F554D6"/>
    <w:rsid w:val="00F64279"/>
    <w:rsid w:val="00F71324"/>
    <w:rsid w:val="00F72C21"/>
    <w:rsid w:val="00F73FD7"/>
    <w:rsid w:val="00F80994"/>
    <w:rsid w:val="00FA1342"/>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4651D9"/>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140">
      <w:bodyDiv w:val="1"/>
      <w:marLeft w:val="0"/>
      <w:marRight w:val="0"/>
      <w:marTop w:val="0"/>
      <w:marBottom w:val="0"/>
      <w:divBdr>
        <w:top w:val="none" w:sz="0" w:space="0" w:color="auto"/>
        <w:left w:val="none" w:sz="0" w:space="0" w:color="auto"/>
        <w:bottom w:val="none" w:sz="0" w:space="0" w:color="auto"/>
        <w:right w:val="none" w:sz="0" w:space="0" w:color="auto"/>
      </w:divBdr>
    </w:div>
    <w:div w:id="581135661">
      <w:bodyDiv w:val="1"/>
      <w:marLeft w:val="0"/>
      <w:marRight w:val="0"/>
      <w:marTop w:val="0"/>
      <w:marBottom w:val="0"/>
      <w:divBdr>
        <w:top w:val="none" w:sz="0" w:space="0" w:color="auto"/>
        <w:left w:val="none" w:sz="0" w:space="0" w:color="auto"/>
        <w:bottom w:val="none" w:sz="0" w:space="0" w:color="auto"/>
        <w:right w:val="none" w:sz="0" w:space="0" w:color="auto"/>
      </w:divBdr>
    </w:div>
    <w:div w:id="863590245">
      <w:bodyDiv w:val="1"/>
      <w:marLeft w:val="0"/>
      <w:marRight w:val="0"/>
      <w:marTop w:val="0"/>
      <w:marBottom w:val="0"/>
      <w:divBdr>
        <w:top w:val="none" w:sz="0" w:space="0" w:color="auto"/>
        <w:left w:val="none" w:sz="0" w:space="0" w:color="auto"/>
        <w:bottom w:val="none" w:sz="0" w:space="0" w:color="auto"/>
        <w:right w:val="none" w:sz="0" w:space="0" w:color="auto"/>
      </w:divBdr>
    </w:div>
    <w:div w:id="1023551297">
      <w:bodyDiv w:val="1"/>
      <w:marLeft w:val="0"/>
      <w:marRight w:val="0"/>
      <w:marTop w:val="0"/>
      <w:marBottom w:val="0"/>
      <w:divBdr>
        <w:top w:val="none" w:sz="0" w:space="0" w:color="auto"/>
        <w:left w:val="none" w:sz="0" w:space="0" w:color="auto"/>
        <w:bottom w:val="none" w:sz="0" w:space="0" w:color="auto"/>
        <w:right w:val="none" w:sz="0" w:space="0" w:color="auto"/>
      </w:divBdr>
    </w:div>
    <w:div w:id="1115292004">
      <w:bodyDiv w:val="1"/>
      <w:marLeft w:val="0"/>
      <w:marRight w:val="0"/>
      <w:marTop w:val="0"/>
      <w:marBottom w:val="0"/>
      <w:divBdr>
        <w:top w:val="none" w:sz="0" w:space="0" w:color="auto"/>
        <w:left w:val="none" w:sz="0" w:space="0" w:color="auto"/>
        <w:bottom w:val="none" w:sz="0" w:space="0" w:color="auto"/>
        <w:right w:val="none" w:sz="0" w:space="0" w:color="auto"/>
      </w:divBdr>
    </w:div>
    <w:div w:id="1278171563">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 w:id="1838300141">
      <w:bodyDiv w:val="1"/>
      <w:marLeft w:val="0"/>
      <w:marRight w:val="0"/>
      <w:marTop w:val="0"/>
      <w:marBottom w:val="0"/>
      <w:divBdr>
        <w:top w:val="none" w:sz="0" w:space="0" w:color="auto"/>
        <w:left w:val="none" w:sz="0" w:space="0" w:color="auto"/>
        <w:bottom w:val="none" w:sz="0" w:space="0" w:color="auto"/>
        <w:right w:val="none" w:sz="0" w:space="0" w:color="auto"/>
      </w:divBdr>
    </w:div>
    <w:div w:id="21389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 VMWare.dotx</Template>
  <TotalTime>18</TotalTime>
  <Pages>1</Pages>
  <Words>1926</Words>
  <Characters>11365</Characters>
  <Application>Microsoft Office Word</Application>
  <DocSecurity>0</DocSecurity>
  <Lines>94</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11</cp:revision>
  <cp:lastPrinted>2020-12-15T08:25:00Z</cp:lastPrinted>
  <dcterms:created xsi:type="dcterms:W3CDTF">2020-12-15T08:51:00Z</dcterms:created>
  <dcterms:modified xsi:type="dcterms:W3CDTF">2021-12-20T12:39:00Z</dcterms:modified>
</cp:coreProperties>
</file>