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Golčův Jeníkov, LV číslo 2251, geometrický plán č. 1451-653/2019</w:t>
              <w:br/>
              <w:t xml:space="preserve">Pozemky p. č. 2530/14, p. č. 2530/1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Havlíčkův Brod, LV číslo 7887, geometrický plán č. 8538-210504/2021</w:t>
              <w:br/>
              <w:t xml:space="preserve">Pozemky p. č. 2457/109, p. č. 2457/105, p. č. 2457/41, p. č. 2457/13, p. č. 2457/22, p. č. 2457/1, p. č. 3348/3, p. č. 3339/1, p. č. 2459/23, p. č. 2459/22, p. č. 2459/21, p. č. 2459/20, p. č. 2459/17, p. č. 2459/1, p. č. 2458/41, p. č. 2458/22, p. č. 2458/12, p. č. 2458/2, p. č. 2458/1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Leština u Světlé, LV číslo 625, geometrický plán č. 441-653/2019</w:t>
              <w:br/>
              <w:t xml:space="preserve">Pozemky p. č. 538/24, p. č. 538/1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Okrouhlice, LV číslo 937, geometrický plán č. 581-653/2019</w:t>
              <w:br/>
              <w:t xml:space="preserve">Pozemky p. č. 375/1, p. č. 375/59, p. č. 375/56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Pohled, LV číslo 611, geometrický plán č. 646-653/2019</w:t>
              <w:br/>
              <w:t xml:space="preserve">Pozemky p. č. 694/7, p. č. 694/1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Příseka u Světlé nad Sázavou, LV číslo 487, geometrický plán č. 375-653/2019	</w:t>
              <w:br/>
              <w:t xml:space="preserve">Pozemky p. č. 765/1, p. č. 106/1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Přibyslav, LV číslo 1698, geometrický plán č. 1737-653/2019</w:t>
              <w:br/>
              <w:t xml:space="preserve">Pozemky p. č. 1828/6, p. č. 1828/1, p. č. 1828/5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Světlá nad Sázavou, LV číslo 2648, geometrický plán č. 2105-653/2019</w:t>
              <w:br/>
              <w:t xml:space="preserve">Pozemek p. č. 1180/1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