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Napajedla, LV číslo 5463, geometrický plán č. 3657-384/2019</w:t>
              <w:br/>
              <w:t xml:space="preserve">Pozemky p. č. 884/19, p. č. 884/32, p. č. 884/26, p. č. 884/27, p. č. 884/33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Otrokovice, LV číslo 6964, geometrický plán č. 5366-210504/2021</w:t>
              <w:br/>
              <w:t xml:space="preserve">Pozemky p. č. 325/14, p. č. 325/32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Otrokovice, LV číslo 6964, geometrický plán č. 5367-210504/2021</w:t>
              <w:br/>
              <w:t xml:space="preserve">Pozemky p. č. 325/14, p. č. 3159/7, p. č. 325/34, p. č. 325/32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Otrokovice, LV číslo 6964, geometrický plán č. 5368-210504/2021</w:t>
              <w:br/>
              <w:t xml:space="preserve">Pozemky p. č. 325/32, p. č. 325/34, p. č. 3159/7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Tlumačov na Moravě, LV číslo 1795, geometrický plán č. 1879-386/2019</w:t>
              <w:br/>
              <w:t xml:space="preserve">Pozemky p. č. 1398/33, p. č. 3584, p. č. 1398/54, p. č. 3583, p. č. 1398/6, p. č. 1280/17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