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DC7B" w14:textId="77777777" w:rsidR="00552969" w:rsidRDefault="00B54B1B" w:rsidP="006A302F">
      <w:pPr>
        <w:pStyle w:val="Nzev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Dodatek č. 2</w:t>
      </w:r>
      <w:r w:rsidR="006A302F">
        <w:rPr>
          <w:rFonts w:ascii="Verdana" w:hAnsi="Verdana"/>
          <w:sz w:val="26"/>
        </w:rPr>
        <w:t xml:space="preserve"> k p</w:t>
      </w:r>
      <w:r w:rsidR="00552969">
        <w:rPr>
          <w:rFonts w:ascii="Verdana" w:hAnsi="Verdana"/>
          <w:sz w:val="26"/>
        </w:rPr>
        <w:t>ojistn</w:t>
      </w:r>
      <w:r w:rsidR="006A302F">
        <w:rPr>
          <w:rFonts w:ascii="Verdana" w:hAnsi="Verdana"/>
          <w:sz w:val="26"/>
        </w:rPr>
        <w:t xml:space="preserve">é smlouvě </w:t>
      </w:r>
      <w:r w:rsidR="00552969" w:rsidRPr="006A302F">
        <w:rPr>
          <w:rFonts w:ascii="Verdana" w:hAnsi="Verdana"/>
          <w:sz w:val="26"/>
        </w:rPr>
        <w:t>BusinessTravel</w:t>
      </w:r>
    </w:p>
    <w:p w14:paraId="6A751906" w14:textId="77777777" w:rsidR="00E81A3F" w:rsidRDefault="00E81A3F" w:rsidP="00E81A3F">
      <w:pPr>
        <w:pStyle w:val="Nzev"/>
        <w:rPr>
          <w:rFonts w:ascii="Verdana" w:hAnsi="Verdana"/>
          <w:sz w:val="26"/>
        </w:rPr>
      </w:pPr>
      <w:r w:rsidRPr="00E81A3F">
        <w:rPr>
          <w:rFonts w:ascii="Verdana" w:hAnsi="Verdana"/>
          <w:sz w:val="26"/>
        </w:rPr>
        <w:t xml:space="preserve"> A) Cestovní pojištění pro zaměstnance a studenty</w:t>
      </w:r>
    </w:p>
    <w:p w14:paraId="294DD9D1" w14:textId="77777777" w:rsidR="00552969" w:rsidRDefault="00552969">
      <w:pPr>
        <w:jc w:val="center"/>
        <w:rPr>
          <w:sz w:val="15"/>
        </w:rPr>
      </w:pPr>
      <w:r>
        <w:rPr>
          <w:sz w:val="15"/>
        </w:rPr>
        <w:t xml:space="preserve">kód distributora: </w:t>
      </w:r>
      <w:bookmarkStart w:id="0" w:name="agent"/>
      <w:bookmarkEnd w:id="0"/>
      <w:r w:rsidR="00E75F11">
        <w:rPr>
          <w:sz w:val="15"/>
        </w:rPr>
        <w:t>A5010</w:t>
      </w:r>
    </w:p>
    <w:p w14:paraId="2AA9EA37" w14:textId="77777777" w:rsidR="002D5296" w:rsidRDefault="002D5296">
      <w:pPr>
        <w:jc w:val="center"/>
        <w:rPr>
          <w:sz w:val="15"/>
        </w:rPr>
      </w:pPr>
    </w:p>
    <w:p w14:paraId="538AF7CD" w14:textId="77777777" w:rsidR="002D5296" w:rsidRPr="00E64FAC" w:rsidRDefault="002D5296" w:rsidP="002D5296">
      <w:pPr>
        <w:rPr>
          <w:noProof/>
          <w:sz w:val="15"/>
        </w:rPr>
      </w:pPr>
      <w:r w:rsidRPr="00F620C1">
        <w:rPr>
          <w:noProof/>
          <w:sz w:val="15"/>
        </w:rPr>
        <w:t>Dodatek je uzavřen v souladu s ust. o nepodstatných změnách smlouvy dle § 222</w:t>
      </w:r>
      <w:r>
        <w:rPr>
          <w:noProof/>
          <w:sz w:val="15"/>
        </w:rPr>
        <w:t xml:space="preserve"> odst. 6 </w:t>
      </w:r>
      <w:r w:rsidRPr="00F620C1">
        <w:rPr>
          <w:noProof/>
          <w:sz w:val="15"/>
        </w:rPr>
        <w:t>zák. č. 134/2016 Sb., o zadávání veřejných zakázek (dále jen „ZZVZ“)</w:t>
      </w:r>
    </w:p>
    <w:p w14:paraId="155159AE" w14:textId="77777777" w:rsidR="002D5296" w:rsidRPr="00E64FAC" w:rsidRDefault="002D5296" w:rsidP="002D5296">
      <w:pPr>
        <w:rPr>
          <w:noProof/>
          <w:sz w:val="15"/>
        </w:rPr>
      </w:pPr>
    </w:p>
    <w:p w14:paraId="6CEA1265" w14:textId="77777777" w:rsidR="002D5296" w:rsidRPr="00ED35F8" w:rsidRDefault="002D5296" w:rsidP="002D5296">
      <w:pPr>
        <w:rPr>
          <w:sz w:val="15"/>
        </w:rPr>
      </w:pPr>
      <w:r w:rsidRPr="00ED35F8">
        <w:rPr>
          <w:sz w:val="15"/>
        </w:rPr>
        <w:t>číslo smlouvy</w:t>
      </w:r>
      <w:r>
        <w:rPr>
          <w:sz w:val="15"/>
        </w:rPr>
        <w:t xml:space="preserve"> pojistitele</w:t>
      </w:r>
      <w:r w:rsidRPr="00ED35F8">
        <w:rPr>
          <w:sz w:val="15"/>
        </w:rPr>
        <w:t>:</w:t>
      </w:r>
      <w:r>
        <w:rPr>
          <w:sz w:val="15"/>
        </w:rPr>
        <w:t xml:space="preserve"> </w:t>
      </w:r>
      <w:bookmarkStart w:id="1" w:name="policy"/>
      <w:bookmarkEnd w:id="1"/>
      <w:r w:rsidRPr="002D5296">
        <w:rPr>
          <w:sz w:val="15"/>
        </w:rPr>
        <w:t>2000202081</w:t>
      </w:r>
    </w:p>
    <w:p w14:paraId="6AD090A5" w14:textId="77777777" w:rsidR="002D5296" w:rsidRPr="00E64FAC" w:rsidRDefault="002D5296" w:rsidP="002D5296">
      <w:pPr>
        <w:rPr>
          <w:sz w:val="15"/>
        </w:rPr>
      </w:pPr>
      <w:r w:rsidRPr="00E64FAC">
        <w:rPr>
          <w:sz w:val="15"/>
        </w:rPr>
        <w:t xml:space="preserve">číslo smlouvy </w:t>
      </w:r>
      <w:r>
        <w:rPr>
          <w:sz w:val="15"/>
        </w:rPr>
        <w:t>p</w:t>
      </w:r>
      <w:r w:rsidRPr="00E64FAC">
        <w:rPr>
          <w:sz w:val="15"/>
        </w:rPr>
        <w:t xml:space="preserve">ojistníka: </w:t>
      </w:r>
      <w:r w:rsidRPr="002D5296">
        <w:rPr>
          <w:sz w:val="15"/>
        </w:rPr>
        <w:t>SML/8200/0647/19</w:t>
      </w:r>
    </w:p>
    <w:p w14:paraId="5E49EFC4" w14:textId="77777777" w:rsidR="002D5296" w:rsidRDefault="002D5296">
      <w:pPr>
        <w:jc w:val="center"/>
        <w:rPr>
          <w:sz w:val="15"/>
        </w:rPr>
      </w:pPr>
    </w:p>
    <w:p w14:paraId="55802CB6" w14:textId="77777777" w:rsidR="00552969" w:rsidRDefault="00552969">
      <w:pPr>
        <w:jc w:val="center"/>
        <w:rPr>
          <w:sz w:val="15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07"/>
        <w:gridCol w:w="7512"/>
      </w:tblGrid>
      <w:tr w:rsidR="00552969" w14:paraId="1A1FA839" w14:textId="77777777" w:rsidTr="00CA6AE5">
        <w:tc>
          <w:tcPr>
            <w:tcW w:w="720" w:type="dxa"/>
          </w:tcPr>
          <w:p w14:paraId="31401B48" w14:textId="77777777" w:rsidR="00552969" w:rsidRDefault="00552969">
            <w:pPr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</w:p>
        </w:tc>
        <w:tc>
          <w:tcPr>
            <w:tcW w:w="8919" w:type="dxa"/>
            <w:gridSpan w:val="2"/>
          </w:tcPr>
          <w:p w14:paraId="036378D8" w14:textId="77777777" w:rsidR="00552969" w:rsidRDefault="00552969">
            <w:pPr>
              <w:rPr>
                <w:sz w:val="15"/>
              </w:rPr>
            </w:pPr>
            <w:r>
              <w:rPr>
                <w:b/>
                <w:sz w:val="15"/>
              </w:rPr>
              <w:t>SMLUVNÍ STRANY</w:t>
            </w:r>
          </w:p>
        </w:tc>
      </w:tr>
      <w:tr w:rsidR="00552969" w14:paraId="342B68AA" w14:textId="77777777" w:rsidTr="00CA6AE5">
        <w:tc>
          <w:tcPr>
            <w:tcW w:w="720" w:type="dxa"/>
          </w:tcPr>
          <w:p w14:paraId="4B855D8F" w14:textId="77777777" w:rsidR="00552969" w:rsidRDefault="00552969">
            <w:pPr>
              <w:suppressAutoHyphens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8919" w:type="dxa"/>
            <w:gridSpan w:val="2"/>
          </w:tcPr>
          <w:p w14:paraId="56632265" w14:textId="77777777" w:rsidR="00552969" w:rsidRDefault="006A302F" w:rsidP="006A302F">
            <w:pPr>
              <w:suppressAutoHyphens/>
              <w:rPr>
                <w:sz w:val="15"/>
              </w:rPr>
            </w:pPr>
            <w:r>
              <w:rPr>
                <w:b/>
                <w:sz w:val="15"/>
              </w:rPr>
              <w:t>UNIQA pojišťovna</w:t>
            </w:r>
            <w:r w:rsidR="00552969">
              <w:rPr>
                <w:b/>
                <w:sz w:val="15"/>
              </w:rPr>
              <w:t>, a.s.</w:t>
            </w:r>
          </w:p>
        </w:tc>
      </w:tr>
      <w:tr w:rsidR="00552969" w14:paraId="4092516A" w14:textId="77777777" w:rsidTr="00CA6AE5">
        <w:tc>
          <w:tcPr>
            <w:tcW w:w="720" w:type="dxa"/>
          </w:tcPr>
          <w:p w14:paraId="005B11C9" w14:textId="77777777" w:rsidR="00552969" w:rsidRDefault="00552969">
            <w:pPr>
              <w:suppressAutoHyphens/>
              <w:rPr>
                <w:sz w:val="15"/>
              </w:rPr>
            </w:pPr>
          </w:p>
        </w:tc>
        <w:tc>
          <w:tcPr>
            <w:tcW w:w="1407" w:type="dxa"/>
          </w:tcPr>
          <w:p w14:paraId="40C5FF32" w14:textId="77777777" w:rsidR="00552969" w:rsidRDefault="00552969">
            <w:pPr>
              <w:suppressAutoHyphens/>
              <w:rPr>
                <w:sz w:val="15"/>
              </w:rPr>
            </w:pPr>
            <w:r>
              <w:rPr>
                <w:sz w:val="15"/>
              </w:rPr>
              <w:t>sídlo:</w:t>
            </w:r>
          </w:p>
        </w:tc>
        <w:tc>
          <w:tcPr>
            <w:tcW w:w="7512" w:type="dxa"/>
          </w:tcPr>
          <w:p w14:paraId="06DBFD55" w14:textId="77777777" w:rsidR="00552969" w:rsidRDefault="006A302F">
            <w:pPr>
              <w:suppressAutoHyphens/>
              <w:rPr>
                <w:sz w:val="15"/>
              </w:rPr>
            </w:pPr>
            <w:r>
              <w:rPr>
                <w:sz w:val="15"/>
              </w:rPr>
              <w:t>Evropská 136/810, 160 12 Praha 6</w:t>
            </w:r>
          </w:p>
        </w:tc>
      </w:tr>
      <w:tr w:rsidR="00552969" w14:paraId="5C09B1E0" w14:textId="77777777" w:rsidTr="00CA6AE5">
        <w:tc>
          <w:tcPr>
            <w:tcW w:w="720" w:type="dxa"/>
          </w:tcPr>
          <w:p w14:paraId="484A1770" w14:textId="77777777" w:rsidR="00552969" w:rsidRDefault="00552969">
            <w:pPr>
              <w:suppressAutoHyphens/>
              <w:rPr>
                <w:sz w:val="15"/>
              </w:rPr>
            </w:pPr>
          </w:p>
        </w:tc>
        <w:tc>
          <w:tcPr>
            <w:tcW w:w="1407" w:type="dxa"/>
          </w:tcPr>
          <w:p w14:paraId="5D720BE9" w14:textId="77777777" w:rsidR="00552969" w:rsidRDefault="00552969">
            <w:pPr>
              <w:suppressAutoHyphens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7512" w:type="dxa"/>
          </w:tcPr>
          <w:p w14:paraId="7B3FDCE2" w14:textId="77777777" w:rsidR="00552969" w:rsidRDefault="006A302F">
            <w:pPr>
              <w:suppressAutoHyphens/>
              <w:rPr>
                <w:sz w:val="15"/>
              </w:rPr>
            </w:pPr>
            <w:r>
              <w:rPr>
                <w:sz w:val="15"/>
              </w:rPr>
              <w:t>49240480</w:t>
            </w:r>
          </w:p>
        </w:tc>
      </w:tr>
      <w:tr w:rsidR="00552969" w14:paraId="07F1E84B" w14:textId="77777777" w:rsidTr="00CA6AE5">
        <w:tc>
          <w:tcPr>
            <w:tcW w:w="720" w:type="dxa"/>
          </w:tcPr>
          <w:p w14:paraId="7AF9CE3D" w14:textId="77777777" w:rsidR="00552969" w:rsidRDefault="00552969">
            <w:pPr>
              <w:suppressAutoHyphens/>
              <w:rPr>
                <w:sz w:val="15"/>
              </w:rPr>
            </w:pPr>
          </w:p>
        </w:tc>
        <w:tc>
          <w:tcPr>
            <w:tcW w:w="1407" w:type="dxa"/>
          </w:tcPr>
          <w:p w14:paraId="5C6A01A1" w14:textId="77777777" w:rsidR="00552969" w:rsidRDefault="00552969">
            <w:pPr>
              <w:suppressAutoHyphens/>
              <w:rPr>
                <w:sz w:val="15"/>
              </w:rPr>
            </w:pPr>
            <w:r>
              <w:rPr>
                <w:sz w:val="15"/>
              </w:rPr>
              <w:t>zastupuje:</w:t>
            </w:r>
          </w:p>
        </w:tc>
        <w:tc>
          <w:tcPr>
            <w:tcW w:w="7512" w:type="dxa"/>
          </w:tcPr>
          <w:p w14:paraId="69CD66E9" w14:textId="77777777" w:rsidR="00552969" w:rsidRDefault="00AE724C" w:rsidP="006A302F">
            <w:pPr>
              <w:suppressAutoHyphens/>
              <w:rPr>
                <w:sz w:val="15"/>
              </w:rPr>
            </w:pPr>
            <w:bookmarkStart w:id="2" w:name="insurer"/>
            <w:bookmarkStart w:id="3" w:name="position"/>
            <w:bookmarkEnd w:id="2"/>
            <w:bookmarkEnd w:id="3"/>
            <w:proofErr w:type="spellStart"/>
            <w:r>
              <w:rPr>
                <w:sz w:val="15"/>
              </w:rPr>
              <w:t>xxxx</w:t>
            </w:r>
            <w:proofErr w:type="spellEnd"/>
          </w:p>
        </w:tc>
      </w:tr>
      <w:tr w:rsidR="00552969" w14:paraId="764A6306" w14:textId="77777777" w:rsidTr="00CA6AE5">
        <w:tc>
          <w:tcPr>
            <w:tcW w:w="720" w:type="dxa"/>
          </w:tcPr>
          <w:p w14:paraId="66692B15" w14:textId="77777777" w:rsidR="00552969" w:rsidRDefault="00552969">
            <w:pPr>
              <w:suppressAutoHyphens/>
              <w:rPr>
                <w:sz w:val="15"/>
              </w:rPr>
            </w:pPr>
          </w:p>
        </w:tc>
        <w:tc>
          <w:tcPr>
            <w:tcW w:w="8919" w:type="dxa"/>
            <w:gridSpan w:val="2"/>
          </w:tcPr>
          <w:p w14:paraId="6BA6BA6A" w14:textId="77777777" w:rsidR="00552969" w:rsidRDefault="00552969">
            <w:pPr>
              <w:suppressAutoHyphens/>
              <w:rPr>
                <w:sz w:val="15"/>
              </w:rPr>
            </w:pPr>
            <w:r w:rsidRPr="00937326">
              <w:rPr>
                <w:sz w:val="15"/>
              </w:rPr>
              <w:t>(dále jen “</w:t>
            </w:r>
            <w:r>
              <w:rPr>
                <w:b/>
                <w:sz w:val="15"/>
              </w:rPr>
              <w:t>pojistitel</w:t>
            </w:r>
            <w:r w:rsidRPr="00937326">
              <w:rPr>
                <w:sz w:val="15"/>
              </w:rPr>
              <w:t>”)</w:t>
            </w:r>
          </w:p>
        </w:tc>
      </w:tr>
      <w:tr w:rsidR="00552969" w14:paraId="6EC10D10" w14:textId="77777777" w:rsidTr="00CA6AE5">
        <w:tc>
          <w:tcPr>
            <w:tcW w:w="720" w:type="dxa"/>
          </w:tcPr>
          <w:p w14:paraId="1EC5DA63" w14:textId="77777777" w:rsidR="00552969" w:rsidRDefault="00552969">
            <w:pPr>
              <w:suppressAutoHyphens/>
              <w:rPr>
                <w:sz w:val="15"/>
              </w:rPr>
            </w:pPr>
          </w:p>
        </w:tc>
        <w:tc>
          <w:tcPr>
            <w:tcW w:w="8919" w:type="dxa"/>
            <w:gridSpan w:val="2"/>
          </w:tcPr>
          <w:p w14:paraId="2757CF86" w14:textId="77777777" w:rsidR="00552969" w:rsidRDefault="00552969">
            <w:pPr>
              <w:suppressAutoHyphens/>
              <w:rPr>
                <w:sz w:val="15"/>
              </w:rPr>
            </w:pPr>
          </w:p>
        </w:tc>
      </w:tr>
      <w:tr w:rsidR="00552969" w14:paraId="3A6323CA" w14:textId="77777777" w:rsidTr="00CA6AE5">
        <w:tc>
          <w:tcPr>
            <w:tcW w:w="720" w:type="dxa"/>
          </w:tcPr>
          <w:p w14:paraId="7F1F004A" w14:textId="77777777" w:rsidR="00552969" w:rsidRDefault="00552969">
            <w:pPr>
              <w:suppressAutoHyphens/>
              <w:rPr>
                <w:b/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8919" w:type="dxa"/>
            <w:gridSpan w:val="2"/>
          </w:tcPr>
          <w:p w14:paraId="635B2339" w14:textId="77777777" w:rsidR="00552969" w:rsidRDefault="00E75F11">
            <w:pPr>
              <w:suppressAutoHyphens/>
              <w:rPr>
                <w:b/>
                <w:sz w:val="15"/>
              </w:rPr>
            </w:pPr>
            <w:bookmarkStart w:id="4" w:name="name"/>
            <w:bookmarkEnd w:id="4"/>
            <w:r>
              <w:rPr>
                <w:b/>
                <w:sz w:val="15"/>
              </w:rPr>
              <w:t>Západočeská univerzita v Plzni</w:t>
            </w:r>
          </w:p>
        </w:tc>
      </w:tr>
      <w:tr w:rsidR="00552969" w14:paraId="5BEFAA95" w14:textId="77777777" w:rsidTr="00CA6AE5">
        <w:tc>
          <w:tcPr>
            <w:tcW w:w="720" w:type="dxa"/>
          </w:tcPr>
          <w:p w14:paraId="0860CD4F" w14:textId="77777777" w:rsidR="00552969" w:rsidRDefault="00552969">
            <w:pPr>
              <w:rPr>
                <w:sz w:val="15"/>
              </w:rPr>
            </w:pPr>
          </w:p>
        </w:tc>
        <w:tc>
          <w:tcPr>
            <w:tcW w:w="1407" w:type="dxa"/>
          </w:tcPr>
          <w:p w14:paraId="04B109C6" w14:textId="77777777" w:rsidR="00552969" w:rsidRDefault="00552969">
            <w:pPr>
              <w:rPr>
                <w:sz w:val="15"/>
              </w:rPr>
            </w:pPr>
            <w:r>
              <w:rPr>
                <w:sz w:val="15"/>
              </w:rPr>
              <w:t>sídlo:</w:t>
            </w:r>
          </w:p>
        </w:tc>
        <w:tc>
          <w:tcPr>
            <w:tcW w:w="7512" w:type="dxa"/>
          </w:tcPr>
          <w:p w14:paraId="16D09BA4" w14:textId="77777777" w:rsidR="00552969" w:rsidRDefault="00E75F11" w:rsidP="005E3FDF">
            <w:pPr>
              <w:rPr>
                <w:sz w:val="15"/>
              </w:rPr>
            </w:pPr>
            <w:bookmarkStart w:id="5" w:name="address"/>
            <w:bookmarkEnd w:id="5"/>
            <w:r>
              <w:rPr>
                <w:sz w:val="15"/>
              </w:rPr>
              <w:t>Univerzitní 2732/8, 30</w:t>
            </w:r>
            <w:r w:rsidR="005E3FDF">
              <w:rPr>
                <w:sz w:val="15"/>
              </w:rPr>
              <w:t>1</w:t>
            </w:r>
            <w:r>
              <w:rPr>
                <w:sz w:val="15"/>
              </w:rPr>
              <w:t xml:space="preserve"> </w:t>
            </w:r>
            <w:r w:rsidR="005E3FDF">
              <w:rPr>
                <w:sz w:val="15"/>
              </w:rPr>
              <w:t>00</w:t>
            </w:r>
            <w:r>
              <w:rPr>
                <w:sz w:val="15"/>
              </w:rPr>
              <w:t xml:space="preserve"> Plzeň</w:t>
            </w:r>
          </w:p>
        </w:tc>
      </w:tr>
      <w:tr w:rsidR="00552969" w14:paraId="4533F53B" w14:textId="77777777" w:rsidTr="00CA6AE5">
        <w:tc>
          <w:tcPr>
            <w:tcW w:w="720" w:type="dxa"/>
          </w:tcPr>
          <w:p w14:paraId="14700553" w14:textId="77777777" w:rsidR="00552969" w:rsidRDefault="00552969">
            <w:pPr>
              <w:rPr>
                <w:sz w:val="15"/>
              </w:rPr>
            </w:pPr>
          </w:p>
        </w:tc>
        <w:tc>
          <w:tcPr>
            <w:tcW w:w="1407" w:type="dxa"/>
          </w:tcPr>
          <w:p w14:paraId="288909E9" w14:textId="77777777" w:rsidR="00552969" w:rsidRDefault="00552969">
            <w:pPr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  <w:tc>
          <w:tcPr>
            <w:tcW w:w="7512" w:type="dxa"/>
          </w:tcPr>
          <w:p w14:paraId="2C4DF16F" w14:textId="77777777" w:rsidR="00552969" w:rsidRDefault="00E75F11">
            <w:pPr>
              <w:rPr>
                <w:sz w:val="15"/>
              </w:rPr>
            </w:pPr>
            <w:bookmarkStart w:id="6" w:name="ico"/>
            <w:bookmarkEnd w:id="6"/>
            <w:r>
              <w:rPr>
                <w:sz w:val="15"/>
              </w:rPr>
              <w:t>49777513</w:t>
            </w:r>
            <w:bookmarkStart w:id="7" w:name="dic"/>
            <w:bookmarkEnd w:id="7"/>
          </w:p>
        </w:tc>
      </w:tr>
      <w:tr w:rsidR="00552969" w14:paraId="56A2C7B4" w14:textId="77777777" w:rsidTr="00CA6AE5">
        <w:tc>
          <w:tcPr>
            <w:tcW w:w="720" w:type="dxa"/>
          </w:tcPr>
          <w:p w14:paraId="7553C454" w14:textId="77777777" w:rsidR="00552969" w:rsidRDefault="00552969">
            <w:pPr>
              <w:rPr>
                <w:sz w:val="15"/>
              </w:rPr>
            </w:pPr>
          </w:p>
        </w:tc>
        <w:tc>
          <w:tcPr>
            <w:tcW w:w="1407" w:type="dxa"/>
          </w:tcPr>
          <w:p w14:paraId="299FB9F0" w14:textId="77777777" w:rsidR="00552969" w:rsidRDefault="00552969">
            <w:pPr>
              <w:rPr>
                <w:sz w:val="15"/>
              </w:rPr>
            </w:pPr>
            <w:r>
              <w:rPr>
                <w:sz w:val="15"/>
              </w:rPr>
              <w:t>zastupuje:</w:t>
            </w:r>
          </w:p>
        </w:tc>
        <w:tc>
          <w:tcPr>
            <w:tcW w:w="7512" w:type="dxa"/>
          </w:tcPr>
          <w:p w14:paraId="6FACE38F" w14:textId="77777777" w:rsidR="00552969" w:rsidRDefault="00E75F11">
            <w:pPr>
              <w:rPr>
                <w:sz w:val="15"/>
              </w:rPr>
            </w:pPr>
            <w:bookmarkStart w:id="8" w:name="responsible1"/>
            <w:bookmarkEnd w:id="8"/>
            <w:r>
              <w:rPr>
                <w:sz w:val="15"/>
              </w:rPr>
              <w:t>Doc. Dr. RNDr. Miroslav Holeček, rektor</w:t>
            </w:r>
            <w:bookmarkStart w:id="9" w:name="responsible2"/>
            <w:bookmarkEnd w:id="9"/>
          </w:p>
        </w:tc>
      </w:tr>
      <w:tr w:rsidR="00552969" w14:paraId="49ECE175" w14:textId="77777777" w:rsidTr="00CA6AE5">
        <w:tc>
          <w:tcPr>
            <w:tcW w:w="720" w:type="dxa"/>
          </w:tcPr>
          <w:p w14:paraId="3DD42DD1" w14:textId="77777777" w:rsidR="00552969" w:rsidRDefault="00552969">
            <w:pPr>
              <w:rPr>
                <w:sz w:val="15"/>
              </w:rPr>
            </w:pPr>
          </w:p>
        </w:tc>
        <w:tc>
          <w:tcPr>
            <w:tcW w:w="8919" w:type="dxa"/>
            <w:gridSpan w:val="2"/>
          </w:tcPr>
          <w:p w14:paraId="0FEE7435" w14:textId="77777777" w:rsidR="00552969" w:rsidRDefault="003A6BEB">
            <w:pPr>
              <w:rPr>
                <w:b/>
                <w:sz w:val="15"/>
              </w:rPr>
            </w:pPr>
            <w:r>
              <w:rPr>
                <w:sz w:val="15"/>
              </w:rPr>
              <w:t>(dále jen</w:t>
            </w:r>
            <w:r w:rsidR="00552969" w:rsidRPr="00937326">
              <w:rPr>
                <w:sz w:val="15"/>
              </w:rPr>
              <w:t xml:space="preserve"> “</w:t>
            </w:r>
            <w:r w:rsidR="00552969">
              <w:rPr>
                <w:b/>
                <w:sz w:val="15"/>
              </w:rPr>
              <w:t>pojistník</w:t>
            </w:r>
            <w:r w:rsidR="00552969" w:rsidRPr="00937326">
              <w:rPr>
                <w:sz w:val="15"/>
              </w:rPr>
              <w:t>”)</w:t>
            </w:r>
          </w:p>
        </w:tc>
      </w:tr>
    </w:tbl>
    <w:p w14:paraId="1F9214EE" w14:textId="77777777" w:rsidR="00552969" w:rsidRDefault="00552969">
      <w:pPr>
        <w:rPr>
          <w:sz w:val="15"/>
        </w:rPr>
      </w:pPr>
    </w:p>
    <w:p w14:paraId="4239B69E" w14:textId="77777777" w:rsidR="006A302F" w:rsidRDefault="00552969" w:rsidP="003A6BEB">
      <w:pPr>
        <w:ind w:left="709" w:hanging="709"/>
        <w:rPr>
          <w:sz w:val="15"/>
        </w:rPr>
      </w:pPr>
      <w:r w:rsidRPr="006A302F">
        <w:rPr>
          <w:sz w:val="15"/>
        </w:rPr>
        <w:t>2.</w:t>
      </w:r>
      <w:r w:rsidRPr="006A302F">
        <w:rPr>
          <w:sz w:val="15"/>
        </w:rPr>
        <w:tab/>
      </w:r>
      <w:r w:rsidR="006A302F">
        <w:rPr>
          <w:sz w:val="15"/>
        </w:rPr>
        <w:t xml:space="preserve">Smluvní strany se dohodly, že s účinností </w:t>
      </w:r>
      <w:r w:rsidR="006A302F" w:rsidRPr="006B77EE">
        <w:rPr>
          <w:sz w:val="15"/>
        </w:rPr>
        <w:t xml:space="preserve">od </w:t>
      </w:r>
      <w:r w:rsidR="006B77EE" w:rsidRPr="006B77EE">
        <w:rPr>
          <w:sz w:val="15"/>
        </w:rPr>
        <w:t xml:space="preserve">1. </w:t>
      </w:r>
      <w:r w:rsidR="00B54B1B">
        <w:rPr>
          <w:sz w:val="15"/>
        </w:rPr>
        <w:t>1</w:t>
      </w:r>
      <w:r w:rsidR="006A302F" w:rsidRPr="006B77EE">
        <w:rPr>
          <w:sz w:val="15"/>
        </w:rPr>
        <w:t>. 202</w:t>
      </w:r>
      <w:r w:rsidR="00B54B1B">
        <w:rPr>
          <w:sz w:val="15"/>
        </w:rPr>
        <w:t>2</w:t>
      </w:r>
      <w:r w:rsidR="00765C63">
        <w:rPr>
          <w:sz w:val="15"/>
        </w:rPr>
        <w:t xml:space="preserve"> do 30.6.2022</w:t>
      </w:r>
      <w:r w:rsidR="006A302F">
        <w:rPr>
          <w:sz w:val="15"/>
        </w:rPr>
        <w:t xml:space="preserve"> se rozšiřuje rozsah pojištění </w:t>
      </w:r>
      <w:r w:rsidR="006D41A6">
        <w:rPr>
          <w:sz w:val="15"/>
        </w:rPr>
        <w:t>u pojistné smlouvy č. </w:t>
      </w:r>
      <w:r w:rsidR="003A6BEB">
        <w:rPr>
          <w:sz w:val="15"/>
        </w:rPr>
        <w:t xml:space="preserve">2000202081 </w:t>
      </w:r>
      <w:r w:rsidR="000D67C4">
        <w:rPr>
          <w:sz w:val="15"/>
        </w:rPr>
        <w:t xml:space="preserve">(dále jen „Smlouva“) </w:t>
      </w:r>
      <w:r w:rsidR="00D51E3F">
        <w:rPr>
          <w:sz w:val="15"/>
        </w:rPr>
        <w:t xml:space="preserve">o </w:t>
      </w:r>
      <w:r w:rsidR="0049104F">
        <w:rPr>
          <w:sz w:val="15"/>
        </w:rPr>
        <w:t xml:space="preserve">níže uvedenou </w:t>
      </w:r>
      <w:r w:rsidR="00D51E3F">
        <w:rPr>
          <w:sz w:val="15"/>
        </w:rPr>
        <w:t>sekci</w:t>
      </w:r>
      <w:r w:rsidR="006A302F">
        <w:rPr>
          <w:sz w:val="15"/>
        </w:rPr>
        <w:t>:</w:t>
      </w:r>
    </w:p>
    <w:p w14:paraId="3B1FA22B" w14:textId="77777777" w:rsidR="0021015C" w:rsidRDefault="0021015C" w:rsidP="0021015C">
      <w:pPr>
        <w:rPr>
          <w:sz w:val="15"/>
        </w:rPr>
      </w:pPr>
      <w:r>
        <w:rPr>
          <w:sz w:val="15"/>
        </w:rPr>
        <w:t>“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89"/>
        <w:gridCol w:w="5028"/>
        <w:gridCol w:w="1880"/>
        <w:gridCol w:w="542"/>
      </w:tblGrid>
      <w:tr w:rsidR="00EE545B" w14:paraId="0B18E330" w14:textId="77777777" w:rsidTr="00EE545B">
        <w:tc>
          <w:tcPr>
            <w:tcW w:w="1136" w:type="pct"/>
          </w:tcPr>
          <w:p w14:paraId="479D0C22" w14:textId="77777777" w:rsidR="00EE545B" w:rsidRDefault="00EE545B" w:rsidP="0021015C">
            <w:pPr>
              <w:ind w:left="28"/>
              <w:rPr>
                <w:sz w:val="15"/>
              </w:rPr>
            </w:pPr>
            <w:bookmarkStart w:id="10" w:name="table_coverage"/>
            <w:bookmarkEnd w:id="10"/>
          </w:p>
        </w:tc>
        <w:tc>
          <w:tcPr>
            <w:tcW w:w="2608" w:type="pct"/>
          </w:tcPr>
          <w:p w14:paraId="6EE75D40" w14:textId="77777777" w:rsidR="00EE545B" w:rsidRDefault="00EE545B" w:rsidP="0021015C">
            <w:pPr>
              <w:rPr>
                <w:sz w:val="15"/>
              </w:rPr>
            </w:pPr>
          </w:p>
        </w:tc>
        <w:tc>
          <w:tcPr>
            <w:tcW w:w="1256" w:type="pct"/>
            <w:gridSpan w:val="2"/>
            <w:vAlign w:val="center"/>
          </w:tcPr>
          <w:p w14:paraId="3CF1457B" w14:textId="77777777" w:rsidR="00EE545B" w:rsidRDefault="00EE545B" w:rsidP="00EE545B">
            <w:pPr>
              <w:jc w:val="center"/>
              <w:rPr>
                <w:sz w:val="15"/>
              </w:rPr>
            </w:pPr>
            <w:r>
              <w:rPr>
                <w:sz w:val="15"/>
              </w:rPr>
              <w:t>Evropa/Svět (Kč)</w:t>
            </w:r>
          </w:p>
          <w:p w14:paraId="0F034273" w14:textId="77777777" w:rsidR="00EE545B" w:rsidRDefault="00EE545B" w:rsidP="0021015C">
            <w:pPr>
              <w:ind w:left="-113" w:right="-113"/>
              <w:rPr>
                <w:sz w:val="15"/>
              </w:rPr>
            </w:pPr>
          </w:p>
        </w:tc>
      </w:tr>
      <w:tr w:rsidR="00EE545B" w14:paraId="118A76C3" w14:textId="77777777" w:rsidTr="00EE545B">
        <w:tc>
          <w:tcPr>
            <w:tcW w:w="1136" w:type="pct"/>
          </w:tcPr>
          <w:p w14:paraId="54D05EC2" w14:textId="77777777" w:rsidR="00EE545B" w:rsidRDefault="00EE545B" w:rsidP="0021015C">
            <w:pPr>
              <w:ind w:left="28"/>
              <w:rPr>
                <w:sz w:val="15"/>
              </w:rPr>
            </w:pPr>
            <w:r>
              <w:rPr>
                <w:sz w:val="15"/>
              </w:rPr>
              <w:t>ERV COVID</w:t>
            </w:r>
          </w:p>
        </w:tc>
        <w:tc>
          <w:tcPr>
            <w:tcW w:w="2608" w:type="pct"/>
          </w:tcPr>
          <w:p w14:paraId="58D02CC4" w14:textId="77777777" w:rsidR="00EE545B" w:rsidRDefault="00EE545B" w:rsidP="00D3274B">
            <w:pPr>
              <w:rPr>
                <w:sz w:val="15"/>
              </w:rPr>
            </w:pPr>
            <w:r>
              <w:rPr>
                <w:sz w:val="15"/>
              </w:rPr>
              <w:t xml:space="preserve">Znemožnění návratu (COVID-19) – náhradní </w:t>
            </w:r>
            <w:r w:rsidR="00D3274B">
              <w:rPr>
                <w:sz w:val="15"/>
              </w:rPr>
              <w:t>ubytování</w:t>
            </w:r>
          </w:p>
        </w:tc>
        <w:tc>
          <w:tcPr>
            <w:tcW w:w="975" w:type="pct"/>
          </w:tcPr>
          <w:p w14:paraId="45523172" w14:textId="77777777" w:rsidR="00EE545B" w:rsidRDefault="00EE545B" w:rsidP="0021015C">
            <w:pPr>
              <w:jc w:val="right"/>
              <w:rPr>
                <w:sz w:val="15"/>
              </w:rPr>
            </w:pPr>
            <w:r>
              <w:rPr>
                <w:sz w:val="15"/>
              </w:rPr>
              <w:t>15 000</w:t>
            </w:r>
          </w:p>
        </w:tc>
        <w:tc>
          <w:tcPr>
            <w:tcW w:w="281" w:type="pct"/>
          </w:tcPr>
          <w:p w14:paraId="7D3FBEDF" w14:textId="77777777" w:rsidR="00EE545B" w:rsidRDefault="00EE545B" w:rsidP="0021015C">
            <w:pPr>
              <w:ind w:left="-113" w:right="-113"/>
              <w:rPr>
                <w:sz w:val="15"/>
              </w:rPr>
            </w:pPr>
            <w:r>
              <w:rPr>
                <w:sz w:val="15"/>
              </w:rPr>
              <w:t>11)</w:t>
            </w:r>
          </w:p>
        </w:tc>
      </w:tr>
      <w:tr w:rsidR="00EE545B" w14:paraId="243D575F" w14:textId="77777777" w:rsidTr="00EE545B">
        <w:tc>
          <w:tcPr>
            <w:tcW w:w="1136" w:type="pct"/>
          </w:tcPr>
          <w:p w14:paraId="07FAD329" w14:textId="77777777" w:rsidR="00EE545B" w:rsidRDefault="00EE545B" w:rsidP="005347C1">
            <w:pPr>
              <w:ind w:left="28"/>
              <w:rPr>
                <w:sz w:val="15"/>
              </w:rPr>
            </w:pPr>
          </w:p>
        </w:tc>
        <w:tc>
          <w:tcPr>
            <w:tcW w:w="2608" w:type="pct"/>
          </w:tcPr>
          <w:p w14:paraId="3C8387D6" w14:textId="77777777" w:rsidR="00EE545B" w:rsidRDefault="00EE545B" w:rsidP="005347C1">
            <w:pPr>
              <w:rPr>
                <w:sz w:val="15"/>
              </w:rPr>
            </w:pPr>
            <w:r>
              <w:rPr>
                <w:sz w:val="15"/>
              </w:rPr>
              <w:t>Znemožnění návratu (COVID-19) – náhradní doprava</w:t>
            </w:r>
          </w:p>
        </w:tc>
        <w:tc>
          <w:tcPr>
            <w:tcW w:w="975" w:type="pct"/>
          </w:tcPr>
          <w:p w14:paraId="1CFF0292" w14:textId="77777777" w:rsidR="00EE545B" w:rsidRDefault="00EE545B" w:rsidP="005347C1">
            <w:pPr>
              <w:jc w:val="right"/>
              <w:rPr>
                <w:sz w:val="15"/>
              </w:rPr>
            </w:pPr>
            <w:r>
              <w:rPr>
                <w:sz w:val="15"/>
              </w:rPr>
              <w:t>15 000</w:t>
            </w:r>
          </w:p>
        </w:tc>
        <w:tc>
          <w:tcPr>
            <w:tcW w:w="281" w:type="pct"/>
          </w:tcPr>
          <w:p w14:paraId="7E126F1B" w14:textId="77777777" w:rsidR="00EE545B" w:rsidRDefault="00EE545B" w:rsidP="005347C1">
            <w:pPr>
              <w:ind w:left="-113" w:right="-113"/>
              <w:rPr>
                <w:sz w:val="15"/>
              </w:rPr>
            </w:pPr>
            <w:r>
              <w:rPr>
                <w:sz w:val="15"/>
              </w:rPr>
              <w:t>11)</w:t>
            </w:r>
          </w:p>
        </w:tc>
      </w:tr>
    </w:tbl>
    <w:p w14:paraId="604D9507" w14:textId="77777777" w:rsidR="00D51E3F" w:rsidRDefault="00D51E3F" w:rsidP="0021015C">
      <w:pPr>
        <w:tabs>
          <w:tab w:val="left" w:pos="5529"/>
        </w:tabs>
        <w:rPr>
          <w:b/>
          <w:bCs/>
          <w:sz w:val="15"/>
        </w:rPr>
      </w:pPr>
    </w:p>
    <w:p w14:paraId="1B5B0C41" w14:textId="77777777" w:rsidR="0021015C" w:rsidRDefault="0021015C" w:rsidP="0021015C">
      <w:pPr>
        <w:tabs>
          <w:tab w:val="left" w:pos="5529"/>
        </w:tabs>
        <w:rPr>
          <w:sz w:val="15"/>
        </w:rPr>
      </w:pPr>
      <w:r>
        <w:rPr>
          <w:b/>
          <w:bCs/>
          <w:sz w:val="15"/>
        </w:rPr>
        <w:t>Poznámky</w:t>
      </w:r>
      <w:r>
        <w:rPr>
          <w:sz w:val="15"/>
        </w:rPr>
        <w:t xml:space="preserve"> (dílčí plnění):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686"/>
      </w:tblGrid>
      <w:tr w:rsidR="0021015C" w14:paraId="00DF4DB3" w14:textId="77777777" w:rsidTr="00D51E3F">
        <w:tc>
          <w:tcPr>
            <w:tcW w:w="567" w:type="dxa"/>
          </w:tcPr>
          <w:p w14:paraId="0EF1E3DF" w14:textId="77777777" w:rsidR="005347C1" w:rsidRDefault="005347C1" w:rsidP="00D51E3F">
            <w:pPr>
              <w:ind w:left="-5352" w:right="-57"/>
              <w:jc w:val="right"/>
              <w:rPr>
                <w:sz w:val="15"/>
              </w:rPr>
            </w:pPr>
            <w:bookmarkStart w:id="11" w:name="table_info"/>
            <w:bookmarkEnd w:id="11"/>
            <w:r>
              <w:rPr>
                <w:sz w:val="15"/>
              </w:rPr>
              <w:t>11)</w:t>
            </w:r>
          </w:p>
        </w:tc>
        <w:tc>
          <w:tcPr>
            <w:tcW w:w="3686" w:type="dxa"/>
          </w:tcPr>
          <w:p w14:paraId="70BF95B6" w14:textId="77777777" w:rsidR="005347C1" w:rsidRDefault="005C045E" w:rsidP="0021015C">
            <w:pPr>
              <w:rPr>
                <w:sz w:val="15"/>
              </w:rPr>
            </w:pPr>
            <w:r>
              <w:rPr>
                <w:sz w:val="15"/>
              </w:rPr>
              <w:t>Spoluúčast 20%</w:t>
            </w:r>
          </w:p>
        </w:tc>
      </w:tr>
    </w:tbl>
    <w:p w14:paraId="11B472C5" w14:textId="77777777" w:rsidR="00552969" w:rsidRDefault="00552969" w:rsidP="003A6BEB">
      <w:pPr>
        <w:rPr>
          <w:b/>
          <w:sz w:val="15"/>
        </w:rPr>
      </w:pPr>
    </w:p>
    <w:p w14:paraId="52A39F85" w14:textId="77777777" w:rsidR="00EE545B" w:rsidRDefault="00DC771B" w:rsidP="003A6BEB">
      <w:pPr>
        <w:rPr>
          <w:sz w:val="15"/>
        </w:rPr>
      </w:pPr>
      <w:r>
        <w:rPr>
          <w:sz w:val="15"/>
        </w:rPr>
        <w:t>3</w:t>
      </w:r>
      <w:r w:rsidR="002E19E8">
        <w:rPr>
          <w:sz w:val="15"/>
        </w:rPr>
        <w:t>.</w:t>
      </w:r>
      <w:r w:rsidR="002E19E8">
        <w:rPr>
          <w:sz w:val="15"/>
        </w:rPr>
        <w:tab/>
      </w:r>
      <w:r w:rsidR="00EE545B" w:rsidRPr="00EE545B">
        <w:rPr>
          <w:sz w:val="15"/>
        </w:rPr>
        <w:t>Sekce ERV COVID se řídí následujícími ustanoveními:</w:t>
      </w:r>
    </w:p>
    <w:p w14:paraId="6A2BA03F" w14:textId="77777777" w:rsidR="00EE545B" w:rsidRDefault="00DC771B" w:rsidP="00211C6A">
      <w:pPr>
        <w:ind w:left="709" w:hanging="709"/>
        <w:jc w:val="both"/>
        <w:rPr>
          <w:sz w:val="15"/>
        </w:rPr>
      </w:pPr>
      <w:r>
        <w:rPr>
          <w:sz w:val="15"/>
        </w:rPr>
        <w:t>3</w:t>
      </w:r>
      <w:r w:rsidR="00211C6A">
        <w:rPr>
          <w:sz w:val="15"/>
        </w:rPr>
        <w:t>.1</w:t>
      </w:r>
      <w:r w:rsidR="00EE545B">
        <w:rPr>
          <w:sz w:val="15"/>
        </w:rPr>
        <w:tab/>
      </w:r>
      <w:r w:rsidR="00EE545B" w:rsidRPr="00EE545B">
        <w:rPr>
          <w:sz w:val="15"/>
        </w:rPr>
        <w:t xml:space="preserve">Bude-li muset </w:t>
      </w:r>
      <w:r w:rsidR="000D67C4">
        <w:rPr>
          <w:sz w:val="15"/>
        </w:rPr>
        <w:t xml:space="preserve">osoba pojištěná dle Smlouvy </w:t>
      </w:r>
      <w:r w:rsidR="00EE545B" w:rsidRPr="00EE545B">
        <w:rPr>
          <w:sz w:val="15"/>
        </w:rPr>
        <w:t>prodloužit svůj pobyt v zahraničí z důvodu Vašeho nezaviněného umístění do karantény kvůli onemocnění COVID-19, uhradíme Vám mimořádné doložené náklady na náhradní ubytování a</w:t>
      </w:r>
      <w:r w:rsidR="00211C6A">
        <w:rPr>
          <w:sz w:val="15"/>
        </w:rPr>
        <w:t> </w:t>
      </w:r>
      <w:r w:rsidR="00EE545B" w:rsidRPr="00EE545B">
        <w:rPr>
          <w:sz w:val="15"/>
        </w:rPr>
        <w:t>zpáteční cestu, a to až do výše limitu pojistného plnění.</w:t>
      </w:r>
    </w:p>
    <w:p w14:paraId="26AF7AD6" w14:textId="77777777" w:rsidR="00EE545B" w:rsidRDefault="00DC771B" w:rsidP="0049104F">
      <w:pPr>
        <w:ind w:left="709" w:hanging="709"/>
        <w:rPr>
          <w:sz w:val="15"/>
        </w:rPr>
      </w:pPr>
      <w:r>
        <w:rPr>
          <w:sz w:val="15"/>
        </w:rPr>
        <w:t>3</w:t>
      </w:r>
      <w:r w:rsidR="00211C6A">
        <w:rPr>
          <w:sz w:val="15"/>
        </w:rPr>
        <w:t>.</w:t>
      </w:r>
      <w:r w:rsidR="00EE545B" w:rsidRPr="00EE545B">
        <w:rPr>
          <w:sz w:val="15"/>
        </w:rPr>
        <w:t>2</w:t>
      </w:r>
      <w:r w:rsidR="00EE545B">
        <w:rPr>
          <w:sz w:val="15"/>
        </w:rPr>
        <w:tab/>
      </w:r>
      <w:r w:rsidR="00EE545B" w:rsidRPr="00EE545B">
        <w:rPr>
          <w:sz w:val="15"/>
        </w:rPr>
        <w:t>Pojistné plnění je v případě přepravy omezeno cenou letenky či jízdenky v ekonomické třídě nebo cenou odpovídající úrovně dopravy.</w:t>
      </w:r>
    </w:p>
    <w:p w14:paraId="35083770" w14:textId="77777777" w:rsidR="00EE545B" w:rsidRDefault="00DC771B" w:rsidP="0049104F">
      <w:pPr>
        <w:ind w:left="709" w:hanging="709"/>
        <w:rPr>
          <w:sz w:val="15"/>
        </w:rPr>
      </w:pPr>
      <w:r>
        <w:rPr>
          <w:sz w:val="15"/>
        </w:rPr>
        <w:t>3</w:t>
      </w:r>
      <w:r w:rsidR="00211C6A">
        <w:rPr>
          <w:sz w:val="15"/>
        </w:rPr>
        <w:t>.</w:t>
      </w:r>
      <w:r w:rsidR="00EE545B" w:rsidRPr="00EE545B">
        <w:rPr>
          <w:sz w:val="15"/>
        </w:rPr>
        <w:t>3</w:t>
      </w:r>
      <w:r w:rsidR="00EE545B">
        <w:rPr>
          <w:sz w:val="15"/>
        </w:rPr>
        <w:tab/>
      </w:r>
      <w:r w:rsidR="00EE545B" w:rsidRPr="00EE545B">
        <w:rPr>
          <w:sz w:val="15"/>
        </w:rPr>
        <w:t xml:space="preserve">Pojistné plnění je v případě náhradního ubytování omezeno na stejnou kategorii hotelu, ve které </w:t>
      </w:r>
      <w:r w:rsidR="000D67C4">
        <w:rPr>
          <w:sz w:val="15"/>
        </w:rPr>
        <w:t xml:space="preserve">pojištěná osoba </w:t>
      </w:r>
      <w:r w:rsidR="00EE545B" w:rsidRPr="00EE545B">
        <w:rPr>
          <w:sz w:val="15"/>
        </w:rPr>
        <w:t>byl</w:t>
      </w:r>
      <w:r w:rsidR="000D67C4">
        <w:rPr>
          <w:sz w:val="15"/>
        </w:rPr>
        <w:t>a</w:t>
      </w:r>
      <w:r w:rsidR="00EE545B" w:rsidRPr="00EE545B">
        <w:rPr>
          <w:sz w:val="15"/>
        </w:rPr>
        <w:t xml:space="preserve"> původně ubytován</w:t>
      </w:r>
      <w:r w:rsidR="000D67C4">
        <w:rPr>
          <w:sz w:val="15"/>
        </w:rPr>
        <w:t>a</w:t>
      </w:r>
      <w:r w:rsidR="00EE545B" w:rsidRPr="00EE545B">
        <w:rPr>
          <w:sz w:val="15"/>
        </w:rPr>
        <w:t>.</w:t>
      </w:r>
    </w:p>
    <w:p w14:paraId="17439969" w14:textId="77777777" w:rsidR="00EE545B" w:rsidRDefault="00DC771B" w:rsidP="0049104F">
      <w:pPr>
        <w:ind w:left="709" w:hanging="709"/>
        <w:rPr>
          <w:sz w:val="15"/>
        </w:rPr>
      </w:pPr>
      <w:r>
        <w:rPr>
          <w:sz w:val="15"/>
        </w:rPr>
        <w:t>3</w:t>
      </w:r>
      <w:r w:rsidR="00211C6A">
        <w:rPr>
          <w:sz w:val="15"/>
        </w:rPr>
        <w:t>.</w:t>
      </w:r>
      <w:r w:rsidR="00EE545B" w:rsidRPr="00EE545B">
        <w:rPr>
          <w:sz w:val="15"/>
        </w:rPr>
        <w:t>4</w:t>
      </w:r>
      <w:r w:rsidR="00EE545B">
        <w:rPr>
          <w:sz w:val="15"/>
        </w:rPr>
        <w:tab/>
      </w:r>
      <w:r w:rsidR="00EE545B" w:rsidRPr="00EE545B">
        <w:rPr>
          <w:sz w:val="15"/>
        </w:rPr>
        <w:t>Spoluúčast v případě znemožnění návratu činí 20 %.</w:t>
      </w:r>
    </w:p>
    <w:p w14:paraId="1760FCD5" w14:textId="77777777" w:rsidR="00EE545B" w:rsidRDefault="00EE545B" w:rsidP="00EE545B">
      <w:pPr>
        <w:tabs>
          <w:tab w:val="left" w:pos="426"/>
        </w:tabs>
        <w:rPr>
          <w:sz w:val="15"/>
        </w:rPr>
      </w:pPr>
    </w:p>
    <w:p w14:paraId="7ED026E1" w14:textId="77777777" w:rsidR="00EE545B" w:rsidRDefault="00DC771B" w:rsidP="00EE545B">
      <w:pPr>
        <w:tabs>
          <w:tab w:val="left" w:pos="426"/>
        </w:tabs>
        <w:rPr>
          <w:sz w:val="15"/>
        </w:rPr>
      </w:pPr>
      <w:r>
        <w:rPr>
          <w:sz w:val="15"/>
        </w:rPr>
        <w:t>4</w:t>
      </w:r>
      <w:r w:rsidR="002E19E8">
        <w:rPr>
          <w:sz w:val="15"/>
        </w:rPr>
        <w:t>.</w:t>
      </w:r>
      <w:r w:rsidR="002E19E8">
        <w:rPr>
          <w:sz w:val="15"/>
        </w:rPr>
        <w:tab/>
      </w:r>
      <w:r w:rsidR="002E19E8">
        <w:rPr>
          <w:sz w:val="15"/>
        </w:rPr>
        <w:tab/>
      </w:r>
      <w:r w:rsidR="00EE545B" w:rsidRPr="00EE545B">
        <w:rPr>
          <w:sz w:val="15"/>
        </w:rPr>
        <w:t xml:space="preserve">Na co se </w:t>
      </w:r>
      <w:r w:rsidR="00EE545B">
        <w:rPr>
          <w:sz w:val="15"/>
        </w:rPr>
        <w:t xml:space="preserve">sekce ERV COVID </w:t>
      </w:r>
      <w:r w:rsidR="00EE545B" w:rsidRPr="00EE545B">
        <w:rPr>
          <w:sz w:val="15"/>
        </w:rPr>
        <w:t>nevztahuje</w:t>
      </w:r>
    </w:p>
    <w:p w14:paraId="12708C16" w14:textId="77777777" w:rsidR="00EE545B" w:rsidRDefault="00DC771B" w:rsidP="0049104F">
      <w:pPr>
        <w:ind w:left="709" w:hanging="709"/>
        <w:rPr>
          <w:sz w:val="15"/>
        </w:rPr>
      </w:pPr>
      <w:r>
        <w:rPr>
          <w:sz w:val="15"/>
        </w:rPr>
        <w:t>4</w:t>
      </w:r>
      <w:r w:rsidR="00211C6A">
        <w:rPr>
          <w:sz w:val="15"/>
        </w:rPr>
        <w:t>.1</w:t>
      </w:r>
      <w:r w:rsidR="00EE545B">
        <w:rPr>
          <w:sz w:val="15"/>
        </w:rPr>
        <w:tab/>
      </w:r>
      <w:r w:rsidR="00EE545B" w:rsidRPr="00EE545B">
        <w:rPr>
          <w:sz w:val="15"/>
        </w:rPr>
        <w:t>Nejsme povinni platit zkrácení, přerušení či prodloužení cesty</w:t>
      </w:r>
      <w:r w:rsidR="00EE545B">
        <w:rPr>
          <w:sz w:val="15"/>
        </w:rPr>
        <w:t>:</w:t>
      </w:r>
    </w:p>
    <w:p w14:paraId="02BAF5B2" w14:textId="77777777" w:rsidR="00EE545B" w:rsidRDefault="00EE545B" w:rsidP="0049104F">
      <w:pPr>
        <w:ind w:left="709" w:hanging="709"/>
        <w:rPr>
          <w:sz w:val="15"/>
        </w:rPr>
      </w:pPr>
      <w:r>
        <w:rPr>
          <w:sz w:val="15"/>
        </w:rPr>
        <w:tab/>
      </w:r>
      <w:r w:rsidR="00211C6A">
        <w:rPr>
          <w:sz w:val="15"/>
        </w:rPr>
        <w:t xml:space="preserve">a) které nastane </w:t>
      </w:r>
      <w:r w:rsidRPr="00EE545B">
        <w:rPr>
          <w:sz w:val="15"/>
        </w:rPr>
        <w:t xml:space="preserve">do 24 hodin </w:t>
      </w:r>
      <w:r>
        <w:rPr>
          <w:sz w:val="15"/>
        </w:rPr>
        <w:t>před Vaším plánovaným návratem,</w:t>
      </w:r>
    </w:p>
    <w:p w14:paraId="59706F00" w14:textId="77777777" w:rsidR="00EE545B" w:rsidRDefault="00211C6A" w:rsidP="00211C6A">
      <w:pPr>
        <w:ind w:left="709"/>
        <w:rPr>
          <w:sz w:val="15"/>
        </w:rPr>
      </w:pPr>
      <w:r>
        <w:rPr>
          <w:sz w:val="15"/>
        </w:rPr>
        <w:t xml:space="preserve">b) </w:t>
      </w:r>
      <w:r w:rsidR="00EE545B" w:rsidRPr="00EE545B">
        <w:rPr>
          <w:sz w:val="15"/>
        </w:rPr>
        <w:t xml:space="preserve">které </w:t>
      </w:r>
      <w:r>
        <w:rPr>
          <w:sz w:val="15"/>
        </w:rPr>
        <w:t xml:space="preserve">nám nebylo předem oznámeno, nebo nebylo </w:t>
      </w:r>
      <w:r w:rsidR="00EE545B" w:rsidRPr="00EE545B">
        <w:rPr>
          <w:sz w:val="15"/>
        </w:rPr>
        <w:t>předem schvál</w:t>
      </w:r>
      <w:r>
        <w:rPr>
          <w:sz w:val="15"/>
        </w:rPr>
        <w:t>eno</w:t>
      </w:r>
      <w:r w:rsidR="00EE545B" w:rsidRPr="00EE545B">
        <w:rPr>
          <w:sz w:val="15"/>
        </w:rPr>
        <w:t xml:space="preserve"> naš</w:t>
      </w:r>
      <w:r>
        <w:rPr>
          <w:sz w:val="15"/>
        </w:rPr>
        <w:t>í</w:t>
      </w:r>
      <w:r w:rsidR="00EE545B" w:rsidRPr="00EE545B">
        <w:rPr>
          <w:sz w:val="15"/>
        </w:rPr>
        <w:t xml:space="preserve"> asistenční služb</w:t>
      </w:r>
      <w:r>
        <w:rPr>
          <w:sz w:val="15"/>
        </w:rPr>
        <w:t>ou (schválení se týká případu volby ubytování pojištěné osoby)</w:t>
      </w:r>
      <w:r w:rsidR="00EE545B" w:rsidRPr="00EE545B">
        <w:rPr>
          <w:sz w:val="15"/>
        </w:rPr>
        <w:t>,</w:t>
      </w:r>
    </w:p>
    <w:p w14:paraId="495F3BD4" w14:textId="77777777" w:rsidR="0049104F" w:rsidRDefault="00211C6A" w:rsidP="00211C6A">
      <w:pPr>
        <w:ind w:left="709"/>
        <w:rPr>
          <w:sz w:val="15"/>
        </w:rPr>
      </w:pPr>
      <w:r>
        <w:rPr>
          <w:sz w:val="15"/>
        </w:rPr>
        <w:t xml:space="preserve">c) </w:t>
      </w:r>
      <w:r w:rsidR="00EE545B" w:rsidRPr="00EE545B">
        <w:rPr>
          <w:sz w:val="15"/>
        </w:rPr>
        <w:t>když jste jeho důvod mohl/a předpokládat před Vaším odjezdem do zahraničí.</w:t>
      </w:r>
    </w:p>
    <w:p w14:paraId="658702EA" w14:textId="77777777" w:rsidR="0049104F" w:rsidRDefault="0049104F" w:rsidP="0049104F">
      <w:pPr>
        <w:ind w:left="709" w:hanging="709"/>
        <w:rPr>
          <w:sz w:val="15"/>
        </w:rPr>
      </w:pPr>
    </w:p>
    <w:p w14:paraId="0787AF1E" w14:textId="77777777" w:rsidR="0049104F" w:rsidRDefault="00DC771B" w:rsidP="002E19E8">
      <w:pPr>
        <w:ind w:left="705" w:hanging="705"/>
        <w:rPr>
          <w:sz w:val="15"/>
        </w:rPr>
      </w:pPr>
      <w:r>
        <w:rPr>
          <w:sz w:val="15"/>
        </w:rPr>
        <w:t>5</w:t>
      </w:r>
      <w:r w:rsidR="002E19E8">
        <w:rPr>
          <w:sz w:val="15"/>
        </w:rPr>
        <w:t>.</w:t>
      </w:r>
      <w:r w:rsidR="002E19E8">
        <w:rPr>
          <w:sz w:val="15"/>
        </w:rPr>
        <w:tab/>
      </w:r>
      <w:r w:rsidR="0049104F">
        <w:rPr>
          <w:sz w:val="15"/>
        </w:rPr>
        <w:t xml:space="preserve">Sazby pojistného se </w:t>
      </w:r>
      <w:r w:rsidR="002D5296">
        <w:rPr>
          <w:sz w:val="15"/>
        </w:rPr>
        <w:t xml:space="preserve">od </w:t>
      </w:r>
      <w:r w:rsidR="003D7BF1">
        <w:rPr>
          <w:sz w:val="15"/>
        </w:rPr>
        <w:t xml:space="preserve">1. 1. 2022 </w:t>
      </w:r>
      <w:r w:rsidR="002D5296">
        <w:rPr>
          <w:sz w:val="15"/>
        </w:rPr>
        <w:t xml:space="preserve"> do 3</w:t>
      </w:r>
      <w:r w:rsidR="00DD794F">
        <w:rPr>
          <w:sz w:val="15"/>
        </w:rPr>
        <w:t>0</w:t>
      </w:r>
      <w:r w:rsidR="002D5296">
        <w:rPr>
          <w:sz w:val="15"/>
        </w:rPr>
        <w:t>.</w:t>
      </w:r>
      <w:r w:rsidR="00920F45">
        <w:rPr>
          <w:sz w:val="15"/>
        </w:rPr>
        <w:t xml:space="preserve"> </w:t>
      </w:r>
      <w:r w:rsidR="00DD794F">
        <w:rPr>
          <w:sz w:val="15"/>
        </w:rPr>
        <w:t>6</w:t>
      </w:r>
      <w:r w:rsidR="002D5296">
        <w:rPr>
          <w:sz w:val="15"/>
        </w:rPr>
        <w:t>.</w:t>
      </w:r>
      <w:r w:rsidR="00920F45">
        <w:rPr>
          <w:sz w:val="15"/>
        </w:rPr>
        <w:t xml:space="preserve"> </w:t>
      </w:r>
      <w:r w:rsidR="00DD794F">
        <w:rPr>
          <w:sz w:val="15"/>
        </w:rPr>
        <w:t>2022</w:t>
      </w:r>
      <w:r w:rsidR="002D5296">
        <w:rPr>
          <w:sz w:val="15"/>
        </w:rPr>
        <w:t xml:space="preserve"> (po uplynutí této doby platí sazby pojistného</w:t>
      </w:r>
      <w:r w:rsidR="00E81A3F">
        <w:rPr>
          <w:sz w:val="15"/>
        </w:rPr>
        <w:t xml:space="preserve"> platné před uzavřením dodatku</w:t>
      </w:r>
      <w:r w:rsidR="003D7BF1">
        <w:rPr>
          <w:sz w:val="15"/>
        </w:rPr>
        <w:t xml:space="preserve"> č. 1</w:t>
      </w:r>
      <w:r w:rsidR="002D5296">
        <w:rPr>
          <w:sz w:val="15"/>
        </w:rPr>
        <w:t xml:space="preserve">) </w:t>
      </w:r>
      <w:r w:rsidR="0049104F">
        <w:rPr>
          <w:sz w:val="15"/>
        </w:rPr>
        <w:t>v návaznosti na výše uvedené mění následovně:</w:t>
      </w:r>
    </w:p>
    <w:p w14:paraId="7B55B8C8" w14:textId="77777777" w:rsidR="0049104F" w:rsidRDefault="0049104F" w:rsidP="00211C6A">
      <w:pPr>
        <w:numPr>
          <w:ilvl w:val="0"/>
          <w:numId w:val="5"/>
        </w:numPr>
        <w:rPr>
          <w:sz w:val="15"/>
        </w:rPr>
      </w:pPr>
      <w:r>
        <w:rPr>
          <w:sz w:val="15"/>
        </w:rPr>
        <w:t>Evropa</w:t>
      </w:r>
      <w:r>
        <w:rPr>
          <w:sz w:val="15"/>
        </w:rPr>
        <w:tab/>
        <w:t>43,- Kč / den</w:t>
      </w:r>
    </w:p>
    <w:p w14:paraId="229EDB47" w14:textId="77777777" w:rsidR="00EE545B" w:rsidRDefault="0049104F" w:rsidP="00211C6A">
      <w:pPr>
        <w:numPr>
          <w:ilvl w:val="0"/>
          <w:numId w:val="5"/>
        </w:numPr>
        <w:rPr>
          <w:sz w:val="15"/>
        </w:rPr>
      </w:pPr>
      <w:r>
        <w:rPr>
          <w:sz w:val="15"/>
        </w:rPr>
        <w:t>Svět</w:t>
      </w:r>
      <w:r w:rsidR="00C3304A">
        <w:rPr>
          <w:sz w:val="15"/>
        </w:rPr>
        <w:tab/>
      </w:r>
      <w:r>
        <w:rPr>
          <w:sz w:val="15"/>
        </w:rPr>
        <w:tab/>
        <w:t>83,- Kč / den</w:t>
      </w:r>
      <w:r w:rsidR="00EE545B">
        <w:rPr>
          <w:sz w:val="15"/>
        </w:rPr>
        <w:t>“</w:t>
      </w:r>
    </w:p>
    <w:p w14:paraId="434EE7C4" w14:textId="77777777" w:rsidR="00EE545B" w:rsidRDefault="00EE545B" w:rsidP="003A6BEB">
      <w:pPr>
        <w:rPr>
          <w:sz w:val="15"/>
        </w:rPr>
      </w:pPr>
    </w:p>
    <w:p w14:paraId="451E3427" w14:textId="77777777" w:rsidR="003A6BEB" w:rsidRPr="003A6BEB" w:rsidRDefault="00DC771B" w:rsidP="003A6BEB">
      <w:pPr>
        <w:ind w:left="720" w:hanging="720"/>
        <w:jc w:val="both"/>
        <w:rPr>
          <w:sz w:val="15"/>
        </w:rPr>
      </w:pPr>
      <w:r>
        <w:rPr>
          <w:bCs/>
          <w:sz w:val="15"/>
          <w:szCs w:val="15"/>
        </w:rPr>
        <w:t>6</w:t>
      </w:r>
      <w:r w:rsidR="003A6BEB" w:rsidRPr="00E81A3F">
        <w:rPr>
          <w:bCs/>
          <w:sz w:val="15"/>
          <w:szCs w:val="15"/>
        </w:rPr>
        <w:t>.</w:t>
      </w:r>
      <w:r w:rsidR="003A6BEB" w:rsidRPr="003345E6">
        <w:rPr>
          <w:b/>
          <w:bCs/>
          <w:sz w:val="15"/>
          <w:szCs w:val="15"/>
        </w:rPr>
        <w:tab/>
      </w:r>
      <w:r w:rsidR="003A6BEB" w:rsidRPr="003A6BEB">
        <w:rPr>
          <w:sz w:val="15"/>
        </w:rPr>
        <w:t>Ostatní ustanovení smlouvy zůstávají beze změny.</w:t>
      </w:r>
    </w:p>
    <w:p w14:paraId="32C38FDD" w14:textId="77777777" w:rsidR="003A6BEB" w:rsidRPr="003A6BEB" w:rsidRDefault="003A6BEB" w:rsidP="003A6BEB">
      <w:pPr>
        <w:ind w:left="720" w:hanging="720"/>
        <w:jc w:val="both"/>
        <w:rPr>
          <w:sz w:val="15"/>
        </w:rPr>
      </w:pPr>
    </w:p>
    <w:p w14:paraId="1372E702" w14:textId="77777777" w:rsidR="00E81A3F" w:rsidRDefault="00DC771B" w:rsidP="00E81A3F">
      <w:pPr>
        <w:ind w:left="709" w:hanging="709"/>
        <w:jc w:val="both"/>
        <w:rPr>
          <w:sz w:val="15"/>
        </w:rPr>
      </w:pPr>
      <w:r>
        <w:rPr>
          <w:sz w:val="15"/>
        </w:rPr>
        <w:t>7</w:t>
      </w:r>
      <w:r w:rsidR="003A6BEB" w:rsidRPr="00E81A3F">
        <w:rPr>
          <w:sz w:val="15"/>
        </w:rPr>
        <w:t>.</w:t>
      </w:r>
      <w:r w:rsidR="003A6BEB" w:rsidRPr="003A6BEB">
        <w:rPr>
          <w:sz w:val="15"/>
        </w:rPr>
        <w:tab/>
      </w:r>
      <w:r w:rsidR="00E81A3F" w:rsidRPr="007E7871">
        <w:rPr>
          <w:sz w:val="15"/>
        </w:rPr>
        <w:t xml:space="preserve">Tento dodatek je uzavřen dnem podpisu poslední smluvní strany a nabývá účinnosti dnem </w:t>
      </w:r>
      <w:r w:rsidR="00C75196">
        <w:rPr>
          <w:sz w:val="15"/>
        </w:rPr>
        <w:t xml:space="preserve">1. 1. 2022 nestanoví-li jinak </w:t>
      </w:r>
      <w:r w:rsidR="00E81A3F" w:rsidRPr="007E7871">
        <w:rPr>
          <w:sz w:val="15"/>
        </w:rPr>
        <w:t>zákon č. 340/2015 Sb., o zvláštních podmínkách účinnosti některých smluv, uveřejňování těchto smluv a</w:t>
      </w:r>
      <w:r w:rsidR="00E81A3F">
        <w:rPr>
          <w:sz w:val="15"/>
        </w:rPr>
        <w:t> </w:t>
      </w:r>
      <w:r w:rsidR="00E81A3F" w:rsidRPr="007E7871">
        <w:rPr>
          <w:sz w:val="15"/>
        </w:rPr>
        <w:t>o registru smluv.</w:t>
      </w:r>
    </w:p>
    <w:p w14:paraId="3A14E369" w14:textId="77777777" w:rsidR="00E81A3F" w:rsidRPr="007E7871" w:rsidRDefault="00E81A3F" w:rsidP="00E81A3F">
      <w:pPr>
        <w:ind w:left="709" w:hanging="709"/>
        <w:jc w:val="both"/>
        <w:rPr>
          <w:sz w:val="15"/>
        </w:rPr>
      </w:pPr>
    </w:p>
    <w:p w14:paraId="4E650903" w14:textId="77777777" w:rsidR="00E81A3F" w:rsidRDefault="00DC771B" w:rsidP="00E81A3F">
      <w:pPr>
        <w:ind w:left="709" w:hanging="709"/>
        <w:jc w:val="both"/>
        <w:rPr>
          <w:sz w:val="15"/>
        </w:rPr>
      </w:pPr>
      <w:r>
        <w:rPr>
          <w:sz w:val="15"/>
        </w:rPr>
        <w:t>8</w:t>
      </w:r>
      <w:r w:rsidR="00E81A3F">
        <w:rPr>
          <w:sz w:val="15"/>
        </w:rPr>
        <w:t>.</w:t>
      </w:r>
      <w:r w:rsidR="00E81A3F" w:rsidRPr="007E7871">
        <w:rPr>
          <w:sz w:val="15"/>
        </w:rPr>
        <w:tab/>
        <w:t>Pojistník tento dodatek zveřejní v Registru smluv.</w:t>
      </w:r>
    </w:p>
    <w:p w14:paraId="15179813" w14:textId="77777777" w:rsidR="00E81A3F" w:rsidRPr="007E7871" w:rsidRDefault="00E81A3F" w:rsidP="00E81A3F">
      <w:pPr>
        <w:ind w:left="709" w:hanging="709"/>
        <w:jc w:val="both"/>
        <w:rPr>
          <w:sz w:val="15"/>
        </w:rPr>
      </w:pPr>
    </w:p>
    <w:p w14:paraId="4531DE87" w14:textId="77777777" w:rsidR="00E81A3F" w:rsidRDefault="00DC771B" w:rsidP="00E81A3F">
      <w:pPr>
        <w:ind w:left="709" w:hanging="709"/>
        <w:jc w:val="both"/>
        <w:rPr>
          <w:sz w:val="15"/>
        </w:rPr>
      </w:pPr>
      <w:r>
        <w:rPr>
          <w:sz w:val="15"/>
        </w:rPr>
        <w:t>9</w:t>
      </w:r>
      <w:r w:rsidR="00E81A3F">
        <w:rPr>
          <w:sz w:val="15"/>
        </w:rPr>
        <w:t>.</w:t>
      </w:r>
      <w:r w:rsidR="00E81A3F" w:rsidRPr="007E7871">
        <w:rPr>
          <w:sz w:val="15"/>
        </w:rPr>
        <w:tab/>
        <w:t>Nebude-li tento dodatek zveřejněn v souladu s ust. § 5 zák. č. 340/2015 Sb. pojistníkem do jednoho měsíce po jeho uzavření, je pojistitel povinen jej uveřejnit v souladu s ust. § 5 zák. č. 340/2015 Sb. nejpozději do 3 měsíců od jeho uzavření.</w:t>
      </w:r>
    </w:p>
    <w:p w14:paraId="2532C1C7" w14:textId="77777777" w:rsidR="00E81A3F" w:rsidRDefault="00920F45" w:rsidP="00E81A3F">
      <w:pPr>
        <w:ind w:left="709" w:hanging="709"/>
        <w:jc w:val="both"/>
        <w:rPr>
          <w:sz w:val="15"/>
        </w:rPr>
      </w:pPr>
      <w:r>
        <w:rPr>
          <w:sz w:val="15"/>
        </w:rPr>
        <w:br w:type="page"/>
      </w:r>
    </w:p>
    <w:p w14:paraId="2740B5E1" w14:textId="77777777" w:rsidR="00E81A3F" w:rsidRPr="00E81A3F" w:rsidRDefault="00DC771B" w:rsidP="00E81A3F">
      <w:pPr>
        <w:ind w:left="709" w:hanging="709"/>
        <w:jc w:val="both"/>
        <w:rPr>
          <w:sz w:val="15"/>
        </w:rPr>
      </w:pPr>
      <w:r>
        <w:rPr>
          <w:sz w:val="15"/>
        </w:rPr>
        <w:lastRenderedPageBreak/>
        <w:t>10</w:t>
      </w:r>
      <w:r w:rsidR="0066543C">
        <w:rPr>
          <w:sz w:val="15"/>
        </w:rPr>
        <w:t>.</w:t>
      </w:r>
      <w:r w:rsidR="0066543C">
        <w:rPr>
          <w:sz w:val="15"/>
        </w:rPr>
        <w:tab/>
      </w:r>
      <w:r w:rsidR="00E81A3F">
        <w:rPr>
          <w:sz w:val="15"/>
        </w:rPr>
        <w:t>Tento dodatek</w:t>
      </w:r>
      <w:r w:rsidR="00E81A3F" w:rsidRPr="00E81A3F">
        <w:rPr>
          <w:sz w:val="15"/>
        </w:rPr>
        <w:t xml:space="preserve"> je vyhotoven v elektronické podobě, s kvalifikovanými nebo zaručenými elektronickými podpisy zástupců smluvních stran založenými na kvalifikovaném certifikátu, nebo v listinné podobě (ve dvou vyhotoveních) s</w:t>
      </w:r>
      <w:r w:rsidR="00920F45">
        <w:rPr>
          <w:sz w:val="15"/>
        </w:rPr>
        <w:t> </w:t>
      </w:r>
      <w:r w:rsidR="00E81A3F" w:rsidRPr="00E81A3F">
        <w:rPr>
          <w:sz w:val="15"/>
        </w:rPr>
        <w:t>vlastnoručními podpisy oprávněných osob.</w:t>
      </w:r>
    </w:p>
    <w:p w14:paraId="788E3042" w14:textId="77777777" w:rsidR="00920F45" w:rsidRDefault="00E81A3F" w:rsidP="00E81A3F">
      <w:pPr>
        <w:pStyle w:val="Zkladntextodsazen2"/>
        <w:tabs>
          <w:tab w:val="left" w:pos="4962"/>
        </w:tabs>
        <w:jc w:val="both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ab/>
      </w:r>
    </w:p>
    <w:p w14:paraId="01DE44AC" w14:textId="77777777" w:rsidR="00E81A3F" w:rsidRPr="00D31AC5" w:rsidRDefault="00920F45" w:rsidP="00E81A3F">
      <w:pPr>
        <w:pStyle w:val="Zkladntextodsazen2"/>
        <w:tabs>
          <w:tab w:val="left" w:pos="4962"/>
        </w:tabs>
        <w:jc w:val="both"/>
        <w:rPr>
          <w:rFonts w:ascii="Garamond" w:hAnsi="Garamond" w:cs="Verdana"/>
        </w:rPr>
      </w:pPr>
      <w:r>
        <w:rPr>
          <w:rFonts w:ascii="Verdana" w:hAnsi="Verdana"/>
          <w:sz w:val="15"/>
        </w:rPr>
        <w:tab/>
      </w:r>
      <w:r w:rsidR="00E81A3F" w:rsidRPr="00E81A3F">
        <w:rPr>
          <w:rFonts w:ascii="Verdana" w:hAnsi="Verdana"/>
          <w:sz w:val="15"/>
        </w:rPr>
        <w:t>Dne …………</w:t>
      </w:r>
      <w:r w:rsidR="00E81A3F">
        <w:rPr>
          <w:rFonts w:ascii="Verdana" w:hAnsi="Verdana"/>
          <w:sz w:val="15"/>
        </w:rPr>
        <w:t>……………</w:t>
      </w:r>
      <w:r w:rsidR="00E81A3F" w:rsidRPr="00E81A3F">
        <w:rPr>
          <w:rFonts w:ascii="Verdana" w:hAnsi="Verdana"/>
          <w:sz w:val="15"/>
        </w:rPr>
        <w:t xml:space="preserve"> (případně viz el. podpis)</w:t>
      </w:r>
      <w:r w:rsidR="00E81A3F" w:rsidRPr="00E81A3F">
        <w:rPr>
          <w:rFonts w:ascii="Verdana" w:hAnsi="Verdana"/>
          <w:sz w:val="15"/>
        </w:rPr>
        <w:tab/>
        <w:t>Dne .................</w:t>
      </w:r>
      <w:r w:rsidR="00E81A3F">
        <w:rPr>
          <w:rFonts w:ascii="Verdana" w:hAnsi="Verdana"/>
          <w:sz w:val="15"/>
        </w:rPr>
        <w:t>...</w:t>
      </w:r>
      <w:r w:rsidR="00E81A3F" w:rsidRPr="00E81A3F">
        <w:rPr>
          <w:rFonts w:ascii="Verdana" w:hAnsi="Verdana"/>
          <w:sz w:val="15"/>
        </w:rPr>
        <w:t>. (případně viz el. podpis)</w:t>
      </w:r>
    </w:p>
    <w:p w14:paraId="46FD3527" w14:textId="77777777" w:rsidR="00552969" w:rsidRDefault="00552969" w:rsidP="003A6BEB">
      <w:pPr>
        <w:pStyle w:val="Zkladntextodsazen2"/>
        <w:tabs>
          <w:tab w:val="left" w:pos="4962"/>
        </w:tabs>
        <w:jc w:val="both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ab/>
        <w:t>Za pojistitele:</w:t>
      </w:r>
      <w:r>
        <w:rPr>
          <w:rFonts w:ascii="Verdana" w:hAnsi="Verdana"/>
          <w:sz w:val="15"/>
        </w:rPr>
        <w:tab/>
        <w:t>Za pojistníka:</w:t>
      </w:r>
    </w:p>
    <w:p w14:paraId="7AECFB9F" w14:textId="77777777" w:rsidR="00CA6AE5" w:rsidRDefault="00CA6AE5" w:rsidP="003A6BEB">
      <w:pPr>
        <w:pStyle w:val="Zkladntextodsazen2"/>
        <w:tabs>
          <w:tab w:val="left" w:pos="4962"/>
        </w:tabs>
        <w:jc w:val="both"/>
        <w:rPr>
          <w:rFonts w:ascii="Verdana" w:hAnsi="Verdana"/>
          <w:sz w:val="15"/>
        </w:rPr>
      </w:pPr>
    </w:p>
    <w:p w14:paraId="707E0D87" w14:textId="77777777" w:rsidR="00CA6AE5" w:rsidRDefault="00CA6AE5" w:rsidP="003A6BEB">
      <w:pPr>
        <w:pStyle w:val="Zkladntextodsazen2"/>
        <w:tabs>
          <w:tab w:val="left" w:pos="4962"/>
        </w:tabs>
        <w:jc w:val="both"/>
        <w:rPr>
          <w:rFonts w:ascii="Verdana" w:hAnsi="Verdana"/>
          <w:sz w:val="15"/>
        </w:rPr>
      </w:pPr>
    </w:p>
    <w:p w14:paraId="2ED9DD2B" w14:textId="77777777" w:rsidR="00920F45" w:rsidRDefault="00920F45" w:rsidP="003A6BEB">
      <w:pPr>
        <w:pStyle w:val="Zkladntextodsazen2"/>
        <w:tabs>
          <w:tab w:val="left" w:pos="4962"/>
        </w:tabs>
        <w:jc w:val="both"/>
        <w:rPr>
          <w:rFonts w:ascii="Verdana" w:hAnsi="Verdana"/>
          <w:sz w:val="15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4253"/>
        <w:gridCol w:w="4677"/>
      </w:tblGrid>
      <w:tr w:rsidR="00552969" w14:paraId="0D041388" w14:textId="77777777">
        <w:tc>
          <w:tcPr>
            <w:tcW w:w="4253" w:type="dxa"/>
          </w:tcPr>
          <w:p w14:paraId="77068E76" w14:textId="77777777" w:rsidR="003A6BEB" w:rsidRDefault="003A6BEB" w:rsidP="003A6BEB">
            <w:pPr>
              <w:rPr>
                <w:sz w:val="15"/>
              </w:rPr>
            </w:pPr>
            <w:bookmarkStart w:id="12" w:name="insurer2"/>
            <w:bookmarkEnd w:id="12"/>
            <w:r>
              <w:rPr>
                <w:sz w:val="15"/>
              </w:rPr>
              <w:t>...............................</w:t>
            </w:r>
          </w:p>
          <w:p w14:paraId="51944EE2" w14:textId="77777777" w:rsidR="003A6BEB" w:rsidRDefault="00AE724C" w:rsidP="003A6BEB">
            <w:pPr>
              <w:rPr>
                <w:sz w:val="15"/>
              </w:rPr>
            </w:pPr>
            <w:proofErr w:type="spellStart"/>
            <w:r>
              <w:rPr>
                <w:sz w:val="15"/>
              </w:rPr>
              <w:t>xxxx</w:t>
            </w:r>
            <w:proofErr w:type="spellEnd"/>
          </w:p>
          <w:p w14:paraId="41A3246B" w14:textId="77777777" w:rsidR="003A6BEB" w:rsidRDefault="003A6BEB" w:rsidP="003A6BEB">
            <w:pPr>
              <w:rPr>
                <w:sz w:val="15"/>
              </w:rPr>
            </w:pPr>
          </w:p>
          <w:p w14:paraId="2AB9016D" w14:textId="77777777" w:rsidR="003A6BEB" w:rsidRDefault="003A6BEB" w:rsidP="003A6BEB">
            <w:pPr>
              <w:rPr>
                <w:sz w:val="15"/>
              </w:rPr>
            </w:pPr>
          </w:p>
          <w:p w14:paraId="1678834C" w14:textId="77777777" w:rsidR="003A6BEB" w:rsidRDefault="003A6BEB" w:rsidP="003A6BEB">
            <w:pPr>
              <w:rPr>
                <w:sz w:val="15"/>
              </w:rPr>
            </w:pPr>
          </w:p>
          <w:p w14:paraId="2851C624" w14:textId="77777777" w:rsidR="003A6BEB" w:rsidRDefault="003A6BEB" w:rsidP="003A6BEB">
            <w:pPr>
              <w:rPr>
                <w:sz w:val="15"/>
              </w:rPr>
            </w:pPr>
          </w:p>
          <w:p w14:paraId="642B0A26" w14:textId="77777777" w:rsidR="003A6BEB" w:rsidRDefault="003A6BEB" w:rsidP="003A6BEB">
            <w:pPr>
              <w:rPr>
                <w:sz w:val="15"/>
              </w:rPr>
            </w:pPr>
            <w:r>
              <w:rPr>
                <w:sz w:val="15"/>
              </w:rPr>
              <w:t>...............................</w:t>
            </w:r>
          </w:p>
          <w:p w14:paraId="6231410C" w14:textId="77777777" w:rsidR="003A6BEB" w:rsidRDefault="003A6BEB" w:rsidP="003A6BEB">
            <w:pPr>
              <w:rPr>
                <w:sz w:val="15"/>
              </w:rPr>
            </w:pPr>
          </w:p>
          <w:p w14:paraId="1699631F" w14:textId="77777777" w:rsidR="00552969" w:rsidRDefault="00AE724C" w:rsidP="003A6BEB">
            <w:pPr>
              <w:rPr>
                <w:rFonts w:cs="Arial"/>
                <w:noProof/>
                <w:sz w:val="15"/>
                <w:szCs w:val="15"/>
              </w:rPr>
            </w:pPr>
            <w:proofErr w:type="spellStart"/>
            <w:r>
              <w:rPr>
                <w:sz w:val="15"/>
              </w:rPr>
              <w:t>xxxx</w:t>
            </w:r>
            <w:proofErr w:type="spellEnd"/>
          </w:p>
        </w:tc>
        <w:tc>
          <w:tcPr>
            <w:tcW w:w="4678" w:type="dxa"/>
          </w:tcPr>
          <w:p w14:paraId="157C561C" w14:textId="77777777" w:rsidR="003A6BEB" w:rsidRDefault="003A6BEB" w:rsidP="003A6BEB">
            <w:pPr>
              <w:rPr>
                <w:sz w:val="15"/>
              </w:rPr>
            </w:pPr>
            <w:bookmarkStart w:id="13" w:name="rname"/>
            <w:bookmarkEnd w:id="13"/>
            <w:r>
              <w:rPr>
                <w:sz w:val="15"/>
              </w:rPr>
              <w:t>...............................</w:t>
            </w:r>
          </w:p>
          <w:p w14:paraId="5E002C56" w14:textId="77777777" w:rsidR="00552969" w:rsidRDefault="00E75F11" w:rsidP="003A6BEB">
            <w:pPr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Doc. Dr. RNDr. Miroslav Holeček</w:t>
            </w:r>
          </w:p>
          <w:p w14:paraId="47B1D9F9" w14:textId="77777777" w:rsidR="00552969" w:rsidRDefault="00E75F11" w:rsidP="003A6BEB">
            <w:pPr>
              <w:rPr>
                <w:rFonts w:cs="Arial"/>
                <w:sz w:val="15"/>
                <w:szCs w:val="15"/>
              </w:rPr>
            </w:pPr>
            <w:bookmarkStart w:id="14" w:name="rposition"/>
            <w:bookmarkEnd w:id="14"/>
            <w:r>
              <w:rPr>
                <w:rFonts w:cs="Arial"/>
                <w:sz w:val="15"/>
                <w:szCs w:val="15"/>
              </w:rPr>
              <w:t>rektor</w:t>
            </w:r>
            <w:bookmarkStart w:id="15" w:name="rname2"/>
            <w:bookmarkStart w:id="16" w:name="rposition2"/>
            <w:bookmarkEnd w:id="15"/>
            <w:bookmarkEnd w:id="16"/>
          </w:p>
        </w:tc>
      </w:tr>
    </w:tbl>
    <w:p w14:paraId="706DF55C" w14:textId="77777777" w:rsidR="00552969" w:rsidRDefault="00552969"/>
    <w:sectPr w:rsidR="00552969">
      <w:headerReference w:type="default" r:id="rId8"/>
      <w:footerReference w:type="default" r:id="rId9"/>
      <w:footerReference w:type="first" r:id="rId10"/>
      <w:pgSz w:w="11906" w:h="16838" w:code="9"/>
      <w:pgMar w:top="1954" w:right="849" w:bottom="1135" w:left="1418" w:header="708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A8AD" w14:textId="77777777" w:rsidR="00D03CD4" w:rsidRDefault="00D03CD4" w:rsidP="00552969">
      <w:r>
        <w:separator/>
      </w:r>
    </w:p>
  </w:endnote>
  <w:endnote w:type="continuationSeparator" w:id="0">
    <w:p w14:paraId="71DEDA07" w14:textId="77777777" w:rsidR="00D03CD4" w:rsidRDefault="00D03CD4" w:rsidP="0055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B4C7" w14:textId="77777777" w:rsidR="005347C1" w:rsidRPr="00F53FAF" w:rsidRDefault="005347C1" w:rsidP="00F53FAF">
    <w:pPr>
      <w:pStyle w:val="Zpat"/>
      <w:tabs>
        <w:tab w:val="clear" w:pos="4153"/>
        <w:tab w:val="clear" w:pos="8306"/>
        <w:tab w:val="right" w:pos="9639"/>
      </w:tabs>
      <w:ind w:firstLine="720"/>
      <w:jc w:val="right"/>
      <w:rPr>
        <w:color w:val="808080"/>
        <w:sz w:val="12"/>
      </w:rPr>
    </w:pPr>
    <w:r w:rsidRPr="00402CAC">
      <w:rPr>
        <w:color w:val="808080"/>
        <w:sz w:val="12"/>
      </w:rPr>
      <w:fldChar w:fldCharType="begin"/>
    </w:r>
    <w:r w:rsidRPr="00402CAC">
      <w:rPr>
        <w:color w:val="808080"/>
        <w:sz w:val="12"/>
      </w:rPr>
      <w:instrText xml:space="preserve"> PAGE   \* MERGEFORMAT </w:instrText>
    </w:r>
    <w:r w:rsidRPr="00402CAC">
      <w:rPr>
        <w:color w:val="808080"/>
        <w:sz w:val="12"/>
      </w:rPr>
      <w:fldChar w:fldCharType="separate"/>
    </w:r>
    <w:r w:rsidR="00AE724C">
      <w:rPr>
        <w:noProof/>
        <w:color w:val="808080"/>
        <w:sz w:val="12"/>
      </w:rPr>
      <w:t>2</w:t>
    </w:r>
    <w:r w:rsidRPr="00402CAC">
      <w:rPr>
        <w:color w:val="808080"/>
        <w:sz w:val="12"/>
      </w:rPr>
      <w:fldChar w:fldCharType="end"/>
    </w:r>
    <w:r w:rsidRPr="00402CAC">
      <w:rPr>
        <w:color w:val="808080"/>
        <w:sz w:val="12"/>
      </w:rPr>
      <w:t>/</w:t>
    </w:r>
    <w:r w:rsidRPr="00402CAC">
      <w:rPr>
        <w:color w:val="808080"/>
        <w:sz w:val="12"/>
      </w:rPr>
      <w:fldChar w:fldCharType="begin"/>
    </w:r>
    <w:r w:rsidRPr="00402CAC">
      <w:rPr>
        <w:color w:val="808080"/>
        <w:sz w:val="12"/>
      </w:rPr>
      <w:instrText xml:space="preserve"> NUMPAGES   \* MERGEFORMAT </w:instrText>
    </w:r>
    <w:r w:rsidRPr="00402CAC">
      <w:rPr>
        <w:color w:val="808080"/>
        <w:sz w:val="12"/>
      </w:rPr>
      <w:fldChar w:fldCharType="separate"/>
    </w:r>
    <w:r w:rsidR="00AE724C">
      <w:rPr>
        <w:noProof/>
        <w:color w:val="808080"/>
        <w:sz w:val="12"/>
      </w:rPr>
      <w:t>2</w:t>
    </w:r>
    <w:r w:rsidRPr="00402CAC">
      <w:rPr>
        <w:color w:val="80808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4704" w14:textId="77777777" w:rsidR="005347C1" w:rsidRPr="00F53FAF" w:rsidRDefault="005347C1" w:rsidP="00F53FAF">
    <w:pPr>
      <w:pStyle w:val="Zpat"/>
      <w:tabs>
        <w:tab w:val="clear" w:pos="4153"/>
        <w:tab w:val="clear" w:pos="8306"/>
        <w:tab w:val="right" w:pos="9639"/>
      </w:tabs>
      <w:ind w:firstLine="720"/>
      <w:jc w:val="right"/>
      <w:rPr>
        <w:color w:val="808080"/>
        <w:sz w:val="12"/>
      </w:rPr>
    </w:pPr>
    <w:r w:rsidRPr="00402CAC">
      <w:rPr>
        <w:color w:val="808080"/>
        <w:sz w:val="12"/>
      </w:rPr>
      <w:fldChar w:fldCharType="begin"/>
    </w:r>
    <w:r w:rsidRPr="00402CAC">
      <w:rPr>
        <w:color w:val="808080"/>
        <w:sz w:val="12"/>
      </w:rPr>
      <w:instrText xml:space="preserve"> PAGE   \* MERGEFORMAT </w:instrText>
    </w:r>
    <w:r w:rsidRPr="00402CAC">
      <w:rPr>
        <w:color w:val="808080"/>
        <w:sz w:val="12"/>
      </w:rPr>
      <w:fldChar w:fldCharType="separate"/>
    </w:r>
    <w:r w:rsidR="00AE724C">
      <w:rPr>
        <w:noProof/>
        <w:color w:val="808080"/>
        <w:sz w:val="12"/>
      </w:rPr>
      <w:t>1</w:t>
    </w:r>
    <w:r w:rsidRPr="00402CAC">
      <w:rPr>
        <w:color w:val="808080"/>
        <w:sz w:val="12"/>
      </w:rPr>
      <w:fldChar w:fldCharType="end"/>
    </w:r>
    <w:r w:rsidRPr="00402CAC">
      <w:rPr>
        <w:color w:val="808080"/>
        <w:sz w:val="12"/>
      </w:rPr>
      <w:t>/</w:t>
    </w:r>
    <w:r w:rsidRPr="00402CAC">
      <w:rPr>
        <w:color w:val="808080"/>
        <w:sz w:val="12"/>
      </w:rPr>
      <w:fldChar w:fldCharType="begin"/>
    </w:r>
    <w:r w:rsidRPr="00402CAC">
      <w:rPr>
        <w:color w:val="808080"/>
        <w:sz w:val="12"/>
      </w:rPr>
      <w:instrText xml:space="preserve"> NUMPAGES   \* MERGEFORMAT </w:instrText>
    </w:r>
    <w:r w:rsidRPr="00402CAC">
      <w:rPr>
        <w:color w:val="808080"/>
        <w:sz w:val="12"/>
      </w:rPr>
      <w:fldChar w:fldCharType="separate"/>
    </w:r>
    <w:r w:rsidR="00AE724C">
      <w:rPr>
        <w:noProof/>
        <w:color w:val="808080"/>
        <w:sz w:val="12"/>
      </w:rPr>
      <w:t>2</w:t>
    </w:r>
    <w:r w:rsidRPr="00402CAC">
      <w:rPr>
        <w:color w:val="80808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33D7" w14:textId="77777777" w:rsidR="00D03CD4" w:rsidRDefault="00D03CD4" w:rsidP="00552969">
      <w:r>
        <w:separator/>
      </w:r>
    </w:p>
  </w:footnote>
  <w:footnote w:type="continuationSeparator" w:id="0">
    <w:p w14:paraId="2AABCBFB" w14:textId="77777777" w:rsidR="00D03CD4" w:rsidRDefault="00D03CD4" w:rsidP="0055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B1AB" w14:textId="77777777" w:rsidR="005347C1" w:rsidRDefault="005347C1">
    <w:pPr>
      <w:pStyle w:val="Zhlav"/>
      <w:tabs>
        <w:tab w:val="clear" w:pos="8306"/>
        <w:tab w:val="right" w:pos="4153"/>
        <w:tab w:val="right" w:pos="9639"/>
      </w:tabs>
      <w:spacing w:line="140" w:lineRule="exact"/>
      <w:rPr>
        <w:rStyle w:val="slostrnky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9F6"/>
    <w:multiLevelType w:val="hybridMultilevel"/>
    <w:tmpl w:val="ECCA8EB8"/>
    <w:lvl w:ilvl="0" w:tplc="F7285C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F45E11"/>
    <w:multiLevelType w:val="multilevel"/>
    <w:tmpl w:val="9FA8922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BE749B8"/>
    <w:multiLevelType w:val="multilevel"/>
    <w:tmpl w:val="B2423A7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39379CE"/>
    <w:multiLevelType w:val="multilevel"/>
    <w:tmpl w:val="33467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1222592"/>
    <w:multiLevelType w:val="multilevel"/>
    <w:tmpl w:val="22D49E7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E3"/>
    <w:rsid w:val="0005154A"/>
    <w:rsid w:val="0009137B"/>
    <w:rsid w:val="000B32E4"/>
    <w:rsid w:val="000D67C4"/>
    <w:rsid w:val="00115EEC"/>
    <w:rsid w:val="001C1A60"/>
    <w:rsid w:val="001C4FD4"/>
    <w:rsid w:val="0021015C"/>
    <w:rsid w:val="00211C6A"/>
    <w:rsid w:val="00296D90"/>
    <w:rsid w:val="002A1BDC"/>
    <w:rsid w:val="002B4E49"/>
    <w:rsid w:val="002C38F8"/>
    <w:rsid w:val="002C6F75"/>
    <w:rsid w:val="002D5296"/>
    <w:rsid w:val="002E19E8"/>
    <w:rsid w:val="00324A3E"/>
    <w:rsid w:val="003832A2"/>
    <w:rsid w:val="003A6BEB"/>
    <w:rsid w:val="003C0723"/>
    <w:rsid w:val="003D7BF1"/>
    <w:rsid w:val="00473F1F"/>
    <w:rsid w:val="0049104F"/>
    <w:rsid w:val="004954D2"/>
    <w:rsid w:val="004B34DB"/>
    <w:rsid w:val="0050366D"/>
    <w:rsid w:val="0052382A"/>
    <w:rsid w:val="00530A3B"/>
    <w:rsid w:val="005347C1"/>
    <w:rsid w:val="00540DF1"/>
    <w:rsid w:val="00552969"/>
    <w:rsid w:val="005705E9"/>
    <w:rsid w:val="00597944"/>
    <w:rsid w:val="005A6722"/>
    <w:rsid w:val="005A7FD1"/>
    <w:rsid w:val="005C045E"/>
    <w:rsid w:val="005E3FDF"/>
    <w:rsid w:val="0066543C"/>
    <w:rsid w:val="006A302F"/>
    <w:rsid w:val="006B77EE"/>
    <w:rsid w:val="006C71A6"/>
    <w:rsid w:val="006D41A6"/>
    <w:rsid w:val="006E239D"/>
    <w:rsid w:val="00701CB6"/>
    <w:rsid w:val="00765C63"/>
    <w:rsid w:val="007953A2"/>
    <w:rsid w:val="007C201C"/>
    <w:rsid w:val="007D11B7"/>
    <w:rsid w:val="00812401"/>
    <w:rsid w:val="00843DB9"/>
    <w:rsid w:val="008446DA"/>
    <w:rsid w:val="00845A63"/>
    <w:rsid w:val="008625A5"/>
    <w:rsid w:val="008C32EE"/>
    <w:rsid w:val="008D7765"/>
    <w:rsid w:val="008F3246"/>
    <w:rsid w:val="00920F45"/>
    <w:rsid w:val="00936233"/>
    <w:rsid w:val="00937326"/>
    <w:rsid w:val="00961F35"/>
    <w:rsid w:val="009625F3"/>
    <w:rsid w:val="0098454F"/>
    <w:rsid w:val="009D174F"/>
    <w:rsid w:val="009F63BF"/>
    <w:rsid w:val="00A3144F"/>
    <w:rsid w:val="00A36010"/>
    <w:rsid w:val="00A3749B"/>
    <w:rsid w:val="00A5526E"/>
    <w:rsid w:val="00A674F4"/>
    <w:rsid w:val="00A731FD"/>
    <w:rsid w:val="00A754B2"/>
    <w:rsid w:val="00A9097E"/>
    <w:rsid w:val="00AE724C"/>
    <w:rsid w:val="00AF2146"/>
    <w:rsid w:val="00B3174E"/>
    <w:rsid w:val="00B54B1B"/>
    <w:rsid w:val="00B7684C"/>
    <w:rsid w:val="00BB75F0"/>
    <w:rsid w:val="00C226D4"/>
    <w:rsid w:val="00C3304A"/>
    <w:rsid w:val="00C42C5B"/>
    <w:rsid w:val="00C75196"/>
    <w:rsid w:val="00CA6AE5"/>
    <w:rsid w:val="00CA6D0E"/>
    <w:rsid w:val="00CE0377"/>
    <w:rsid w:val="00CE6A2A"/>
    <w:rsid w:val="00D00767"/>
    <w:rsid w:val="00D03CD4"/>
    <w:rsid w:val="00D30BB5"/>
    <w:rsid w:val="00D3274B"/>
    <w:rsid w:val="00D51E3F"/>
    <w:rsid w:val="00D764A9"/>
    <w:rsid w:val="00DA1E41"/>
    <w:rsid w:val="00DC771B"/>
    <w:rsid w:val="00DD20B1"/>
    <w:rsid w:val="00DD794F"/>
    <w:rsid w:val="00DE36E5"/>
    <w:rsid w:val="00E17DA7"/>
    <w:rsid w:val="00E60FB5"/>
    <w:rsid w:val="00E63955"/>
    <w:rsid w:val="00E75F11"/>
    <w:rsid w:val="00E81A3F"/>
    <w:rsid w:val="00E95043"/>
    <w:rsid w:val="00E953E3"/>
    <w:rsid w:val="00EA10E1"/>
    <w:rsid w:val="00EA4E51"/>
    <w:rsid w:val="00EE545B"/>
    <w:rsid w:val="00EF5BC2"/>
    <w:rsid w:val="00F0395B"/>
    <w:rsid w:val="00F05BF0"/>
    <w:rsid w:val="00F05C21"/>
    <w:rsid w:val="00F10AB0"/>
    <w:rsid w:val="00F168B6"/>
    <w:rsid w:val="00F53FAF"/>
    <w:rsid w:val="00F61E13"/>
    <w:rsid w:val="00F7545D"/>
    <w:rsid w:val="00FA57BC"/>
    <w:rsid w:val="00FB1B3C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7B9"/>
  <w15:chartTrackingRefBased/>
  <w15:docId w15:val="{1D47AFFC-F3A7-4ABE-8A04-6A99E3A9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keepNext/>
      <w:keepLines/>
      <w:ind w:left="709" w:hanging="709"/>
      <w:jc w:val="both"/>
    </w:pPr>
    <w:rPr>
      <w:rFonts w:ascii="Arial" w:hAnsi="Arial"/>
      <w:sz w:val="16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odsazen2">
    <w:name w:val="Body Text Indent 2"/>
    <w:basedOn w:val="Normln"/>
    <w:semiHidden/>
    <w:pPr>
      <w:ind w:left="709" w:hanging="709"/>
    </w:pPr>
    <w:rPr>
      <w:rFonts w:ascii="Arial" w:hAnsi="Arial"/>
      <w:sz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7D11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1B7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7D11B7"/>
    <w:rPr>
      <w:rFonts w:ascii="Verdana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1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11B7"/>
    <w:rPr>
      <w:rFonts w:ascii="Verdana" w:hAnsi="Verdana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1B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11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81A3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446DA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1A2A4-4646-4E5B-AA87-68F8345D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Pojistná smlouva</vt:lpstr>
      <vt:lpstr>Pojistná smlouva</vt:lpstr>
    </vt:vector>
  </TitlesOfParts>
  <Company>Evropska Cestovni Pojistovna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subject/>
  <dc:creator>OfficeAutomationUser</dc:creator>
  <cp:keywords/>
  <cp:lastModifiedBy>Blanka Grebeňová</cp:lastModifiedBy>
  <cp:revision>2</cp:revision>
  <cp:lastPrinted>2021-06-28T10:10:00Z</cp:lastPrinted>
  <dcterms:created xsi:type="dcterms:W3CDTF">2021-12-17T13:38:00Z</dcterms:created>
  <dcterms:modified xsi:type="dcterms:W3CDTF">2021-12-17T13:38:00Z</dcterms:modified>
</cp:coreProperties>
</file>