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C66B3" w14:textId="4134872E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917188">
        <w:rPr>
          <w:rFonts w:ascii="Calibri" w:hAnsi="Calibri" w:cs="Calibri"/>
          <w:b/>
          <w:bCs/>
          <w:sz w:val="32"/>
          <w:szCs w:val="32"/>
        </w:rPr>
        <w:t>2</w:t>
      </w:r>
      <w:r>
        <w:rPr>
          <w:rFonts w:ascii="Calibri" w:hAnsi="Calibri" w:cs="Calibri"/>
          <w:b/>
          <w:bCs/>
          <w:sz w:val="32"/>
          <w:szCs w:val="32"/>
        </w:rPr>
        <w:t xml:space="preserve"> 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</w:p>
    <w:p w14:paraId="3B0C9A59" w14:textId="77777777" w:rsidR="00E74FBB" w:rsidRPr="007812DE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 xml:space="preserve">: </w:t>
      </w:r>
      <w:r w:rsidR="000F4F16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>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CD8DD4A" w14:textId="77777777" w:rsidR="00A57A7D" w:rsidRPr="003C181B" w:rsidRDefault="00A57A7D" w:rsidP="00A57A7D">
      <w:pPr>
        <w:rPr>
          <w:rFonts w:cstheme="minorHAnsi"/>
          <w:b/>
          <w:sz w:val="22"/>
          <w:szCs w:val="22"/>
        </w:rPr>
      </w:pPr>
      <w:r w:rsidRPr="003C181B">
        <w:rPr>
          <w:rFonts w:cstheme="minorHAnsi"/>
          <w:b/>
          <w:sz w:val="22"/>
          <w:szCs w:val="22"/>
        </w:rPr>
        <w:t>TATRA  METALURGIE a.s.</w:t>
      </w:r>
    </w:p>
    <w:p w14:paraId="06AE4471" w14:textId="77777777" w:rsidR="00A57A7D" w:rsidRDefault="00A57A7D" w:rsidP="00A57A7D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>
        <w:t>Areál Tatry 1448/5, 742 21 Kopřivnice</w:t>
      </w:r>
    </w:p>
    <w:p w14:paraId="66844D62" w14:textId="11C8936C" w:rsidR="00A57A7D" w:rsidRPr="000B5E22" w:rsidRDefault="00A57A7D" w:rsidP="00A57A7D">
      <w:pPr>
        <w:rPr>
          <w:rFonts w:cstheme="minorHAnsi"/>
          <w:bCs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172740" w:rsidRPr="00172740">
        <w:rPr>
          <w:rFonts w:cstheme="minorHAnsi"/>
          <w:bCs/>
          <w:highlight w:val="black"/>
        </w:rPr>
        <w:t>XXXXXXXXXX</w:t>
      </w:r>
    </w:p>
    <w:p w14:paraId="7C999A7D" w14:textId="77777777" w:rsidR="00A57A7D" w:rsidRPr="000B5E22" w:rsidRDefault="00A57A7D" w:rsidP="00A57A7D">
      <w:pPr>
        <w:rPr>
          <w:rFonts w:cstheme="minorHAnsi"/>
          <w:bCs/>
        </w:rPr>
      </w:pPr>
      <w:r w:rsidRPr="000B5E22">
        <w:rPr>
          <w:rFonts w:cstheme="minorHAnsi"/>
          <w:bCs/>
        </w:rPr>
        <w:t xml:space="preserve">IČ: </w:t>
      </w:r>
      <w:r>
        <w:rPr>
          <w:rFonts w:cstheme="minorHAnsi"/>
          <w:bCs/>
        </w:rPr>
        <w:t xml:space="preserve">  </w:t>
      </w:r>
      <w:r>
        <w:rPr>
          <w:rFonts w:cstheme="minorHAnsi"/>
        </w:rPr>
        <w:t>03667952</w:t>
      </w:r>
      <w:r>
        <w:rPr>
          <w:rFonts w:cstheme="minorHAnsi"/>
          <w:bCs/>
        </w:rPr>
        <w:t xml:space="preserve"> </w:t>
      </w:r>
    </w:p>
    <w:p w14:paraId="2BC8B136" w14:textId="77777777" w:rsidR="00A57A7D" w:rsidRPr="000B5E22" w:rsidRDefault="00A57A7D" w:rsidP="00A57A7D">
      <w:pPr>
        <w:rPr>
          <w:rFonts w:cstheme="minorHAnsi"/>
          <w:bCs/>
        </w:rPr>
      </w:pPr>
      <w:r>
        <w:rPr>
          <w:rFonts w:cstheme="minorHAnsi"/>
          <w:bCs/>
        </w:rPr>
        <w:t>DIČ: CZ</w:t>
      </w:r>
      <w:r>
        <w:rPr>
          <w:rFonts w:cstheme="minorHAnsi"/>
        </w:rPr>
        <w:t>03667952</w:t>
      </w:r>
    </w:p>
    <w:p w14:paraId="4E7B1D64" w14:textId="77777777" w:rsidR="00F258FA" w:rsidRPr="00F258FA" w:rsidRDefault="00F258FA" w:rsidP="00CD4CE7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64235EF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BFE26AE" w14:textId="2B412143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 w:rsidR="005E6BA0"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535F5FC2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>poskytování příspěvku na rekondiční služby</w:t>
      </w:r>
      <w:r w:rsidRPr="00F258FA">
        <w:rPr>
          <w:rFonts w:ascii="Calibri" w:hAnsi="Calibri" w:cs="Calibri"/>
        </w:rPr>
        <w:t xml:space="preserve">. </w:t>
      </w:r>
      <w:r w:rsidR="00D11FF7">
        <w:rPr>
          <w:rFonts w:ascii="Calibri" w:hAnsi="Calibri" w:cs="Calibri"/>
        </w:rPr>
        <w:t>V</w:t>
      </w:r>
      <w:r w:rsidRPr="00F258FA">
        <w:rPr>
          <w:rFonts w:ascii="Calibri" w:hAnsi="Calibri" w:cs="Calibri"/>
        </w:rPr>
        <w:t xml:space="preserve"> souladu se zdravotně pojistným plánem </w:t>
      </w:r>
      <w:r w:rsidR="00D11FF7">
        <w:rPr>
          <w:rFonts w:ascii="Calibri" w:hAnsi="Calibri" w:cs="Calibri"/>
        </w:rPr>
        <w:t xml:space="preserve">bude </w:t>
      </w:r>
      <w:r w:rsidRPr="00F258FA">
        <w:rPr>
          <w:rFonts w:ascii="Calibri" w:hAnsi="Calibri" w:cs="Calibri"/>
        </w:rPr>
        <w:t xml:space="preserve">RBP </w:t>
      </w:r>
      <w:r w:rsidR="00D11FF7">
        <w:rPr>
          <w:rFonts w:ascii="Calibri" w:hAnsi="Calibri" w:cs="Calibri"/>
        </w:rPr>
        <w:t>v roce 202</w:t>
      </w:r>
      <w:r w:rsidR="005E6BA0">
        <w:rPr>
          <w:rFonts w:ascii="Calibri" w:hAnsi="Calibri" w:cs="Calibri"/>
        </w:rPr>
        <w:t>2</w:t>
      </w:r>
      <w:r w:rsidR="00D11FF7">
        <w:rPr>
          <w:rFonts w:ascii="Calibri" w:hAnsi="Calibri" w:cs="Calibri"/>
        </w:rPr>
        <w:t xml:space="preserve"> poskytovat příspěvek osobám, které jsou zaměstnanci objednatele</w:t>
      </w:r>
      <w:r w:rsidR="003F15D0">
        <w:rPr>
          <w:rFonts w:ascii="Calibri" w:hAnsi="Calibri" w:cs="Calibri"/>
        </w:rPr>
        <w:t>,</w:t>
      </w:r>
      <w:r w:rsidR="003F15D0" w:rsidRPr="003F15D0">
        <w:rPr>
          <w:rFonts w:ascii="Calibri" w:hAnsi="Calibri" w:cs="Calibri"/>
        </w:rPr>
        <w:t xml:space="preserve"> </w:t>
      </w:r>
      <w:r w:rsidR="005E6BA0">
        <w:rPr>
          <w:rFonts w:ascii="Calibri" w:hAnsi="Calibri" w:cs="Calibri"/>
        </w:rPr>
        <w:t xml:space="preserve">zároveň </w:t>
      </w:r>
      <w:r w:rsidR="003F15D0" w:rsidRPr="00F258FA">
        <w:rPr>
          <w:rFonts w:ascii="Calibri" w:hAnsi="Calibri" w:cs="Calibri"/>
        </w:rPr>
        <w:t>jsou pojištěnci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26DCF1E" w14:textId="669F2807" w:rsidR="00E74FBB" w:rsidRPr="00D11FF7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Smluvní strany uzavřely </w:t>
      </w:r>
      <w:r w:rsidR="005E6BA0">
        <w:rPr>
          <w:rFonts w:ascii="Calibri" w:hAnsi="Calibri" w:cs="Calibri"/>
        </w:rPr>
        <w:t xml:space="preserve">dne </w:t>
      </w:r>
      <w:r w:rsidR="00A57A7D">
        <w:rPr>
          <w:rFonts w:ascii="Calibri" w:hAnsi="Calibri" w:cs="Calibri"/>
        </w:rPr>
        <w:t xml:space="preserve">19. 8. 2020 </w:t>
      </w:r>
      <w:r>
        <w:rPr>
          <w:rFonts w:ascii="Calibri" w:hAnsi="Calibri" w:cs="Calibri"/>
        </w:rPr>
        <w:t>Smlouvu o organizaci rekondičních služeb, na základě které se RBP, v souladu se zdravotně pojistným plánem na rok 202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zavázala poskytovat v roce 202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příspěvek osobám, které jsou zaměstnanci objednatele, zároveň pojištěnci RBP a budou čerpat rekondiční služby u některého z poskytovatelů lázeňské léčebně rehabilitační péče v ČR (dále „Smlouva“). Smluvní strany se po vzájemném projednání dohodly na změně Smlouvy tak, jak je uvedeno dále v tomto dodatku č. 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Smlouvy. </w:t>
      </w:r>
    </w:p>
    <w:p w14:paraId="39AF8359" w14:textId="77777777" w:rsid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1D4EB1D2" w14:textId="29476733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dodatkem č. </w:t>
      </w:r>
      <w:r w:rsidR="0020030B">
        <w:rPr>
          <w:rFonts w:ascii="Calibri" w:hAnsi="Calibri" w:cs="Calibri"/>
        </w:rPr>
        <w:t xml:space="preserve">2 </w:t>
      </w:r>
      <w:r>
        <w:rPr>
          <w:rFonts w:ascii="Calibri" w:hAnsi="Calibri" w:cs="Calibri"/>
        </w:rPr>
        <w:t>se mění platnost Smlouvy uvedená v čl. II. 2. Smlouvy tak, že smluvní strany prodlužují platnost Smlouvy do 31. 12.202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6A9125F4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dodatkem č. </w:t>
      </w:r>
      <w:r w:rsidR="005E6BA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 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242720E3" w14:textId="77777777" w:rsidR="00E74FBB" w:rsidRP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dodatek je sjednán ve dvou stejnopisech s platností originálu, přičemž každá smluvní strana obdrží po jednom vyhotovení. 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73078989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dodatek č. 2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4D7E142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20030B">
        <w:rPr>
          <w:rFonts w:ascii="Calibri" w:hAnsi="Calibri" w:cs="Calibri"/>
        </w:rPr>
        <w:t>___________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20030B">
        <w:rPr>
          <w:rFonts w:ascii="Calibri" w:hAnsi="Calibri" w:cs="Calibri"/>
        </w:rPr>
        <w:t>___________</w:t>
      </w:r>
      <w:r w:rsidR="00F7721E">
        <w:rPr>
          <w:rFonts w:ascii="Calibri" w:hAnsi="Calibri" w:cs="Calibri"/>
        </w:rPr>
        <w:t xml:space="preserve">   </w:t>
      </w:r>
      <w:r w:rsidR="0020030B">
        <w:rPr>
          <w:rFonts w:ascii="Calibri" w:hAnsi="Calibri" w:cs="Calibri"/>
        </w:rPr>
        <w:t>dne__________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2EE9826D" w14:textId="1EDD74F2" w:rsidR="00685C6B" w:rsidRDefault="00685C6B" w:rsidP="00F258FA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>
        <w:rPr>
          <w:rFonts w:ascii="Calibri" w:hAnsi="Calibri" w:cs="Calibri"/>
        </w:rPr>
        <w:t>__________________________</w:t>
      </w:r>
    </w:p>
    <w:p w14:paraId="4F3D4997" w14:textId="62E9CC02" w:rsidR="00685C6B" w:rsidRDefault="00685C6B" w:rsidP="00F258FA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</w:t>
      </w:r>
      <w:r w:rsidR="00E928F4">
        <w:rPr>
          <w:rFonts w:ascii="Calibri" w:hAnsi="Calibri" w:cs="Calibri"/>
        </w:rPr>
        <w:t xml:space="preserve">  </w:t>
      </w:r>
      <w:r w:rsidR="00C03C64">
        <w:rPr>
          <w:rFonts w:cstheme="minorHAnsi"/>
          <w:bCs/>
        </w:rPr>
        <w:t xml:space="preserve"> </w:t>
      </w:r>
      <w:r w:rsidR="00172740">
        <w:rPr>
          <w:rFonts w:cstheme="minorHAnsi"/>
          <w:bCs/>
        </w:rPr>
        <w:tab/>
      </w:r>
      <w:r w:rsidR="00172740">
        <w:rPr>
          <w:rFonts w:cstheme="minorHAnsi"/>
          <w:bCs/>
        </w:rPr>
        <w:tab/>
      </w:r>
      <w:r w:rsidR="00172740" w:rsidRPr="00172740">
        <w:rPr>
          <w:rFonts w:cstheme="minorHAnsi"/>
          <w:bCs/>
          <w:highlight w:val="black"/>
        </w:rPr>
        <w:t>XXXXXXXXXX</w:t>
      </w:r>
    </w:p>
    <w:p w14:paraId="7D3D1652" w14:textId="5CA35BDF" w:rsidR="00685C6B" w:rsidRDefault="00685C6B" w:rsidP="00F258FA">
      <w:pPr>
        <w:rPr>
          <w:rFonts w:cstheme="minorHAnsi"/>
        </w:rPr>
      </w:pPr>
      <w:r>
        <w:rPr>
          <w:rFonts w:cstheme="minorHAnsi"/>
        </w:rPr>
        <w:t xml:space="preserve">      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 </w:t>
      </w:r>
      <w:r w:rsidR="00C03C64">
        <w:rPr>
          <w:rFonts w:cstheme="minorHAnsi"/>
        </w:rPr>
        <w:t xml:space="preserve"> </w:t>
      </w:r>
      <w:r w:rsidR="00172740">
        <w:rPr>
          <w:rFonts w:cstheme="minorHAnsi"/>
        </w:rPr>
        <w:tab/>
      </w:r>
      <w:r w:rsidR="00172740" w:rsidRPr="00172740">
        <w:rPr>
          <w:rFonts w:cstheme="minorHAnsi"/>
          <w:bCs/>
          <w:highlight w:val="black"/>
        </w:rPr>
        <w:t>XXXXXXXXXX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E1759"/>
    <w:rsid w:val="000F4F16"/>
    <w:rsid w:val="0016650B"/>
    <w:rsid w:val="00172740"/>
    <w:rsid w:val="001B3341"/>
    <w:rsid w:val="001D7324"/>
    <w:rsid w:val="001E3CBF"/>
    <w:rsid w:val="0020030B"/>
    <w:rsid w:val="002C114C"/>
    <w:rsid w:val="003F15D0"/>
    <w:rsid w:val="00485B2E"/>
    <w:rsid w:val="0049241A"/>
    <w:rsid w:val="005025A9"/>
    <w:rsid w:val="005C0DCA"/>
    <w:rsid w:val="005E6BA0"/>
    <w:rsid w:val="0064151B"/>
    <w:rsid w:val="00685C6B"/>
    <w:rsid w:val="00697F4E"/>
    <w:rsid w:val="0075016C"/>
    <w:rsid w:val="007B2DA5"/>
    <w:rsid w:val="007C5545"/>
    <w:rsid w:val="00914182"/>
    <w:rsid w:val="00917188"/>
    <w:rsid w:val="0093051F"/>
    <w:rsid w:val="00950445"/>
    <w:rsid w:val="00976F6E"/>
    <w:rsid w:val="009B3869"/>
    <w:rsid w:val="00A4291E"/>
    <w:rsid w:val="00A57A7D"/>
    <w:rsid w:val="00A63877"/>
    <w:rsid w:val="00B75D8C"/>
    <w:rsid w:val="00BD2373"/>
    <w:rsid w:val="00BE7EBF"/>
    <w:rsid w:val="00BF31E5"/>
    <w:rsid w:val="00BF648D"/>
    <w:rsid w:val="00C03C64"/>
    <w:rsid w:val="00CD4CE7"/>
    <w:rsid w:val="00D11FF7"/>
    <w:rsid w:val="00DB5F58"/>
    <w:rsid w:val="00DE1C50"/>
    <w:rsid w:val="00E74FBB"/>
    <w:rsid w:val="00E928F4"/>
    <w:rsid w:val="00ED162C"/>
    <w:rsid w:val="00F066D6"/>
    <w:rsid w:val="00F258FA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6</cp:revision>
  <dcterms:created xsi:type="dcterms:W3CDTF">2021-11-30T13:07:00Z</dcterms:created>
  <dcterms:modified xsi:type="dcterms:W3CDTF">2021-12-17T12:35:00Z</dcterms:modified>
</cp:coreProperties>
</file>