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87" w:rsidRDefault="00BD6328">
      <w:pPr>
        <w:pStyle w:val="Nzev"/>
        <w:spacing w:after="240"/>
        <w:rPr>
          <w:rFonts w:ascii="PT Sans" w:eastAsia="PT Sans" w:hAnsi="PT Sans" w:cs="PT Sans"/>
          <w:sz w:val="36"/>
          <w:szCs w:val="36"/>
        </w:rPr>
      </w:pPr>
      <w:bookmarkStart w:id="0" w:name="_GoBack"/>
      <w:bookmarkEnd w:id="0"/>
      <w:r>
        <w:rPr>
          <w:rFonts w:ascii="PT Sans" w:eastAsia="PT Sans" w:hAnsi="PT Sans" w:cs="PT Sans"/>
          <w:sz w:val="36"/>
          <w:szCs w:val="36"/>
        </w:rPr>
        <w:t xml:space="preserve">Smlouva o dílo 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podle § 2586 a násl. zákona č. 89/2012 Sb., občanský zákoník, ve znění pozdějších předpisů, a podle zákona č. 121/2000 Sb., o právu autorském, o právech souvisejících s právem autorským a o změně některých zákonů (autorský zákon), ve znění pozdějších předpisů. (dále jen „smlouva“): 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Smluvní strany: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2"/>
          <w:szCs w:val="22"/>
        </w:rPr>
        <w:t xml:space="preserve">Obchodní firma: </w:t>
      </w:r>
      <w:r>
        <w:rPr>
          <w:rFonts w:ascii="PT Sans" w:eastAsia="PT Sans" w:hAnsi="PT Sans" w:cs="PT Sans"/>
          <w:b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b/>
          <w:color w:val="000000"/>
          <w:sz w:val="22"/>
          <w:szCs w:val="22"/>
        </w:rPr>
        <w:tab/>
        <w:t>Než zazvoní, s.r.o.</w:t>
      </w:r>
      <w:r>
        <w:rPr>
          <w:rFonts w:ascii="PT Sans" w:eastAsia="PT Sans" w:hAnsi="PT Sans" w:cs="PT Sans"/>
          <w:b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b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b/>
          <w:color w:val="000000"/>
          <w:sz w:val="22"/>
          <w:szCs w:val="22"/>
        </w:rPr>
        <w:br/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IČ: 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03967921</w:t>
      </w:r>
      <w:r>
        <w:rPr>
          <w:rFonts w:ascii="PT Sans" w:eastAsia="PT Sans" w:hAnsi="PT Sans" w:cs="PT Sans"/>
          <w:color w:val="000000"/>
          <w:sz w:val="22"/>
          <w:szCs w:val="22"/>
        </w:rPr>
        <w:br/>
        <w:t xml:space="preserve">Sídlo: 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Křenová 89/19, 602 00 Brno</w:t>
      </w:r>
      <w:r>
        <w:rPr>
          <w:rFonts w:ascii="PT Sans" w:eastAsia="PT Sans" w:hAnsi="PT Sans" w:cs="PT Sans"/>
          <w:color w:val="000000"/>
          <w:sz w:val="22"/>
          <w:szCs w:val="22"/>
        </w:rPr>
        <w:br/>
        <w:t xml:space="preserve">Zastoupena: 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Ing. Mgr. Petrem Soukeníkem, jednatelem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(dále jen Zhotovitel)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before="480" w:after="48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a</w:t>
      </w:r>
    </w:p>
    <w:p w:rsidR="00826987" w:rsidRDefault="00BD6328">
      <w:pPr>
        <w:widowControl w:val="0"/>
        <w:spacing w:line="239" w:lineRule="auto"/>
        <w:ind w:left="2832" w:hanging="2832"/>
        <w:rPr>
          <w:rFonts w:ascii="PT Sans" w:eastAsia="PT Sans" w:hAnsi="PT Sans" w:cs="PT Sans"/>
          <w:b/>
          <w:color w:val="000000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2"/>
          <w:szCs w:val="22"/>
        </w:rPr>
        <w:t>Název organizace:</w:t>
      </w:r>
      <w:r>
        <w:rPr>
          <w:rFonts w:ascii="PT Sans" w:eastAsia="PT Sans" w:hAnsi="PT Sans" w:cs="PT Sans"/>
          <w:b/>
          <w:color w:val="000000"/>
          <w:sz w:val="22"/>
          <w:szCs w:val="22"/>
        </w:rPr>
        <w:tab/>
        <w:t>Střední průmyslová škola Brno, Purkyňova, příspěvková organizace</w:t>
      </w:r>
    </w:p>
    <w:p w:rsidR="00826987" w:rsidRDefault="00BD6328">
      <w:pPr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IČ: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155 30 213</w:t>
      </w:r>
      <w:r>
        <w:rPr>
          <w:rFonts w:ascii="PT Sans" w:eastAsia="PT Sans" w:hAnsi="PT Sans" w:cs="PT Sans"/>
          <w:color w:val="000000"/>
          <w:sz w:val="22"/>
          <w:szCs w:val="22"/>
        </w:rPr>
        <w:br/>
        <w:t>Sídlo: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Purkyňova 2832/97, 612 00, Brno</w:t>
      </w:r>
      <w:r>
        <w:rPr>
          <w:rFonts w:ascii="PT Sans" w:eastAsia="PT Sans" w:hAnsi="PT Sans" w:cs="PT Sans"/>
          <w:color w:val="000000"/>
          <w:sz w:val="22"/>
          <w:szCs w:val="22"/>
        </w:rPr>
        <w:br/>
        <w:t>Zastoupena: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doc. RNDr. Alešem Rudou, Ph.D., MBA, ředitelem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br/>
        <w:t xml:space="preserve"> (dále jen Objednatel).</w:t>
      </w:r>
    </w:p>
    <w:p w:rsidR="00826987" w:rsidRDefault="00BD6328">
      <w:pPr>
        <w:pStyle w:val="Nadpis2"/>
        <w:spacing w:after="0"/>
      </w:pPr>
      <w:r>
        <w:t xml:space="preserve">Článek I. </w:t>
      </w:r>
    </w:p>
    <w:p w:rsidR="00826987" w:rsidRDefault="00BD6328">
      <w:pPr>
        <w:pStyle w:val="Nadpis2"/>
        <w:spacing w:before="0"/>
      </w:pPr>
      <w:r>
        <w:t>Úvodní ustanovení</w:t>
      </w:r>
    </w:p>
    <w:p w:rsidR="00826987" w:rsidRDefault="00BD63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Účelem uzavření této smlouvy je zhotovení Díla dle sjednaného rozsahu v čl. III. smlouvy (dále jen „předmět plnění“). </w:t>
      </w:r>
    </w:p>
    <w:p w:rsidR="00826987" w:rsidRDefault="00BD63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prohlašuje, že je odborně způsobilý k předmětu plnění a má oprávnění na území České republiky poskytovat za úplatu všechny služby, jejichž poskytnutí je předmětem této smlouvy. </w:t>
      </w:r>
    </w:p>
    <w:p w:rsidR="00826987" w:rsidRDefault="00BD6328">
      <w:pPr>
        <w:pStyle w:val="Nadpis2"/>
        <w:spacing w:after="0"/>
      </w:pPr>
      <w:r>
        <w:t xml:space="preserve">Článek II. </w:t>
      </w:r>
    </w:p>
    <w:p w:rsidR="00826987" w:rsidRDefault="00BD6328">
      <w:pPr>
        <w:pStyle w:val="Nadpis2"/>
        <w:spacing w:before="0"/>
      </w:pPr>
      <w:r>
        <w:t xml:space="preserve">Předmět smlouvy </w:t>
      </w:r>
    </w:p>
    <w:p w:rsidR="00826987" w:rsidRDefault="00BD6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se zavazuje za podmínek uvedených v této smlouvě zhotovit a předat Objednateli Dílo specifikované v čl. III. smlouvy a Objednatel se zavazuje zaplatit Zhotoviteli sjednanou cenu. </w:t>
      </w:r>
    </w:p>
    <w:p w:rsidR="00826987" w:rsidRDefault="00BD6328">
      <w:pPr>
        <w:pStyle w:val="Nadpis2"/>
        <w:spacing w:after="0"/>
      </w:pPr>
      <w:r>
        <w:lastRenderedPageBreak/>
        <w:t xml:space="preserve">Článek III. </w:t>
      </w:r>
    </w:p>
    <w:p w:rsidR="00826987" w:rsidRDefault="00BD6328">
      <w:pPr>
        <w:pStyle w:val="Nadpis2"/>
        <w:spacing w:before="0"/>
      </w:pPr>
      <w:r>
        <w:t>Dílo</w:t>
      </w:r>
    </w:p>
    <w:p w:rsidR="00826987" w:rsidRDefault="00BD6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Dílem se pro potřeby této smlouvy rozumí realizace následujících činností pro Objednatele (dále jen „Dílo“): </w:t>
      </w:r>
    </w:p>
    <w:tbl>
      <w:tblPr>
        <w:tblStyle w:val="a"/>
        <w:tblW w:w="907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962"/>
        <w:gridCol w:w="2268"/>
        <w:gridCol w:w="1146"/>
        <w:gridCol w:w="696"/>
      </w:tblGrid>
      <w:tr w:rsidR="00826987">
        <w:trPr>
          <w:trHeight w:val="30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987" w:rsidRDefault="00BD6328">
            <w:pPr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Název školení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Akreditace DVPP č.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Hodin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b/>
                <w:sz w:val="20"/>
                <w:szCs w:val="20"/>
              </w:rPr>
            </w:pPr>
            <w:r>
              <w:rPr>
                <w:rFonts w:ascii="PT Sans" w:eastAsia="PT Sans" w:hAnsi="PT Sans" w:cs="PT Sans"/>
                <w:b/>
                <w:sz w:val="20"/>
                <w:szCs w:val="20"/>
              </w:rPr>
              <w:t>Osob</w:t>
            </w:r>
          </w:p>
        </w:tc>
      </w:tr>
      <w:tr w:rsidR="00826987">
        <w:trPr>
          <w:trHeight w:val="30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Akademie Než zazvoní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  <w:sz w:val="19"/>
                <w:szCs w:val="19"/>
                <w:highlight w:val="white"/>
              </w:rPr>
              <w:t>MSMT-40314/2020-2-993</w:t>
            </w:r>
            <w:r>
              <w:rPr>
                <w:rFonts w:ascii="PT Sans" w:eastAsia="PT Sans" w:hAnsi="PT Sans" w:cs="PT Sans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10</w:t>
            </w:r>
          </w:p>
        </w:tc>
      </w:tr>
      <w:tr w:rsidR="00826987">
        <w:trPr>
          <w:trHeight w:val="30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Akademie internetového marketingu Než zazvoní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  <w:sz w:val="19"/>
                <w:szCs w:val="19"/>
                <w:highlight w:val="white"/>
              </w:rPr>
              <w:t>MSMT-40314/2020-2-993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987" w:rsidRDefault="00BD6328">
            <w:pPr>
              <w:rPr>
                <w:rFonts w:ascii="PT Sans" w:eastAsia="PT Sans" w:hAnsi="PT Sans" w:cs="PT Sans"/>
                <w:sz w:val="20"/>
                <w:szCs w:val="20"/>
              </w:rPr>
            </w:pPr>
            <w:r>
              <w:rPr>
                <w:rFonts w:ascii="PT Sans" w:eastAsia="PT Sans" w:hAnsi="PT Sans" w:cs="PT Sans"/>
                <w:sz w:val="20"/>
                <w:szCs w:val="20"/>
              </w:rPr>
              <w:t>10</w:t>
            </w:r>
          </w:p>
        </w:tc>
      </w:tr>
    </w:tbl>
    <w:p w:rsidR="00826987" w:rsidRDefault="00BD6328">
      <w:pPr>
        <w:pStyle w:val="Nadpis2"/>
        <w:spacing w:after="0"/>
      </w:pPr>
      <w:r>
        <w:t xml:space="preserve">Článek IV. </w:t>
      </w:r>
    </w:p>
    <w:p w:rsidR="00826987" w:rsidRDefault="00BD6328">
      <w:pPr>
        <w:pStyle w:val="Nadpis2"/>
        <w:spacing w:before="0"/>
      </w:pPr>
      <w:r>
        <w:t xml:space="preserve">Práva a povinnosti Objednatele </w:t>
      </w:r>
    </w:p>
    <w:p w:rsidR="00826987" w:rsidRDefault="00BD6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Objednatel se zavazuje poskytnout Zhotoviteli veškerou součinnost potřebnou pro řádné plnění předmětu této smlouvy spočívající mj. v organizaci prostor a pracovníků školy pro školení. </w:t>
      </w:r>
    </w:p>
    <w:p w:rsidR="00826987" w:rsidRDefault="00BD6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Objednatel se zavazuje zaplatit Zhotoviteli cenu dle čl. VII. této smlouvy a to způsobem a za podmínek tam stanovených. </w:t>
      </w:r>
    </w:p>
    <w:p w:rsidR="00826987" w:rsidRDefault="00BD6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Objednatel se zavazuje bezodkladně informovat Zhotovitele o všech změnách a jiných okolnostech, které se dotýkají plnění závazků vyplývajících z této smlouvy. Podstatné změny musí být oznámeny písemně. </w:t>
      </w:r>
    </w:p>
    <w:p w:rsidR="00826987" w:rsidRDefault="00826987">
      <w:pPr>
        <w:pStyle w:val="Nadpis2"/>
        <w:spacing w:after="0"/>
      </w:pPr>
    </w:p>
    <w:p w:rsidR="00826987" w:rsidRDefault="00BD6328">
      <w:pPr>
        <w:pStyle w:val="Nadpis2"/>
        <w:spacing w:before="0" w:after="0"/>
      </w:pPr>
      <w:r>
        <w:t xml:space="preserve">Článek V. </w:t>
      </w:r>
    </w:p>
    <w:p w:rsidR="00826987" w:rsidRDefault="00BD6328">
      <w:pPr>
        <w:pStyle w:val="Nadpis2"/>
        <w:spacing w:before="0"/>
      </w:pPr>
      <w:r>
        <w:t xml:space="preserve">Práva a povinnosti Zhotovitele </w:t>
      </w:r>
    </w:p>
    <w:p w:rsidR="00826987" w:rsidRDefault="00BD6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se zavazuje, že bude poskytovat předmět plnění v rozsahu a způsobem stanoveným touto smlouvou. Zhotovitel se zavazuje během zpracovávání Dílo konzultovat s Objednatelem a případné změny při provádění Díla může provádět jen se souhlasem Objednatele. Zhotovitel se při plnění předmětu této smlouvy bude řídit pokyny Objednatele a postupovat v součinnosti s Objednatelem. Veřejné zpřístupnění Díla bude realizováno až po odsouhlasení finální podoby této části Díla Objednatelem. Pokud Objednatel neposkytne v dostatečném předstihu Zhotoviteli potřebné pokyny, je Zhotovitel oprávněn postupovat samostatně tak, aby byly řádně chráněny zájmy Objednatele, které Zhotovitel zná nebo znát má. </w:t>
      </w:r>
    </w:p>
    <w:p w:rsidR="00826987" w:rsidRDefault="00BD6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je povinen v průběhu provádění Díla informovat Objednatele o skutečnostech, které mohou mít vliv na provedení Díla. Zhotovitel je při plnění této smlouvy povinen postupovat s náležitou odbornou péčí, zajišťovat plnění smlouvy v souladu se zájmy Objednatele, které zná nebo znát má, oznámit Objednateli všechny okolnosti, které zjistí při výkonu své činnosti a jež mohou mít vliv na změnu pokynů Objednatele. Zjistí-li Zhotovitel kdykoliv v průběhu plnění této smlouvy, že pokyny Objednatele jsou nevhodné či pro plnění předmětu této smlouvy neúčelné, je povinen na to Objednatele upozornit. Trvá-li Objednatel na provedení Díla podle zřejmě </w:t>
      </w:r>
      <w:r>
        <w:rPr>
          <w:rFonts w:ascii="PT Sans" w:eastAsia="PT Sans" w:hAnsi="PT Sans" w:cs="PT Sans"/>
          <w:color w:val="000000"/>
          <w:sz w:val="22"/>
          <w:szCs w:val="22"/>
        </w:rPr>
        <w:lastRenderedPageBreak/>
        <w:t>nevhodného příkazu nebo s použitím zřejmě nevhodné věci i po Zhotovitelově upozornění, může Zhotovitel od smlouvy odstoupit.</w:t>
      </w:r>
    </w:p>
    <w:p w:rsidR="00826987" w:rsidRDefault="00BD6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V případě, že dojde k nedodržení termínu dokončení a/nebo předání Díla z důvodů na straně Objednatele, má Zhotovitel právo na domnělé řádné předání díla a uhrazení ceny za Dílo. Toto ustanovení platí i pro dílčí součásti díla a jejich termíny popsané v této smlouvě.</w:t>
      </w:r>
    </w:p>
    <w:p w:rsidR="00826987" w:rsidRDefault="00BD6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Všechna upozornění dle předchozích odstavců činí Zhotovitel vůči Objednateli bez zbytečného odkladu. </w:t>
      </w:r>
    </w:p>
    <w:p w:rsidR="00826987" w:rsidRDefault="00BD6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Objednatel i Zhotovitel souhlasí se zveřejněním smlouvy v Registru smluv v plném rozsahu.</w:t>
      </w:r>
    </w:p>
    <w:p w:rsidR="00826987" w:rsidRDefault="00826987">
      <w:pPr>
        <w:pStyle w:val="Nadpis2"/>
        <w:spacing w:after="0"/>
      </w:pPr>
    </w:p>
    <w:p w:rsidR="00826987" w:rsidRDefault="00BD6328">
      <w:pPr>
        <w:pStyle w:val="Nadpis2"/>
        <w:spacing w:before="0" w:after="0"/>
      </w:pPr>
      <w:r>
        <w:t xml:space="preserve">Článek VI. </w:t>
      </w:r>
    </w:p>
    <w:p w:rsidR="00826987" w:rsidRDefault="00BD6328">
      <w:pPr>
        <w:pStyle w:val="Nadpis2"/>
        <w:spacing w:before="0"/>
      </w:pPr>
      <w:r>
        <w:t xml:space="preserve">Splnění Díla a majetková práva k Dílu </w:t>
      </w:r>
    </w:p>
    <w:p w:rsidR="00826987" w:rsidRDefault="00BD6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Závazek Zhotovitele provést Dílo je splněn jeho řádným dokončením a předáním Díla Objednateli. Dílo bude Zhotovitelem následujícím způsobem:</w:t>
      </w:r>
    </w:p>
    <w:p w:rsidR="00826987" w:rsidRDefault="00BD63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Uspořádáním setkání uvedených v rozsahu díla, v místě školy nebo na jiném dohodnutém místě nebo prostřednictvím on-line konference.</w:t>
      </w:r>
    </w:p>
    <w:p w:rsidR="00826987" w:rsidRDefault="0082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92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je povinen Dílo realizovat a předat Objednateli v termínu do 31. 12. 2022, vynasnaží se však mít dílo hotové dříve. Zhotovitel je povinen Objednatele informovat o průběžném stavu prací a dávat mu k nahlédnutí a konzultaci jednotlivé funkční celky a podcelky. Dílo lze realizovat a fakturovat i po částech. </w:t>
      </w:r>
    </w:p>
    <w:p w:rsidR="00826987" w:rsidRDefault="00BD6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Zhotovitel na základě této smlouvy poskytuje objednateli právo k užívání díla počínaje dnem předání díla. </w:t>
      </w:r>
    </w:p>
    <w:p w:rsidR="00826987" w:rsidRDefault="00BD6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V den předání díla Objednateli bude vyhotoven předávací protokol.</w:t>
      </w:r>
    </w:p>
    <w:p w:rsidR="00826987" w:rsidRDefault="00826987">
      <w:pPr>
        <w:pStyle w:val="Nadpis2"/>
        <w:spacing w:after="0"/>
      </w:pPr>
    </w:p>
    <w:p w:rsidR="00826987" w:rsidRDefault="00BD6328">
      <w:pPr>
        <w:pStyle w:val="Nadpis2"/>
        <w:spacing w:before="0" w:after="0"/>
      </w:pPr>
      <w:r>
        <w:t xml:space="preserve">Článek VII. </w:t>
      </w:r>
    </w:p>
    <w:p w:rsidR="00826987" w:rsidRDefault="00BD6328">
      <w:pPr>
        <w:pStyle w:val="Nadpis2"/>
        <w:spacing w:before="0"/>
      </w:pPr>
      <w:r>
        <w:t xml:space="preserve">Cena a platební podmínky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Dohodou smluvních stran byla stanovena: </w:t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Celková cena za dílo 53.000 Kč bez DPH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Vyjma bodů explicitně uvedených v této smlouvě zahrnuje cena podle odstavce 1 veškeré náklady Zhotovitele spojené se splněním jeho závazků vyplývajících z této smlouvy se započtením veškerých nákladů, rizik a zisku. Sjednanou cenu za Dílo je možné překročit pouze v případě změny rozsahu plnění dle této smlouvy. Rozsah plnění dle této smlouvy lze měnit pouze na základě vzájemně odsouhlaseného písemného dodatku k této smlouvě.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lastRenderedPageBreak/>
        <w:t xml:space="preserve">Cena bude uhrazena Objednatelem bezhotovostně na základě faktury vystavené Zhotovitelem po dokončení Díla. Strany se rovněž dohodly na možnosti fakturace po odevzdání části díla.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Faktura musí být vystavena Zhotovitelem a doručena na adresu Objednatele, za doručení se považuje i elektronická verze emailem. Faktura musí splňovat náležitosti účetního dokladu stanovené zákonem č. 235/2004 Sb., o dani z přidané hodnoty, v platném znění.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Lhůta splatnosti výše uvedených faktur se sjednává v délce 14 dnů ode dne doručení Objednateli.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Objednatel je oprávněn Zhotoviteli fakturu ve lhůtě její splatnosti vrátit v případech, kdy tato nebude obsahovat některou z náležitostí dle čl. VII. odst. 4, nebo v ní některá z těchto náležitostí bude uvedena nesprávně. Do doby doručení opravené faktury se Objednatel nenachází v prodlení se zaplacením dlužné částky. Okamžikem dodání opravené faktury začíná běžet nová lhůta její splatnosti. </w:t>
      </w:r>
    </w:p>
    <w:p w:rsidR="00826987" w:rsidRDefault="00BD6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Povinnost zaplatit cenu je splněna dnem odeslání příslušné částky z účtu Objednatele na účet Zhotovitele. 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pStyle w:val="Nadpis2"/>
        <w:spacing w:after="0"/>
      </w:pPr>
      <w:r>
        <w:t xml:space="preserve">Článek VIII. </w:t>
      </w:r>
    </w:p>
    <w:p w:rsidR="00826987" w:rsidRDefault="00BD6328">
      <w:pPr>
        <w:pStyle w:val="Nadpis2"/>
        <w:spacing w:before="0"/>
      </w:pPr>
      <w:r>
        <w:t>Záruka, práva z vad, odpovědnost a sankce</w:t>
      </w:r>
    </w:p>
    <w:p w:rsidR="00826987" w:rsidRDefault="00BD6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Dílo má vadu, neodpovídá-li smlouvě a jejímu účelu. Zhotovitel odpovídá za vady, které má Dílo v době jeho předání Objednateli. Objednatel je povinen Dílo náležitě zkontrolovat a vytknout Zhotoviteli případné vady Díla a neučiní-li tak, platí, že Dílo nemá žádné vady. </w:t>
      </w:r>
    </w:p>
    <w:p w:rsidR="00826987" w:rsidRDefault="00BD6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Je-li Objednatel v prodlení s úhradou výše uvedených faktur, je Zhotovitel oprávněn vyúčtovat Objednateli úrok z prodlení ve výši 0,1 % z dlužné částky za každý započatý den prodlení po termínu splatnosti až do doby zaplacení. </w:t>
      </w:r>
    </w:p>
    <w:p w:rsidR="00826987" w:rsidRDefault="00BD6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Nedodá-li Zhotovitel Dílo v požadovaném termínu je Objednatel oprávněn vyúčtovat Zhotoviteli smluvní pokutu ve výši 0,1 % ze smluvené ceny za Dílo za každý započatý den prodlení po termínu až do doby řádného předání Díla. </w:t>
      </w:r>
    </w:p>
    <w:p w:rsidR="00826987" w:rsidRDefault="00BD6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Zhotovitel se zprošťuje veškeré odpovědnosti za nesplnění svých povinností z této smlouvy po dobu trvání vyšší moci. Za vyšší moc se pro účely této smlouvy považují okolnosti mající vliv na možnosti plnění povinností z této smlouvy, které nejsou závislé na vůli na smluvních stran a které smluvní strany nemohou ovlivnit. Jedná se např. o válku, mobilizaci, povstání, živelné pohromy apod.</w:t>
      </w:r>
    </w:p>
    <w:p w:rsidR="00826987" w:rsidRDefault="00BD6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Úrok z prodlení a smluvní pokuta jsou splatné do 14 dnů ode dne prokazatelného doručení jejich vyúčtování druhé smluvní straně. 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pStyle w:val="Nadpis2"/>
        <w:spacing w:after="0"/>
      </w:pPr>
      <w:r>
        <w:lastRenderedPageBreak/>
        <w:t xml:space="preserve">Článek IX. </w:t>
      </w:r>
    </w:p>
    <w:p w:rsidR="00826987" w:rsidRDefault="00BD6328">
      <w:pPr>
        <w:pStyle w:val="Nadpis2"/>
        <w:spacing w:before="0"/>
      </w:pPr>
      <w:r>
        <w:t>Změny a zánik smlouvy</w:t>
      </w:r>
    </w:p>
    <w:p w:rsidR="00826987" w:rsidRDefault="00BD6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Tato smlouva může být měněna pouze formou písemných, vzestupně číslovaných dodatků podepsaných oběma smluvními stranami. </w:t>
      </w:r>
    </w:p>
    <w:p w:rsidR="00826987" w:rsidRDefault="00BD6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Tuto smlouvu lze ukončit dohodou smluvních stran nebo písemnou výpovědí ze zákonných důvodů nebo z důvodů uvedených v této smlouvě. </w:t>
      </w:r>
    </w:p>
    <w:p w:rsidR="00826987" w:rsidRDefault="00BD6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Výpověď smlouvy musí být učiněna písemně a doručena druhé smluvní straně na adresu uvedenou ve smlouvě. Výpovědní lhůta činí jeden měsíc a začíná běžet prvním dnem kalendářního měsíce následujícího po měsíci, v němž byla výpověď prokazatelně doručena druhé straně. </w:t>
      </w:r>
    </w:p>
    <w:p w:rsidR="00826987" w:rsidRDefault="00BD6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Odstoupením od smlouvy nejsou dotčena ustanovení týkající se smluvních pokut, úroků z prodlení a ustanovení týkající se těch práv a povinností, z jejichž povahy vyplývá, že mají trvat i po odstoupení. 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ind w:left="360"/>
        <w:jc w:val="both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pStyle w:val="Nadpis2"/>
        <w:spacing w:after="0"/>
      </w:pPr>
      <w:r>
        <w:t xml:space="preserve">Článek X. </w:t>
      </w:r>
    </w:p>
    <w:p w:rsidR="00826987" w:rsidRDefault="00BD6328">
      <w:pPr>
        <w:pStyle w:val="Nadpis2"/>
        <w:spacing w:before="0"/>
      </w:pPr>
      <w:r>
        <w:t xml:space="preserve">Závěrečná ustanovení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Práva a povinnosti smluvních stran výslovně v této smlouvě neupravené se řídí právním řádem České republiky, zejména příslušnými ustanoveními zákona č. 89/2012 Sb., Občanský zákoník, ve znění pozdějších předpisů, a zákona č. 121/2000 Sb., o právu autorském, o právech souvisejících s právem autorským a o změně některých zákonů (autorský zákon), ve znění pozdějších předpisů.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Smlouva je vyhotovena ve dvou stejnopisech s platností originálu, z nichž jedno vyhotovení obdrží Objednatel a jedno vyhotovení obdrží Zhotovitel.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Tato smlouva nabývá platnosti a účinnosti dnem podpisu poslední smluvní strany.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Smluvní strany shodně prohlašují, že plnění z této smlouvy je možné a předmět smlouvy neodporuje ani neobchází zákon, ani se nepříčí dobrým mravům. 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Obě smluvní strany se budou řídit obecným nařízením EU 2016/679 o ochraně  osobních údajů (GDPR).</w:t>
      </w:r>
    </w:p>
    <w:p w:rsidR="00826987" w:rsidRDefault="00BD63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Objednatel.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V Brně dne 9. 12. 2021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V Brně dne……..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.……………………………………………..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……………………………………………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</w:p>
    <w:p w:rsidR="00826987" w:rsidRDefault="00BD6328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za Zhotovitele</w:t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</w:r>
      <w:r>
        <w:rPr>
          <w:rFonts w:ascii="PT Sans" w:eastAsia="PT Sans" w:hAnsi="PT Sans" w:cs="PT Sans"/>
          <w:color w:val="000000"/>
          <w:sz w:val="22"/>
          <w:szCs w:val="22"/>
        </w:rPr>
        <w:tab/>
        <w:t>za Objednatele</w:t>
      </w:r>
    </w:p>
    <w:p w:rsidR="00826987" w:rsidRDefault="0082698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PT Sans" w:eastAsia="PT Sans" w:hAnsi="PT Sans" w:cs="PT Sans"/>
          <w:color w:val="000000"/>
          <w:sz w:val="22"/>
          <w:szCs w:val="22"/>
        </w:rPr>
      </w:pPr>
    </w:p>
    <w:sectPr w:rsidR="00826987">
      <w:headerReference w:type="default" r:id="rId8"/>
      <w:footerReference w:type="default" r:id="rId9"/>
      <w:pgSz w:w="11900" w:h="16840"/>
      <w:pgMar w:top="1620" w:right="1694" w:bottom="1620" w:left="1701" w:header="709" w:footer="9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85" w:rsidRDefault="00BD6328">
      <w:r>
        <w:separator/>
      </w:r>
    </w:p>
  </w:endnote>
  <w:endnote w:type="continuationSeparator" w:id="0">
    <w:p w:rsidR="00092F85" w:rsidRDefault="00B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87" w:rsidRDefault="00BD63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85" w:rsidRDefault="00BD6328">
      <w:r>
        <w:separator/>
      </w:r>
    </w:p>
  </w:footnote>
  <w:footnote w:type="continuationSeparator" w:id="0">
    <w:p w:rsidR="00092F85" w:rsidRDefault="00BD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87" w:rsidRDefault="00826987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536"/>
        <w:tab w:val="right" w:pos="9072"/>
        <w:tab w:val="right" w:pos="904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EBA"/>
    <w:multiLevelType w:val="multilevel"/>
    <w:tmpl w:val="4086A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E1765"/>
    <w:multiLevelType w:val="multilevel"/>
    <w:tmpl w:val="7EB2F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E7BE7"/>
    <w:multiLevelType w:val="multilevel"/>
    <w:tmpl w:val="64E2C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5C0983"/>
    <w:multiLevelType w:val="multilevel"/>
    <w:tmpl w:val="51DE3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F74939"/>
    <w:multiLevelType w:val="multilevel"/>
    <w:tmpl w:val="C1C05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E43F71"/>
    <w:multiLevelType w:val="multilevel"/>
    <w:tmpl w:val="232CC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6F7C7A"/>
    <w:multiLevelType w:val="multilevel"/>
    <w:tmpl w:val="566CE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331A4E"/>
    <w:multiLevelType w:val="multilevel"/>
    <w:tmpl w:val="97A88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61071C"/>
    <w:multiLevelType w:val="multilevel"/>
    <w:tmpl w:val="CC2E9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7F0DF8"/>
    <w:multiLevelType w:val="multilevel"/>
    <w:tmpl w:val="0EE4C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87"/>
    <w:rsid w:val="00092F85"/>
    <w:rsid w:val="00826987"/>
    <w:rsid w:val="00BD6328"/>
    <w:rsid w:val="00E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E543C-AFCD-4BDA-9242-C7F1541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D64"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297"/>
    <w:pPr>
      <w:keepNext/>
      <w:keepLines/>
      <w:spacing w:before="360" w:after="360"/>
      <w:contextualSpacing/>
      <w:jc w:val="center"/>
      <w:outlineLvl w:val="1"/>
    </w:pPr>
    <w:rPr>
      <w:rFonts w:ascii="PT Serif" w:eastAsiaTheme="majorEastAsia" w:hAnsi="PT Serif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uiPriority w:val="10"/>
    <w:qFormat/>
    <w:rsid w:val="00431D64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styleId="Hypertextovodkaz">
    <w:name w:val="Hyperlink"/>
    <w:rsid w:val="00431D64"/>
    <w:rPr>
      <w:u w:val="single"/>
    </w:rPr>
  </w:style>
  <w:style w:type="table" w:customStyle="1" w:styleId="TableNormal1">
    <w:name w:val="Table Normal1"/>
    <w:rsid w:val="0043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431D6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rsid w:val="00431D64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VchozA">
    <w:name w:val="Výchozí A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A">
    <w:name w:val="Text A"/>
    <w:rsid w:val="00431D64"/>
    <w:rPr>
      <w:color w:val="000000"/>
      <w:u w:color="000000"/>
    </w:rPr>
  </w:style>
  <w:style w:type="paragraph" w:customStyle="1" w:styleId="Normln1">
    <w:name w:val="Normální1"/>
    <w:rsid w:val="00431D64"/>
    <w:rPr>
      <w:color w:val="000000"/>
      <w:u w:color="000000"/>
    </w:rPr>
  </w:style>
  <w:style w:type="paragraph" w:customStyle="1" w:styleId="VchozB">
    <w:name w:val="Výchozí B"/>
    <w:rsid w:val="00431D64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431D64"/>
  </w:style>
  <w:style w:type="numbering" w:customStyle="1" w:styleId="Odrky">
    <w:name w:val="Odrážky"/>
    <w:rsid w:val="00431D64"/>
  </w:style>
  <w:style w:type="paragraph" w:customStyle="1" w:styleId="Vchoz">
    <w:name w:val="Výchozí"/>
    <w:rsid w:val="00431D64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sid w:val="00431D64"/>
    <w:rPr>
      <w:color w:val="0000FF"/>
      <w:u w:val="single" w:color="0000FF"/>
    </w:rPr>
  </w:style>
  <w:style w:type="character" w:customStyle="1" w:styleId="Hyperlink0">
    <w:name w:val="Hyperlink.0"/>
    <w:basedOn w:val="Odkaz"/>
    <w:rsid w:val="00431D64"/>
    <w:rPr>
      <w:rFonts w:ascii="Tahoma" w:eastAsia="Tahoma" w:hAnsi="Tahoma" w:cs="Tahoma"/>
      <w:color w:val="0000FF"/>
      <w:sz w:val="20"/>
      <w:szCs w:val="20"/>
      <w:u w:val="single" w:color="0000FF"/>
      <w:lang w:val="fr-FR"/>
    </w:rPr>
  </w:style>
  <w:style w:type="numbering" w:customStyle="1" w:styleId="Importovanstyl2">
    <w:name w:val="Importovaný styl 2"/>
    <w:rsid w:val="00431D64"/>
  </w:style>
  <w:style w:type="numbering" w:customStyle="1" w:styleId="Importovanstyl3">
    <w:name w:val="Importovaný styl 3"/>
    <w:rsid w:val="00431D64"/>
  </w:style>
  <w:style w:type="paragraph" w:styleId="Textkomente">
    <w:name w:val="annotation text"/>
    <w:basedOn w:val="Normln"/>
    <w:link w:val="TextkomenteChar"/>
    <w:uiPriority w:val="99"/>
    <w:semiHidden/>
    <w:unhideWhenUsed/>
    <w:rsid w:val="00431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D64"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31D6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B9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64E"/>
    <w:rPr>
      <w:b/>
      <w:bCs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15297"/>
    <w:rPr>
      <w:rFonts w:ascii="PT Serif" w:eastAsiaTheme="majorEastAsia" w:hAnsi="PT Serif" w:cstheme="majorBidi"/>
      <w:b/>
      <w:bCs/>
      <w:sz w:val="28"/>
      <w:szCs w:val="2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F068B"/>
    <w:pPr>
      <w:ind w:left="720"/>
      <w:contextualSpacing/>
    </w:pPr>
  </w:style>
  <w:style w:type="character" w:customStyle="1" w:styleId="st">
    <w:name w:val="st"/>
    <w:basedOn w:val="Standardnpsmoodstavce"/>
    <w:rsid w:val="00F7708D"/>
  </w:style>
  <w:style w:type="character" w:styleId="Siln">
    <w:name w:val="Strong"/>
    <w:basedOn w:val="Standardnpsmoodstavce"/>
    <w:uiPriority w:val="22"/>
    <w:qFormat/>
    <w:rsid w:val="00DA6A6D"/>
    <w:rPr>
      <w:b/>
      <w:bCs/>
    </w:rPr>
  </w:style>
  <w:style w:type="character" w:customStyle="1" w:styleId="fontstyle01">
    <w:name w:val="fontstyle01"/>
    <w:basedOn w:val="Standardnpsmoodstavce"/>
    <w:rsid w:val="00271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L5lyeRmFIVUT+mJV8U8PzEygg==">AMUW2mVoQVwzaYEUVSQ40QD8PFSilScffAld6VwcXlCGX1mcELVebyVTh8eMIncOt2lXJP4Y/l82e+Sjqg8g9y6yzHjN6d+LCjd3+lwPD3+nBqCU94w6Jys=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malov_000</dc:creator>
  <cp:lastModifiedBy>Alena Dvořáková</cp:lastModifiedBy>
  <cp:revision>2</cp:revision>
  <dcterms:created xsi:type="dcterms:W3CDTF">2021-12-17T09:43:00Z</dcterms:created>
  <dcterms:modified xsi:type="dcterms:W3CDTF">2021-12-17T09:43:00Z</dcterms:modified>
</cp:coreProperties>
</file>