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55D7B" w:rsidRPr="007F62EC" w:rsidRDefault="00E539C3">
      <w:pPr>
        <w:pStyle w:val="Nzev"/>
        <w:spacing w:after="240"/>
        <w:rPr>
          <w:rFonts w:ascii="PT Sans" w:eastAsia="PT Sans" w:hAnsi="PT Sans" w:cs="PT Sans"/>
          <w:sz w:val="36"/>
          <w:szCs w:val="36"/>
        </w:rPr>
      </w:pPr>
      <w:bookmarkStart w:id="0" w:name="_GoBack"/>
      <w:bookmarkEnd w:id="0"/>
      <w:r w:rsidRPr="007F62EC">
        <w:rPr>
          <w:rFonts w:ascii="PT Sans" w:eastAsia="PT Sans" w:hAnsi="PT Sans" w:cs="PT Sans"/>
          <w:sz w:val="36"/>
          <w:szCs w:val="36"/>
        </w:rPr>
        <w:t xml:space="preserve">Smlouva o dílo </w:t>
      </w:r>
    </w:p>
    <w:p w14:paraId="00000002" w14:textId="77777777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podle § 2586 a násl. zákona č. 89/2012 Sb., občanský zákoník, ve znění pozdějších předpisů, a podle zákona č. 121/2000 Sb., o právu autorském, o právech souvisejících s právem autorským a o změně některých zákonů (autorský zákon), ve znění pozdějších předpisů. (dále jen „smlouva“): </w:t>
      </w:r>
    </w:p>
    <w:p w14:paraId="00000003" w14:textId="77777777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Smluvní strany:</w:t>
      </w:r>
    </w:p>
    <w:p w14:paraId="00000004" w14:textId="7FAB9910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 xml:space="preserve">Obchodní firma: </w:t>
      </w:r>
      <w:r w:rsidRP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  <w:t>Než zazvoní, s.r.o.</w:t>
      </w:r>
      <w:r w:rsidRP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br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IČ: 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03967921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 xml:space="preserve">Sídlo: 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="007F62EC"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Sukova 49/4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, 602 00 Brno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 xml:space="preserve">Zastoupena: 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Ing. Mgr. Petrem Soukeníkem, jednatelem</w:t>
      </w:r>
    </w:p>
    <w:p w14:paraId="00000005" w14:textId="77777777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(dále jen Zhotovitel)</w:t>
      </w:r>
    </w:p>
    <w:p w14:paraId="00000006" w14:textId="77777777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a</w:t>
      </w:r>
    </w:p>
    <w:p w14:paraId="00000007" w14:textId="7B3B8443" w:rsidR="00A55D7B" w:rsidRPr="007F62EC" w:rsidRDefault="00E539C3">
      <w:pPr>
        <w:widowControl w:val="0"/>
        <w:spacing w:line="239" w:lineRule="auto"/>
        <w:ind w:left="2832" w:hanging="2832"/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</w:pPr>
      <w:bookmarkStart w:id="1" w:name="_heading=h.gjdgxs" w:colFirst="0" w:colLast="0"/>
      <w:bookmarkEnd w:id="1"/>
      <w:r w:rsidRP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>Název organizace:</w:t>
      </w:r>
      <w:r w:rsidRP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ab/>
      </w:r>
      <w:r w:rsidR="007F62EC" w:rsidRP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>Střední průmyslová škola</w:t>
      </w:r>
      <w:r w:rsidR="007F62EC">
        <w:rPr>
          <w:rFonts w:ascii="PT Sans" w:eastAsia="PT Sans" w:hAnsi="PT Sans" w:cs="PT Sans"/>
          <w:b/>
          <w:color w:val="000000"/>
          <w:sz w:val="22"/>
          <w:szCs w:val="22"/>
          <w:lang w:val="cs-CZ"/>
        </w:rPr>
        <w:t xml:space="preserve"> Brno, Purkyňova, příspěvková organizace</w:t>
      </w:r>
    </w:p>
    <w:p w14:paraId="00000008" w14:textId="77BA456F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IČ: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155 30 213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>Sídlo: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Purkyňova 2832/97, 612 00, Brno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>Zastoupena: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doc. RNDr. Alešem Rudou, Ph.D., MBA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, ředitelem</w:t>
      </w:r>
    </w:p>
    <w:p w14:paraId="00000009" w14:textId="77777777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br/>
        <w:t xml:space="preserve"> (dále jen Objednatel).</w:t>
      </w:r>
    </w:p>
    <w:p w14:paraId="0000000A" w14:textId="77777777" w:rsidR="00A55D7B" w:rsidRPr="007F62EC" w:rsidRDefault="00E539C3">
      <w:pPr>
        <w:pStyle w:val="Nadpis2"/>
        <w:spacing w:after="0"/>
        <w:rPr>
          <w:lang w:val="cs-CZ"/>
        </w:rPr>
      </w:pPr>
      <w:r w:rsidRPr="007F62EC">
        <w:rPr>
          <w:lang w:val="cs-CZ"/>
        </w:rPr>
        <w:t xml:space="preserve">Článek I. </w:t>
      </w:r>
    </w:p>
    <w:p w14:paraId="0000000B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>Úvodní ustanovení</w:t>
      </w:r>
    </w:p>
    <w:p w14:paraId="0000000C" w14:textId="77777777" w:rsidR="00A55D7B" w:rsidRPr="007F62EC" w:rsidRDefault="00E539C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Účelem uzavření této smlouvy je zhotovení Díla dle sjednaného rozsahu v čl. III. smlouvy (dále jen „předmět plnění“). </w:t>
      </w:r>
    </w:p>
    <w:p w14:paraId="0000000D" w14:textId="77777777" w:rsidR="00A55D7B" w:rsidRPr="007F62EC" w:rsidRDefault="00E539C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prohlašuje, že je odborně způsobilý k předmětu plnění a má oprávnění na území České republiky poskytovat za úplatu všechny služby, jejichž poskytnutí je předmětem této smlouvy. </w:t>
      </w:r>
    </w:p>
    <w:p w14:paraId="0000000E" w14:textId="77777777" w:rsidR="00A55D7B" w:rsidRPr="007F62EC" w:rsidRDefault="00E539C3">
      <w:pPr>
        <w:pStyle w:val="Nadpis2"/>
        <w:spacing w:after="0"/>
        <w:rPr>
          <w:lang w:val="cs-CZ"/>
        </w:rPr>
      </w:pPr>
      <w:r w:rsidRPr="007F62EC">
        <w:rPr>
          <w:lang w:val="cs-CZ"/>
        </w:rPr>
        <w:t xml:space="preserve">Článek II. </w:t>
      </w:r>
    </w:p>
    <w:p w14:paraId="0000000F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 xml:space="preserve">Předmět smlouvy </w:t>
      </w:r>
    </w:p>
    <w:p w14:paraId="00000010" w14:textId="77777777" w:rsidR="00A55D7B" w:rsidRPr="007F62EC" w:rsidRDefault="00E539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se zavazuje za podmínek uvedených v této smlouvě zhotovit a předat Objednateli Dílo specifikované v čl. III. smlouvy a Objednatel se zavazuje zaplatit Zhotoviteli sjednanou cenu. </w:t>
      </w:r>
    </w:p>
    <w:p w14:paraId="00000011" w14:textId="77777777" w:rsidR="00A55D7B" w:rsidRPr="007F62EC" w:rsidRDefault="00E539C3">
      <w:pPr>
        <w:pStyle w:val="Nadpis2"/>
        <w:spacing w:after="0"/>
        <w:rPr>
          <w:lang w:val="cs-CZ"/>
        </w:rPr>
      </w:pPr>
      <w:r w:rsidRPr="007F62EC">
        <w:rPr>
          <w:lang w:val="cs-CZ"/>
        </w:rPr>
        <w:lastRenderedPageBreak/>
        <w:t xml:space="preserve">Článek III. </w:t>
      </w:r>
    </w:p>
    <w:p w14:paraId="00000012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>Dílo</w:t>
      </w:r>
    </w:p>
    <w:p w14:paraId="00000013" w14:textId="77777777" w:rsidR="00A55D7B" w:rsidRPr="007F62EC" w:rsidRDefault="00E53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Dílem se pro potřeby této smlouvy rozumí realizace následujících činností pro Objednatele (dále jen „Dílo“): </w:t>
      </w:r>
    </w:p>
    <w:tbl>
      <w:tblPr>
        <w:tblStyle w:val="a"/>
        <w:tblW w:w="8735" w:type="dxa"/>
        <w:tblInd w:w="335" w:type="dxa"/>
        <w:tblLayout w:type="fixed"/>
        <w:tblLook w:val="0400" w:firstRow="0" w:lastRow="0" w:firstColumn="0" w:lastColumn="0" w:noHBand="0" w:noVBand="1"/>
      </w:tblPr>
      <w:tblGrid>
        <w:gridCol w:w="8735"/>
      </w:tblGrid>
      <w:tr w:rsidR="00A55D7B" w:rsidRPr="00696DB1" w14:paraId="136188A4" w14:textId="77777777">
        <w:trPr>
          <w:trHeight w:val="300"/>
        </w:trPr>
        <w:tc>
          <w:tcPr>
            <w:tcW w:w="8735" w:type="dxa"/>
            <w:shd w:val="clear" w:color="auto" w:fill="auto"/>
            <w:vAlign w:val="center"/>
          </w:tcPr>
          <w:p w14:paraId="00000014" w14:textId="77777777" w:rsidR="00A55D7B" w:rsidRPr="00696DB1" w:rsidRDefault="00E539C3">
            <w:pPr>
              <w:jc w:val="both"/>
              <w:rPr>
                <w:rFonts w:ascii="PT Sans" w:eastAsia="PT Sans" w:hAnsi="PT Sans" w:cs="PT Sans"/>
                <w:b/>
                <w:sz w:val="22"/>
                <w:szCs w:val="22"/>
                <w:lang w:val="cs-CZ"/>
              </w:rPr>
            </w:pPr>
            <w:r w:rsidRPr="00696DB1">
              <w:rPr>
                <w:rFonts w:ascii="PT Sans" w:eastAsia="PT Sans" w:hAnsi="PT Sans" w:cs="PT Sans"/>
                <w:b/>
                <w:sz w:val="22"/>
                <w:szCs w:val="22"/>
                <w:lang w:val="cs-CZ"/>
              </w:rPr>
              <w:t>Komunikační strategie v tomto rozsahu:</w:t>
            </w:r>
          </w:p>
        </w:tc>
      </w:tr>
      <w:tr w:rsidR="00A55D7B" w:rsidRPr="00696DB1" w14:paraId="1FC3B1FA" w14:textId="77777777">
        <w:trPr>
          <w:trHeight w:val="300"/>
        </w:trPr>
        <w:tc>
          <w:tcPr>
            <w:tcW w:w="8735" w:type="dxa"/>
            <w:shd w:val="clear" w:color="auto" w:fill="auto"/>
            <w:vAlign w:val="center"/>
          </w:tcPr>
          <w:p w14:paraId="00000015" w14:textId="77777777" w:rsidR="00A55D7B" w:rsidRPr="00696DB1" w:rsidRDefault="00E539C3">
            <w:pPr>
              <w:jc w:val="both"/>
              <w:rPr>
                <w:rFonts w:ascii="PT Sans" w:eastAsia="PT Sans" w:hAnsi="PT Sans" w:cs="PT Sans"/>
                <w:sz w:val="22"/>
                <w:szCs w:val="22"/>
                <w:lang w:val="cs-CZ"/>
              </w:rPr>
            </w:pPr>
            <w:r w:rsidRPr="00696DB1">
              <w:rPr>
                <w:rFonts w:ascii="PT Sans" w:eastAsia="PT Sans" w:hAnsi="PT Sans" w:cs="PT Sans"/>
                <w:sz w:val="22"/>
                <w:szCs w:val="22"/>
                <w:lang w:val="cs-CZ"/>
              </w:rPr>
              <w:t xml:space="preserve">Výstupem je samostatný dokument “Komunikační strategie ” vycházející z rozhovorů s vedením školy, garanty oborů a strukturovaných rozhovorů (tzv. </w:t>
            </w:r>
            <w:proofErr w:type="spellStart"/>
            <w:r w:rsidRPr="00696DB1">
              <w:rPr>
                <w:rFonts w:ascii="PT Sans" w:eastAsia="PT Sans" w:hAnsi="PT Sans" w:cs="PT Sans"/>
                <w:sz w:val="22"/>
                <w:szCs w:val="22"/>
                <w:lang w:val="cs-CZ"/>
              </w:rPr>
              <w:t>focus</w:t>
            </w:r>
            <w:proofErr w:type="spellEnd"/>
            <w:r w:rsidRPr="00696DB1">
              <w:rPr>
                <w:rFonts w:ascii="PT Sans" w:eastAsia="PT Sans" w:hAnsi="PT Sans" w:cs="PT Sans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696DB1">
              <w:rPr>
                <w:rFonts w:ascii="PT Sans" w:eastAsia="PT Sans" w:hAnsi="PT Sans" w:cs="PT Sans"/>
                <w:sz w:val="22"/>
                <w:szCs w:val="22"/>
                <w:lang w:val="cs-CZ"/>
              </w:rPr>
              <w:t>groups</w:t>
            </w:r>
            <w:proofErr w:type="spellEnd"/>
            <w:r w:rsidRPr="00696DB1">
              <w:rPr>
                <w:rFonts w:ascii="PT Sans" w:eastAsia="PT Sans" w:hAnsi="PT Sans" w:cs="PT Sans"/>
                <w:sz w:val="22"/>
                <w:szCs w:val="22"/>
                <w:lang w:val="cs-CZ"/>
              </w:rPr>
              <w:t xml:space="preserve">) se žáky školy (skupiny žáků po 10-12 osobách) obsahující: </w:t>
            </w:r>
          </w:p>
          <w:p w14:paraId="00000016" w14:textId="77777777" w:rsidR="00A55D7B" w:rsidRPr="00696DB1" w:rsidRDefault="00A55D7B">
            <w:pPr>
              <w:jc w:val="both"/>
              <w:rPr>
                <w:rFonts w:ascii="PT Sans" w:eastAsia="PT Sans" w:hAnsi="PT Sans" w:cs="PT Sans"/>
                <w:b/>
                <w:lang w:val="cs-CZ"/>
              </w:rPr>
            </w:pPr>
          </w:p>
        </w:tc>
      </w:tr>
    </w:tbl>
    <w:p w14:paraId="00000017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Zhodnocení výchozí marketingové situace.</w:t>
      </w:r>
    </w:p>
    <w:p w14:paraId="00000018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Hlavní cílové skupiny.</w:t>
      </w:r>
    </w:p>
    <w:p w14:paraId="00000019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Strategie značky (</w:t>
      </w:r>
      <w:proofErr w:type="spellStart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brandu</w:t>
      </w:r>
      <w:proofErr w:type="spellEnd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) školy:</w:t>
      </w:r>
    </w:p>
    <w:p w14:paraId="0000001A" w14:textId="77777777" w:rsidR="00A55D7B" w:rsidRPr="00696DB1" w:rsidRDefault="00E539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2136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definice </w:t>
      </w:r>
      <w:proofErr w:type="spellStart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brandu</w:t>
      </w:r>
      <w:proofErr w:type="spellEnd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,</w:t>
      </w:r>
    </w:p>
    <w:p w14:paraId="0000001B" w14:textId="77777777" w:rsidR="00A55D7B" w:rsidRPr="00696DB1" w:rsidRDefault="00E539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2136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pokud je to pro školu vhodné, definice archetypu školy,</w:t>
      </w:r>
    </w:p>
    <w:p w14:paraId="0000001C" w14:textId="77777777" w:rsidR="00A55D7B" w:rsidRPr="00696DB1" w:rsidRDefault="00E539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2136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vize školy,</w:t>
      </w:r>
    </w:p>
    <w:p w14:paraId="0000001D" w14:textId="77777777" w:rsidR="00A55D7B" w:rsidRPr="00696DB1" w:rsidRDefault="00E539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2136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určení hlavního sdělení, případně sloganu či </w:t>
      </w:r>
      <w:proofErr w:type="spellStart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tagline</w:t>
      </w:r>
      <w:proofErr w:type="spellEnd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,</w:t>
      </w:r>
    </w:p>
    <w:p w14:paraId="0000001E" w14:textId="77777777" w:rsidR="00A55D7B" w:rsidRPr="00696DB1" w:rsidRDefault="00E539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2136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určení podpůrných sdělení,</w:t>
      </w:r>
    </w:p>
    <w:p w14:paraId="0000001F" w14:textId="77777777" w:rsidR="00A55D7B" w:rsidRPr="00696DB1" w:rsidRDefault="00E539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2136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nastavení strategie sociální validace,</w:t>
      </w:r>
    </w:p>
    <w:p w14:paraId="00000020" w14:textId="77777777" w:rsidR="00A55D7B" w:rsidRPr="00696DB1" w:rsidRDefault="00E539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2136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grafická a fotografická tonalita formou </w:t>
      </w:r>
      <w:proofErr w:type="spellStart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moodboardu</w:t>
      </w:r>
      <w:proofErr w:type="spellEnd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– praktické ukázky doporučených fotografií (obsahově i technicky)</w:t>
      </w:r>
    </w:p>
    <w:p w14:paraId="00000021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Definice komunikačního jazykového stylu.</w:t>
      </w:r>
    </w:p>
    <w:p w14:paraId="00000022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Určení komunikačního a mediálního mixu – seznam komunikačních kanálů vhodných pro komunikaci školy (např. </w:t>
      </w:r>
      <w:proofErr w:type="spellStart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Facebook</w:t>
      </w:r>
      <w:proofErr w:type="spellEnd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, letáky aj.).</w:t>
      </w:r>
    </w:p>
    <w:p w14:paraId="00000023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Komunikace jednotlivých oborů ve formě nastavené komunikační strategií (popis oboru, pro koho je obor určen, uplatnění).</w:t>
      </w:r>
    </w:p>
    <w:p w14:paraId="00000024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Základní cíle a jejich měření.</w:t>
      </w:r>
    </w:p>
    <w:p w14:paraId="00000025" w14:textId="77777777" w:rsidR="00A55D7B" w:rsidRPr="00696DB1" w:rsidRDefault="00E53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Dílo bude zpracováno v rámci následujících kroků:</w:t>
      </w:r>
    </w:p>
    <w:p w14:paraId="00000026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Rozhovor s vedením školy.</w:t>
      </w:r>
    </w:p>
    <w:p w14:paraId="00000027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Rozhovory s garanty oborů.</w:t>
      </w:r>
    </w:p>
    <w:p w14:paraId="00000028" w14:textId="4D17AB4A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3x </w:t>
      </w:r>
      <w:proofErr w:type="spellStart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focus</w:t>
      </w:r>
      <w:proofErr w:type="spellEnd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</w:t>
      </w:r>
      <w:proofErr w:type="spellStart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groups</w:t>
      </w:r>
      <w:proofErr w:type="spellEnd"/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se žáky školy.</w:t>
      </w:r>
    </w:p>
    <w:p w14:paraId="0000002A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Rešerše NZ.</w:t>
      </w:r>
    </w:p>
    <w:p w14:paraId="0000002B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Průběžné iterace.</w:t>
      </w:r>
    </w:p>
    <w:p w14:paraId="0000002C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lastRenderedPageBreak/>
        <w:t>Vytvoření strategických podkladů pro náborovou kampaň.</w:t>
      </w:r>
    </w:p>
    <w:p w14:paraId="0000002D" w14:textId="77777777" w:rsidR="00A55D7B" w:rsidRPr="00696DB1" w:rsidRDefault="00E53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1068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Seminář pro náborový tým – jak se strategií pracovat a co jsou její hlavní prvky. </w:t>
      </w:r>
    </w:p>
    <w:p w14:paraId="0000002E" w14:textId="77777777" w:rsidR="00A55D7B" w:rsidRPr="007F62EC" w:rsidRDefault="00A55D7B">
      <w:pPr>
        <w:pStyle w:val="Nadpis2"/>
        <w:spacing w:after="0"/>
        <w:rPr>
          <w:lang w:val="cs-CZ"/>
        </w:rPr>
      </w:pPr>
    </w:p>
    <w:p w14:paraId="0000002F" w14:textId="77777777" w:rsidR="00A55D7B" w:rsidRPr="007F62EC" w:rsidRDefault="00E539C3">
      <w:pPr>
        <w:pStyle w:val="Nadpis2"/>
        <w:spacing w:before="0" w:after="0"/>
        <w:rPr>
          <w:lang w:val="cs-CZ"/>
        </w:rPr>
      </w:pPr>
      <w:r w:rsidRPr="007F62EC">
        <w:rPr>
          <w:lang w:val="cs-CZ"/>
        </w:rPr>
        <w:t xml:space="preserve">Článek IV. </w:t>
      </w:r>
    </w:p>
    <w:p w14:paraId="00000030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 xml:space="preserve">Práva a povinnosti Objednatele </w:t>
      </w:r>
    </w:p>
    <w:p w14:paraId="00000031" w14:textId="77777777" w:rsidR="00A55D7B" w:rsidRPr="007F62EC" w:rsidRDefault="00E53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Objednatel se zavazuje poskytnout Zhotoviteli veškerou součinnost potřebnou pro řádné plnění předmětu této smlouvy spočívající mj. v organizaci respondentů pro </w:t>
      </w:r>
      <w:proofErr w:type="spellStart"/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focus</w:t>
      </w:r>
      <w:proofErr w:type="spellEnd"/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</w:t>
      </w:r>
      <w:proofErr w:type="spellStart"/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groups</w:t>
      </w:r>
      <w:proofErr w:type="spellEnd"/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a organizaci zaměstnanců školy pro řízené rozhovory, dále pak komentáře k předběžným verzím. Nedostatečná součinnost Objednatele má za následek posun v termínu dokončení díla. Obě strany prohlašují, že se vynasnaží reagovat co nejrychleji (Objednatel) nebo naopak v dostatečném předstihu (Zhotovitel) tak, aby mohlo být Dílo hotovo co nejdříve. </w:t>
      </w:r>
    </w:p>
    <w:p w14:paraId="00000032" w14:textId="77777777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V případě schvalování se Objednatel zavazuje plnění schválit či podat výhrady emailovou formou nejpozději do 7 kalendářních dnů. Zhotovitel výhrady zapracuje v míře přípustné s ohledem na svoji obvyklou kvalitu díla a předloží k opětovného schválení. Objednatel se v případě opětovného schválení zavazuje reagovat emailovou formou do 5 kalendářních dní. Pokud Objednatel opět vysloví výhrady, Zhotovitel výhrady opět zapracuje v míře přípustné s ohledem na svoji obvyklou kvalitu, přičemž Objednatel se zavazuje reagovat emailovou formou do 5 kalendářních dní. Další výhrady již Zhotovitel není zavázán zapracovat. Pakliže Objednatel nezareaguje včas ve výše zmíněných lhůtách, má se za to, že Zhotovitelův návrh schválil.</w:t>
      </w:r>
    </w:p>
    <w:p w14:paraId="00000033" w14:textId="77777777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Pokud Zhotovitel požaduje dodat materiály či jiné informace, Objednatel se zavazuje tyto materiály dodat v provedení a kvalitě požadované Zhotovitelem nejpozději do 7 dní od požadavku.</w:t>
      </w:r>
    </w:p>
    <w:p w14:paraId="00000034" w14:textId="77777777" w:rsidR="00A55D7B" w:rsidRPr="007F62EC" w:rsidRDefault="00E53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Objednatel se zavazuje zaplatit Zhotoviteli cenu dle čl. VII. této smlouvy, a to způsobem a za podmínek tam stanovených. </w:t>
      </w:r>
    </w:p>
    <w:p w14:paraId="00000035" w14:textId="77777777" w:rsidR="00A55D7B" w:rsidRPr="007F62EC" w:rsidRDefault="00E53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Objednatel se zavazuje bezodkladně informovat Zhotovitele o všech změnách a jiných okolnostech, které se dotýkají plnění závazků vyplývajících z této smlouvy. Podstatné změny musí být oznámeny písemně. </w:t>
      </w:r>
    </w:p>
    <w:p w14:paraId="00000036" w14:textId="77777777" w:rsidR="00A55D7B" w:rsidRPr="007F62EC" w:rsidRDefault="00A55D7B">
      <w:pPr>
        <w:pStyle w:val="Nadpis2"/>
        <w:spacing w:after="0"/>
        <w:rPr>
          <w:lang w:val="cs-CZ"/>
        </w:rPr>
      </w:pPr>
    </w:p>
    <w:p w14:paraId="00000037" w14:textId="77777777" w:rsidR="00A55D7B" w:rsidRPr="007F62EC" w:rsidRDefault="00E539C3">
      <w:pPr>
        <w:pStyle w:val="Nadpis2"/>
        <w:spacing w:before="0" w:after="0"/>
        <w:rPr>
          <w:lang w:val="cs-CZ"/>
        </w:rPr>
      </w:pPr>
      <w:r w:rsidRPr="007F62EC">
        <w:rPr>
          <w:lang w:val="cs-CZ"/>
        </w:rPr>
        <w:t xml:space="preserve">Článek V. </w:t>
      </w:r>
    </w:p>
    <w:p w14:paraId="00000038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 xml:space="preserve">Práva a povinnosti Zhotovitele </w:t>
      </w:r>
    </w:p>
    <w:p w14:paraId="00000039" w14:textId="77777777" w:rsidR="00A55D7B" w:rsidRPr="007F62EC" w:rsidRDefault="00E539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se zavazuje, že bude poskytovat předmět plnění v rozsahu a způsobem stanoveným touto smlouvou. Zhotovitel se zavazuje během zpracovávání Dílo konzultovat s Objednatelem a případné změny při provádění Díla může provádět jen se souhlasem Objednatele. Zhotovitel se při plnění předmětu této smlouvy bude řídit pokyny Objednatele a postupovat v součinnosti s Objednatelem. Veřejné zpřístupnění Díla bude realizováno až po odsouhlasení finální podoby této části Díla Objednatelem. Pokud Objednatel neposkytne v dostatečném předstihu Zhotoviteli potřebné pokyny, je Zhotovitel oprávněn postupovat samostatně tak, aby byly řádně chráněny zájmy Objednatele, které Zhotovitel zná nebo znát má. </w:t>
      </w:r>
    </w:p>
    <w:p w14:paraId="0000003A" w14:textId="77777777" w:rsidR="00A55D7B" w:rsidRPr="007F62EC" w:rsidRDefault="00E539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lastRenderedPageBreak/>
        <w:t>Zhotovitel je povinen v průběhu provádění Díla informovat Objednatele o skutečnostech, které mohou mít vliv na provedení Díla. Zhotovitel je při plnění této smlouvy povinen postupovat s náležitou odbornou péčí, zajišťovat plnění smlouvy v souladu se zájmy Objednatele, které zná nebo znát má, oznámit Objednateli všechny okolnosti, které zjistí při výkonu své činnosti a jež mohou mít vliv na změnu pokynů Objednatele. Zjistí-li Zhotovitel kdykoliv v průběhu plnění této smlouvy, že pokyny Objednatele jsou nevhodné či pro plnění předmětu této smlouvy neúčelné, je povinen na to Objednatele upozornit. Trvá-li Objednatel na provedení Díla podle zřejmě nevhodného příkazu nebo s použitím zřejmě nevhodné věci i po Zhotovitelově upozornění, může Zhotovitel od smlouvy odstoupit.</w:t>
      </w:r>
    </w:p>
    <w:p w14:paraId="0000003B" w14:textId="77777777" w:rsidR="00A55D7B" w:rsidRPr="007F62EC" w:rsidRDefault="00E539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V případě, že dojde k nedodržení termínu dokončení a/nebo předání Díla z důvodů na straně Objednatele, má Zhotovitel právo na domnělé řádné předání díla a uhrazení plné ceny za Dílo. Toto ustanovení platí i pro dílčí součásti díla/dílčí platby a jejich termíny popsané v této smlouvě.</w:t>
      </w:r>
    </w:p>
    <w:p w14:paraId="0000003C" w14:textId="77777777" w:rsidR="00A55D7B" w:rsidRPr="007F62EC" w:rsidRDefault="00E539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Všechna upozornění dle předchozích odstavců činí Zhotovitel vůči Objednateli bez zbytečného odkladu. </w:t>
      </w:r>
    </w:p>
    <w:p w14:paraId="0000003D" w14:textId="77777777" w:rsidR="00A55D7B" w:rsidRPr="007F62EC" w:rsidRDefault="003B1A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sdt>
        <w:sdtPr>
          <w:rPr>
            <w:lang w:val="cs-CZ"/>
          </w:rPr>
          <w:tag w:val="goog_rdk_0"/>
          <w:id w:val="2136216533"/>
        </w:sdtPr>
        <w:sdtEndPr/>
        <w:sdtContent/>
      </w:sdt>
      <w:r w:rsidR="00E539C3"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Objednatel i Zhotovitel souhlasí se zveřejněním smlouvy v Registru smluv v plném rozsahu.</w:t>
      </w:r>
    </w:p>
    <w:p w14:paraId="0000003E" w14:textId="77777777" w:rsidR="00A55D7B" w:rsidRPr="007F62EC" w:rsidRDefault="00A55D7B">
      <w:pPr>
        <w:pStyle w:val="Nadpis2"/>
        <w:spacing w:after="0"/>
        <w:rPr>
          <w:lang w:val="cs-CZ"/>
        </w:rPr>
      </w:pPr>
    </w:p>
    <w:p w14:paraId="0000003F" w14:textId="77777777" w:rsidR="00A55D7B" w:rsidRPr="007F62EC" w:rsidRDefault="00E539C3">
      <w:pPr>
        <w:pStyle w:val="Nadpis2"/>
        <w:spacing w:before="0" w:after="0"/>
        <w:rPr>
          <w:lang w:val="cs-CZ"/>
        </w:rPr>
      </w:pPr>
      <w:r w:rsidRPr="007F62EC">
        <w:rPr>
          <w:lang w:val="cs-CZ"/>
        </w:rPr>
        <w:t xml:space="preserve">Článek VI. </w:t>
      </w:r>
    </w:p>
    <w:p w14:paraId="00000040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 xml:space="preserve">Splnění Díla a majetková práva k Dílu </w:t>
      </w:r>
    </w:p>
    <w:p w14:paraId="00000041" w14:textId="77777777" w:rsidR="00A55D7B" w:rsidRPr="007F62EC" w:rsidRDefault="00E539C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Závazek Zhotovitele provést Dílo je splněn jeho řádným dokončením a předáním Díla Objednateli. Dílo bude předáno Zhotovitelem následujícím způsobem:</w:t>
      </w:r>
    </w:p>
    <w:p w14:paraId="00000042" w14:textId="77777777" w:rsidR="00A55D7B" w:rsidRPr="007F62EC" w:rsidRDefault="00E539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proofErr w:type="spellStart"/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Odprezentováním</w:t>
      </w:r>
      <w:proofErr w:type="spellEnd"/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a předáním souboru PDF s komunikační strategií.</w:t>
      </w:r>
    </w:p>
    <w:p w14:paraId="00000043" w14:textId="77777777" w:rsidR="00A55D7B" w:rsidRPr="007F62EC" w:rsidRDefault="00A55D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92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44" w14:textId="4DDD58FE" w:rsidR="00A55D7B" w:rsidRPr="007F62EC" w:rsidRDefault="00E539C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je povinen celé Dílo dokončit a předat Objednateli v termínu do </w:t>
      </w:r>
      <w:r w:rsidR="00696DB1"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28</w:t>
      </w: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. </w:t>
      </w:r>
      <w:r w:rsidR="00696DB1"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2</w:t>
      </w: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. 202</w:t>
      </w:r>
      <w:r w:rsidR="00696DB1"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2</w:t>
      </w: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,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vynasnaží se však mít dílo hotové dříve. Zhotovitel je povinen Objednatele informovat o průběžném stavu prací a dávat mu k nahlédnutí a konzultaci jednotlivé funkční celky a </w:t>
      </w:r>
      <w:proofErr w:type="spellStart"/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podcelky</w:t>
      </w:r>
      <w:proofErr w:type="spellEnd"/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. Dílo lze odevzdat a fakturovat i po částech. </w:t>
      </w:r>
    </w:p>
    <w:p w14:paraId="00000045" w14:textId="77777777" w:rsidR="00A55D7B" w:rsidRPr="007F62EC" w:rsidRDefault="00E539C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na základě této smlouvy poskytuje objednateli právo k užívání díla počínaje dnem předání díla. </w:t>
      </w:r>
    </w:p>
    <w:p w14:paraId="00000046" w14:textId="77777777" w:rsidR="00A55D7B" w:rsidRPr="007F62EC" w:rsidRDefault="00E539C3">
      <w:pPr>
        <w:pStyle w:val="Nadpis2"/>
        <w:spacing w:after="0"/>
        <w:rPr>
          <w:lang w:val="cs-CZ"/>
        </w:rPr>
      </w:pPr>
      <w:r w:rsidRPr="007F62EC">
        <w:rPr>
          <w:lang w:val="cs-CZ"/>
        </w:rPr>
        <w:t xml:space="preserve">Článek VII. </w:t>
      </w:r>
    </w:p>
    <w:p w14:paraId="00000047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 xml:space="preserve">Cena a platební podmínky </w:t>
      </w:r>
    </w:p>
    <w:p w14:paraId="00000048" w14:textId="3A2BAF0B" w:rsidR="00A55D7B" w:rsidRPr="007F62EC" w:rsidRDefault="00E53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426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Dohodou smluvních stran byla stanovena</w:t>
      </w:r>
      <w:r w:rsidRPr="007F62EC">
        <w:rPr>
          <w:rFonts w:ascii="PT Sans" w:eastAsia="PT Sans" w:hAnsi="PT Sans" w:cs="PT Sans"/>
          <w:color w:val="FF0000"/>
          <w:sz w:val="22"/>
          <w:szCs w:val="22"/>
          <w:lang w:val="cs-CZ"/>
        </w:rPr>
        <w:t xml:space="preserve"> 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celková cena </w:t>
      </w: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za dílo </w:t>
      </w:r>
      <w:r w:rsidR="00696DB1"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>79.811</w:t>
      </w:r>
      <w:r w:rsidRPr="00696DB1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Kč bez DPH.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</w:t>
      </w:r>
    </w:p>
    <w:p w14:paraId="00000049" w14:textId="77777777" w:rsidR="00A55D7B" w:rsidRPr="007F62EC" w:rsidRDefault="00E53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426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Vyjma bodů explicitně uvedených v této smlouvě zahrnuje cena podle odstavce 1 veškeré náklady Zhotovitele spojené se splněním jeho závazků vyplývajících z této smlouvy se započtením veškerých nákladů, rizik a zisku. Sjednanou cenu za Dílo je možné překročit pouze v případě změny rozsahu plnění dle této smlouvy. Rozsah plnění dle této smlouvy lze měnit pouze na základě vzájemně odsouhlaseného písemného dodatku k této smlouvě. </w:t>
      </w:r>
    </w:p>
    <w:p w14:paraId="0000004A" w14:textId="77777777" w:rsidR="00A55D7B" w:rsidRPr="007F62EC" w:rsidRDefault="00E53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lastRenderedPageBreak/>
        <w:t xml:space="preserve">Cena bude uhrazena Objednatelem bezhotovostně na základě faktury vystavené Zhotovitelem po dokončení Díla. Strany se rovněž dohodly na možnosti fakturace po odevzdání části díla. </w:t>
      </w:r>
    </w:p>
    <w:p w14:paraId="0000004B" w14:textId="77777777" w:rsidR="00A55D7B" w:rsidRPr="007F62EC" w:rsidRDefault="00E53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Faktura musí být vystavena Zhotovitelem a doručena na adresu Objednatele, za doručení se považuje i elektronická verze emailem. Faktura musí splňovat náležitosti účetního dokladu stanovené zákonem č. 235/2004 Sb., o dani z přidané hodnoty, v platném znění. </w:t>
      </w:r>
    </w:p>
    <w:p w14:paraId="0000004C" w14:textId="77777777" w:rsidR="00A55D7B" w:rsidRPr="007F62EC" w:rsidRDefault="00E53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Lhůta splatnosti výše uvedených faktur se sjednává v délce 14 dnů ode dne doručení Objednateli. </w:t>
      </w:r>
    </w:p>
    <w:p w14:paraId="0000004D" w14:textId="77777777" w:rsidR="00A55D7B" w:rsidRPr="007F62EC" w:rsidRDefault="00E53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Objednatel je oprávněn Zhotoviteli fakturu ve lhůtě její splatnosti vrátit v případech, kdy tato nebude obsahovat některou z náležitostí dle čl. VII. odst. 4, nebo v ní některá z těchto náležitostí bude uvedena nesprávně. Do doby doručení opravené faktury se Objednatel nenachází v prodlení se zaplacením dlužné částky. Okamžikem dodání opravené faktury začíná běžet nová lhůta její splatnosti. </w:t>
      </w:r>
    </w:p>
    <w:p w14:paraId="0000004E" w14:textId="77777777" w:rsidR="00A55D7B" w:rsidRPr="007F62EC" w:rsidRDefault="00E539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Povinnost zaplatit cenu je splněna dnem odeslání příslušné částky z účtu Objednatele</w:t>
      </w:r>
      <w:r w:rsidRPr="007F62EC">
        <w:rPr>
          <w:rFonts w:ascii="PT Sans" w:eastAsia="PT Sans" w:hAnsi="PT Sans" w:cs="PT Sans"/>
          <w:color w:val="FF0000"/>
          <w:sz w:val="22"/>
          <w:szCs w:val="22"/>
          <w:lang w:val="cs-CZ"/>
        </w:rPr>
        <w:t xml:space="preserve"> 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na účet Zhotovitele. </w:t>
      </w:r>
    </w:p>
    <w:p w14:paraId="0000004F" w14:textId="77777777" w:rsidR="00A55D7B" w:rsidRPr="007F62EC" w:rsidRDefault="00A55D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0" w14:textId="77777777" w:rsidR="00A55D7B" w:rsidRPr="007F62EC" w:rsidRDefault="00E539C3">
      <w:pPr>
        <w:pStyle w:val="Nadpis2"/>
        <w:spacing w:after="0"/>
        <w:rPr>
          <w:lang w:val="cs-CZ"/>
        </w:rPr>
      </w:pPr>
      <w:r w:rsidRPr="007F62EC">
        <w:rPr>
          <w:lang w:val="cs-CZ"/>
        </w:rPr>
        <w:t xml:space="preserve">Článek VIII. </w:t>
      </w:r>
    </w:p>
    <w:p w14:paraId="00000051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>Záruka, práva z vad, odpovědnost a sankce</w:t>
      </w:r>
    </w:p>
    <w:p w14:paraId="00000052" w14:textId="77777777" w:rsidR="00A55D7B" w:rsidRPr="007F62EC" w:rsidRDefault="00E539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Dílo má vadu, neodpovídá-li smlouvě a jejímu účelu. Zhotovitel odpovídá za vady, které má Dílo v době jeho předání Objednateli. Objednatel je povinen Dílo náležitě zkontrolovat a vytknout Zhotoviteli případné vady Díla a neučiní-li tak, platí, že Dílo nemá žádné zjevné vady. Zhotovitel odpovídá i za vady Díla, které Dílo mělo v době předání, ale projevily se až po předání Díla (skryté vady). Objednatel je povinen tyto vady oznámit Zhotoviteli bez zbytečného odkladu, nejdéle však do tří let od předání Díla. </w:t>
      </w:r>
    </w:p>
    <w:p w14:paraId="00000053" w14:textId="77777777" w:rsidR="00A55D7B" w:rsidRPr="007F62EC" w:rsidRDefault="00E539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Je-li Objednatel v prodlení s úhradou výše uvedených faktur, je Zhotovitel oprávněn vyúčtovat Objednateli úrok z prodlení ve výši 0,1 % z dlužné částky za každý započatý den prodlení po termínu splatnosti až do doby zaplacení. </w:t>
      </w:r>
    </w:p>
    <w:p w14:paraId="00000054" w14:textId="77777777" w:rsidR="00A55D7B" w:rsidRPr="007F62EC" w:rsidRDefault="00E539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Nedodá-li Zhotovitel Dílo v požadovaném termínu je Objednatel oprávněn vyúčtovat Zhotoviteli smluvní pokutu ve výši 0,1 % ze smluvené ceny za Dílo za každý započatý den prodlení po termínu až do doby řádného předání Díla. </w:t>
      </w:r>
    </w:p>
    <w:p w14:paraId="00000055" w14:textId="77777777" w:rsidR="00A55D7B" w:rsidRPr="007F62EC" w:rsidRDefault="00E539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Zhotovitel se zprošťuje veškeré odpovědnosti za nesplnění svých povinností z této smlouvy po dobu trvání vyšší moci. Za vyšší moc se pro účely této smlouvy považují okolnosti mající vliv na možnosti plnění povinností z této smlouvy, které nejsou závislé na vůli na smluvních stran a které smluvní strany nemohou ovlivnit. Jedná se např. o válku, mobilizaci, povstání, živelné pohromy apod. </w:t>
      </w:r>
    </w:p>
    <w:p w14:paraId="00000056" w14:textId="77777777" w:rsidR="00A55D7B" w:rsidRPr="00684C52" w:rsidRDefault="00E539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>Smluvní strany jsou odpovědny za plnění svých závazků i v době nouzového stavu vyhlášeného v souvislosti s pandemií onemocnění COVID-19. Tento stav ani zákonné a podzákonné normy vydané za účelem zmírnění pandemie onemocnění COVID-19 nepředstavují okolnosti mající vliv na plnění povinností z této smlouvy.</w:t>
      </w:r>
    </w:p>
    <w:p w14:paraId="00000057" w14:textId="77777777" w:rsidR="00A55D7B" w:rsidRPr="007F62EC" w:rsidRDefault="00E539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lastRenderedPageBreak/>
        <w:t xml:space="preserve">Úrok z prodlení a smluvní pokuta jsou splatné do 14 dnů ode dne prokazatelného doručení jejich vyúčtování druhé smluvní straně. </w:t>
      </w:r>
    </w:p>
    <w:p w14:paraId="00000058" w14:textId="77777777" w:rsidR="00A55D7B" w:rsidRPr="007F62EC" w:rsidRDefault="00A55D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59" w14:textId="77777777" w:rsidR="00A55D7B" w:rsidRPr="007F62EC" w:rsidRDefault="00E539C3">
      <w:pPr>
        <w:pStyle w:val="Nadpis2"/>
        <w:spacing w:after="0"/>
        <w:rPr>
          <w:lang w:val="cs-CZ"/>
        </w:rPr>
      </w:pPr>
      <w:r w:rsidRPr="007F62EC">
        <w:rPr>
          <w:lang w:val="cs-CZ"/>
        </w:rPr>
        <w:t xml:space="preserve">Článek IX. </w:t>
      </w:r>
    </w:p>
    <w:p w14:paraId="0000005A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>Změny a zánik smlouvy</w:t>
      </w:r>
    </w:p>
    <w:p w14:paraId="0000005B" w14:textId="77777777" w:rsidR="00A55D7B" w:rsidRPr="007F62EC" w:rsidRDefault="00E539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Tato smlouva může být měněna pouze formou písemných, vzestupně číslovaných dodatků podepsaných oběma smluvními stranami. </w:t>
      </w:r>
    </w:p>
    <w:p w14:paraId="0000005C" w14:textId="77777777" w:rsidR="00A55D7B" w:rsidRPr="007F62EC" w:rsidRDefault="00E539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Tuto smlouvu lze ukončit dohodou smluvních stran nebo písemnou výpovědí ze zákonných důvodů nebo z důvodů uvedených v této smlouvě. </w:t>
      </w:r>
    </w:p>
    <w:p w14:paraId="0000005D" w14:textId="77777777" w:rsidR="00A55D7B" w:rsidRPr="007F62EC" w:rsidRDefault="00E539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Výpověď smlouvy musí být učiněna písemně a doručena druhé smluvní straně na adresu uvedenou ve smlouvě. Výpovědní lhůta činí jeden měsíc a začíná běžet prvním dnem kalendářního měsíce následujícího po měsíci, v němž byla výpověď prokazatelně doručena druhé straně. </w:t>
      </w:r>
    </w:p>
    <w:p w14:paraId="0000005E" w14:textId="77777777" w:rsidR="00A55D7B" w:rsidRPr="007F62EC" w:rsidRDefault="00E539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Odstoupením od smlouvy nejsou dotčena ustanovení týkající se smluvních pokut, úroků z prodlení a ustanovení týkající se těch práv a povinností, z jejichž povahy vyplývá, že mají trvat i po odstoupení. </w:t>
      </w:r>
    </w:p>
    <w:p w14:paraId="0000005F" w14:textId="77777777" w:rsidR="00A55D7B" w:rsidRPr="007F62EC" w:rsidRDefault="00E539C3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V případě ukončení této smlouvy před dokončením Díla, Zhotovitel předá Objednateli Dílo ve stavu, ve kterém je v okamžiku ukončení smlouvy a Objednatel zaplatí Zhotoviteli cenu, jejíž výše odpovídá ceně za dosud odpracované hodiny Zhotovitele na Díle na základě výpisu těchto hodin od Zhotovitele, přičemž cena za 1 (slovy: jednu) hodinu </w:t>
      </w: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činí </w:t>
      </w:r>
      <w:sdt>
        <w:sdtPr>
          <w:rPr>
            <w:lang w:val="cs-CZ"/>
          </w:rPr>
          <w:tag w:val="goog_rdk_1"/>
          <w:id w:val="1912727248"/>
        </w:sdtPr>
        <w:sdtEndPr/>
        <w:sdtContent/>
      </w:sdt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>1.000 Kč bez DPH.</w:t>
      </w:r>
    </w:p>
    <w:p w14:paraId="00000060" w14:textId="77777777" w:rsidR="00A55D7B" w:rsidRPr="007F62EC" w:rsidRDefault="00A55D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ind w:left="36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61" w14:textId="77777777" w:rsidR="00A55D7B" w:rsidRPr="007F62EC" w:rsidRDefault="00E539C3">
      <w:pPr>
        <w:pStyle w:val="Nadpis2"/>
        <w:spacing w:after="0"/>
        <w:rPr>
          <w:lang w:val="cs-CZ"/>
        </w:rPr>
      </w:pPr>
      <w:r w:rsidRPr="007F62EC">
        <w:rPr>
          <w:lang w:val="cs-CZ"/>
        </w:rPr>
        <w:t xml:space="preserve">Článek X. </w:t>
      </w:r>
    </w:p>
    <w:p w14:paraId="00000062" w14:textId="77777777" w:rsidR="00A55D7B" w:rsidRPr="007F62EC" w:rsidRDefault="00E539C3">
      <w:pPr>
        <w:pStyle w:val="Nadpis2"/>
        <w:spacing w:before="0"/>
        <w:rPr>
          <w:lang w:val="cs-CZ"/>
        </w:rPr>
      </w:pPr>
      <w:r w:rsidRPr="007F62EC">
        <w:rPr>
          <w:lang w:val="cs-CZ"/>
        </w:rPr>
        <w:t xml:space="preserve">Závěrečná ustanovení </w:t>
      </w:r>
    </w:p>
    <w:p w14:paraId="00000063" w14:textId="77777777" w:rsidR="00A55D7B" w:rsidRPr="007F62EC" w:rsidRDefault="00E53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Práva a povinnosti smluvních stran výslovně v této smlouvě neupravené se řídí právním řádem České republiky, zejména příslušnými ustanoveními zákona č. 89/2012 Sb., Občanský zákoník, ve znění pozdějších předpisů, a zákona č. 121/2000 Sb., o právu autorském, o právech souvisejících s právem autorským a o změně některých zákonů (autorský zákon), ve znění pozdějších předpisů. </w:t>
      </w:r>
    </w:p>
    <w:p w14:paraId="00000064" w14:textId="77777777" w:rsidR="00A55D7B" w:rsidRPr="007F62EC" w:rsidRDefault="00E53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Je-li nebo stane-li se některé ustanovení této smlouvy neplatné či neúčinné, nedotýká se to ostatních ustanovení této smlouvy, která zůstávají platná a účinná. </w:t>
      </w:r>
    </w:p>
    <w:p w14:paraId="00000065" w14:textId="77777777" w:rsidR="00A55D7B" w:rsidRPr="007F62EC" w:rsidRDefault="00E53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Smlouva je vyhotovena ve dvou stejnopisech s platností originálu, z nichž jedno vyhotovení obdrží Objednatel a jedno vyhotovení obdrží Zhotovitel. </w:t>
      </w:r>
    </w:p>
    <w:p w14:paraId="00000066" w14:textId="77777777" w:rsidR="00A55D7B" w:rsidRPr="007F62EC" w:rsidRDefault="00E53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Tato smlouva nabývá platnosti a účinnosti dnem podpisu poslední smluvní strany. </w:t>
      </w:r>
    </w:p>
    <w:p w14:paraId="00000067" w14:textId="77777777" w:rsidR="00A55D7B" w:rsidRPr="007F62EC" w:rsidRDefault="00E53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Smluvní strany shodně prohlašují, že plnění z této smlouvy je možné a předmět smlouvy neodporuje ani neobchází zákon, ani se nepříčí dobrým mravům. </w:t>
      </w:r>
    </w:p>
    <w:p w14:paraId="00000068" w14:textId="33BEACE8" w:rsidR="00A55D7B" w:rsidRPr="007F62EC" w:rsidRDefault="00E53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lastRenderedPageBreak/>
        <w:t>Obě smluvní strany se budou řídit obecným nařízením EU 2016/679 o ochraně osobních údajů (GDPR).</w:t>
      </w:r>
    </w:p>
    <w:p w14:paraId="00000069" w14:textId="77777777" w:rsidR="00A55D7B" w:rsidRPr="007F62EC" w:rsidRDefault="003B1A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sdt>
        <w:sdtPr>
          <w:rPr>
            <w:lang w:val="cs-CZ"/>
          </w:rPr>
          <w:tag w:val="goog_rdk_2"/>
          <w:id w:val="-266390939"/>
        </w:sdtPr>
        <w:sdtEndPr/>
        <w:sdtContent/>
      </w:sdt>
      <w:r w:rsidR="00E539C3"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Objednatel.</w:t>
      </w:r>
    </w:p>
    <w:p w14:paraId="0000006A" w14:textId="77777777" w:rsidR="00A55D7B" w:rsidRPr="007F62EC" w:rsidRDefault="00A55D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6B" w14:textId="77777777" w:rsidR="00A55D7B" w:rsidRPr="007F62EC" w:rsidRDefault="00A55D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6C" w14:textId="32BDBB14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FF0000"/>
          <w:sz w:val="22"/>
          <w:szCs w:val="22"/>
          <w:lang w:val="cs-CZ"/>
        </w:rPr>
      </w:pP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V Brně dne </w:t>
      </w:r>
      <w:r w:rsidR="00684C52"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>9</w:t>
      </w: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. </w:t>
      </w:r>
      <w:r w:rsidR="00684C52"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>12</w:t>
      </w: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>. 2021</w:t>
      </w: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V </w:t>
      </w:r>
      <w:r w:rsidR="00684C52"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>Brně</w:t>
      </w:r>
      <w:r w:rsidRPr="00684C52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dne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 xml:space="preserve"> </w:t>
      </w:r>
    </w:p>
    <w:p w14:paraId="0000006D" w14:textId="77777777" w:rsidR="00A55D7B" w:rsidRPr="007F62EC" w:rsidRDefault="00A55D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6E" w14:textId="77777777" w:rsidR="00A55D7B" w:rsidRPr="007F62EC" w:rsidRDefault="00A55D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6F" w14:textId="77777777" w:rsidR="00A55D7B" w:rsidRPr="007F62EC" w:rsidRDefault="00A55D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</w:p>
    <w:p w14:paraId="00000070" w14:textId="77777777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.……………………………………………..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……………………………………………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</w:p>
    <w:p w14:paraId="00000071" w14:textId="77777777" w:rsidR="00A55D7B" w:rsidRPr="007F62EC" w:rsidRDefault="00E539C3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rPr>
          <w:rFonts w:ascii="PT Sans" w:eastAsia="PT Sans" w:hAnsi="PT Sans" w:cs="PT Sans"/>
          <w:color w:val="000000"/>
          <w:sz w:val="22"/>
          <w:szCs w:val="22"/>
          <w:lang w:val="cs-CZ"/>
        </w:rPr>
      </w:pP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>za Zhotovitele</w:t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</w:r>
      <w:r w:rsidRPr="007F62EC">
        <w:rPr>
          <w:rFonts w:ascii="PT Sans" w:eastAsia="PT Sans" w:hAnsi="PT Sans" w:cs="PT Sans"/>
          <w:color w:val="000000"/>
          <w:sz w:val="22"/>
          <w:szCs w:val="22"/>
          <w:lang w:val="cs-CZ"/>
        </w:rPr>
        <w:tab/>
        <w:t>za Objednatele</w:t>
      </w:r>
    </w:p>
    <w:sectPr w:rsidR="00A55D7B" w:rsidRPr="007F62EC">
      <w:headerReference w:type="default" r:id="rId8"/>
      <w:footerReference w:type="default" r:id="rId9"/>
      <w:pgSz w:w="11900" w:h="16840"/>
      <w:pgMar w:top="1620" w:right="1418" w:bottom="1620" w:left="1418" w:header="709" w:footer="9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6248" w14:textId="77777777" w:rsidR="00E539C3" w:rsidRDefault="00E539C3">
      <w:r>
        <w:separator/>
      </w:r>
    </w:p>
  </w:endnote>
  <w:endnote w:type="continuationSeparator" w:id="0">
    <w:p w14:paraId="473C58A0" w14:textId="77777777" w:rsidR="00E539C3" w:rsidRDefault="00E5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3" w14:textId="6FF933FE" w:rsidR="00A55D7B" w:rsidRDefault="00E53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62E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F62E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FC9B" w14:textId="77777777" w:rsidR="00E539C3" w:rsidRDefault="00E539C3">
      <w:r>
        <w:separator/>
      </w:r>
    </w:p>
  </w:footnote>
  <w:footnote w:type="continuationSeparator" w:id="0">
    <w:p w14:paraId="7248E9F1" w14:textId="77777777" w:rsidR="00E539C3" w:rsidRDefault="00E5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2" w14:textId="77777777" w:rsidR="00A55D7B" w:rsidRDefault="00A55D7B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536"/>
        <w:tab w:val="right" w:pos="9072"/>
        <w:tab w:val="right" w:pos="904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981"/>
    <w:multiLevelType w:val="multilevel"/>
    <w:tmpl w:val="3EE4F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A0165"/>
    <w:multiLevelType w:val="multilevel"/>
    <w:tmpl w:val="6336A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3042C"/>
    <w:multiLevelType w:val="multilevel"/>
    <w:tmpl w:val="614AB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D35888"/>
    <w:multiLevelType w:val="multilevel"/>
    <w:tmpl w:val="2294F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8466F5"/>
    <w:multiLevelType w:val="multilevel"/>
    <w:tmpl w:val="0196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04411C"/>
    <w:multiLevelType w:val="multilevel"/>
    <w:tmpl w:val="16FE9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C211FD"/>
    <w:multiLevelType w:val="multilevel"/>
    <w:tmpl w:val="90D6E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153BDA"/>
    <w:multiLevelType w:val="multilevel"/>
    <w:tmpl w:val="93CC6826"/>
    <w:lvl w:ilvl="0">
      <w:start w:val="1"/>
      <w:numFmt w:val="bullet"/>
      <w:lvlText w:val="-"/>
      <w:lvlJc w:val="left"/>
      <w:pPr>
        <w:ind w:left="1068" w:hanging="360"/>
      </w:pPr>
      <w:rPr>
        <w:rFonts w:ascii="PT Sans" w:eastAsia="PT Sans" w:hAnsi="PT Sans" w:cs="PT San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524179"/>
    <w:multiLevelType w:val="multilevel"/>
    <w:tmpl w:val="1DB05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BB5BD7"/>
    <w:multiLevelType w:val="multilevel"/>
    <w:tmpl w:val="1A22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B956CD"/>
    <w:multiLevelType w:val="multilevel"/>
    <w:tmpl w:val="7C985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E42D0E"/>
    <w:multiLevelType w:val="multilevel"/>
    <w:tmpl w:val="45A2C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7B"/>
    <w:rsid w:val="003B1A10"/>
    <w:rsid w:val="00684C52"/>
    <w:rsid w:val="00696DB1"/>
    <w:rsid w:val="007F62EC"/>
    <w:rsid w:val="00A55D7B"/>
    <w:rsid w:val="00B25884"/>
    <w:rsid w:val="00C43A6E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AEAD"/>
  <w15:docId w15:val="{9DBB3679-7D21-49D4-9D2B-F001E0BD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D64"/>
    <w:rPr>
      <w:lang w:val="en-US"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5297"/>
    <w:pPr>
      <w:keepNext/>
      <w:keepLines/>
      <w:spacing w:before="360" w:after="360"/>
      <w:contextualSpacing/>
      <w:jc w:val="center"/>
      <w:outlineLvl w:val="1"/>
    </w:pPr>
    <w:rPr>
      <w:rFonts w:ascii="PT Serif" w:eastAsiaTheme="majorEastAsia" w:hAnsi="PT Serif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71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uiPriority w:val="10"/>
    <w:qFormat/>
    <w:rsid w:val="00431D64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character" w:styleId="Hypertextovodkaz">
    <w:name w:val="Hyperlink"/>
    <w:rsid w:val="00431D64"/>
    <w:rPr>
      <w:u w:val="single"/>
    </w:rPr>
  </w:style>
  <w:style w:type="table" w:customStyle="1" w:styleId="TableNormal1">
    <w:name w:val="Table Normal1"/>
    <w:rsid w:val="00431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431D64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rsid w:val="00431D64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customStyle="1" w:styleId="VchozA">
    <w:name w:val="Výchozí A"/>
    <w:rsid w:val="00431D64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extA">
    <w:name w:val="Text A"/>
    <w:rsid w:val="00431D64"/>
    <w:rPr>
      <w:color w:val="000000"/>
      <w:u w:color="000000"/>
    </w:rPr>
  </w:style>
  <w:style w:type="paragraph" w:customStyle="1" w:styleId="Normln1">
    <w:name w:val="Normální1"/>
    <w:rsid w:val="00431D64"/>
    <w:rPr>
      <w:color w:val="000000"/>
      <w:u w:color="000000"/>
    </w:rPr>
  </w:style>
  <w:style w:type="paragraph" w:customStyle="1" w:styleId="VchozB">
    <w:name w:val="Výchozí B"/>
    <w:rsid w:val="00431D64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431D64"/>
  </w:style>
  <w:style w:type="numbering" w:customStyle="1" w:styleId="Odrky">
    <w:name w:val="Odrážky"/>
    <w:rsid w:val="00431D64"/>
  </w:style>
  <w:style w:type="paragraph" w:customStyle="1" w:styleId="Vchoz">
    <w:name w:val="Výchozí"/>
    <w:rsid w:val="00431D64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Odkaz">
    <w:name w:val="Odkaz"/>
    <w:rsid w:val="00431D64"/>
    <w:rPr>
      <w:color w:val="0000FF"/>
      <w:u w:val="single" w:color="0000FF"/>
    </w:rPr>
  </w:style>
  <w:style w:type="character" w:customStyle="1" w:styleId="Hyperlink0">
    <w:name w:val="Hyperlink.0"/>
    <w:basedOn w:val="Odkaz"/>
    <w:rsid w:val="00431D64"/>
    <w:rPr>
      <w:rFonts w:ascii="Tahoma" w:eastAsia="Tahoma" w:hAnsi="Tahoma" w:cs="Tahoma"/>
      <w:color w:val="0000FF"/>
      <w:sz w:val="20"/>
      <w:szCs w:val="20"/>
      <w:u w:val="single" w:color="0000FF"/>
      <w:lang w:val="fr-FR"/>
    </w:rPr>
  </w:style>
  <w:style w:type="numbering" w:customStyle="1" w:styleId="Importovanstyl2">
    <w:name w:val="Importovaný styl 2"/>
    <w:rsid w:val="00431D64"/>
  </w:style>
  <w:style w:type="numbering" w:customStyle="1" w:styleId="Importovanstyl3">
    <w:name w:val="Importovaný styl 3"/>
    <w:rsid w:val="00431D64"/>
  </w:style>
  <w:style w:type="paragraph" w:styleId="Textkomente">
    <w:name w:val="annotation text"/>
    <w:basedOn w:val="Normln"/>
    <w:link w:val="TextkomenteChar"/>
    <w:uiPriority w:val="99"/>
    <w:semiHidden/>
    <w:unhideWhenUsed/>
    <w:rsid w:val="00431D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D64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31D6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C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B9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164E"/>
    <w:rPr>
      <w:b/>
      <w:bCs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15297"/>
    <w:rPr>
      <w:rFonts w:ascii="PT Serif" w:eastAsiaTheme="majorEastAsia" w:hAnsi="PT Serif" w:cstheme="majorBidi"/>
      <w:b/>
      <w:bCs/>
      <w:sz w:val="28"/>
      <w:szCs w:val="2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F068B"/>
    <w:pPr>
      <w:ind w:left="720"/>
      <w:contextualSpacing/>
    </w:pPr>
  </w:style>
  <w:style w:type="character" w:customStyle="1" w:styleId="st">
    <w:name w:val="st"/>
    <w:basedOn w:val="Standardnpsmoodstavce"/>
    <w:rsid w:val="00F7708D"/>
  </w:style>
  <w:style w:type="character" w:styleId="Siln">
    <w:name w:val="Strong"/>
    <w:basedOn w:val="Standardnpsmoodstavce"/>
    <w:uiPriority w:val="22"/>
    <w:qFormat/>
    <w:rsid w:val="00DA6A6D"/>
    <w:rPr>
      <w:b/>
      <w:bCs/>
    </w:rPr>
  </w:style>
  <w:style w:type="character" w:customStyle="1" w:styleId="fontstyle01">
    <w:name w:val="fontstyle01"/>
    <w:basedOn w:val="Standardnpsmoodstavce"/>
    <w:rsid w:val="0027189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71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nue5birBeymtUz+yZ5pRQ26euA==">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malov_000</dc:creator>
  <cp:lastModifiedBy>Alena Dvořáková</cp:lastModifiedBy>
  <cp:revision>2</cp:revision>
  <dcterms:created xsi:type="dcterms:W3CDTF">2021-12-17T09:38:00Z</dcterms:created>
  <dcterms:modified xsi:type="dcterms:W3CDTF">2021-12-17T09:38:00Z</dcterms:modified>
</cp:coreProperties>
</file>